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6B4CD7">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bookmarkStart w:id="0" w:name="_Toc29524"/>
      <w:bookmarkStart w:id="1" w:name="_Toc22314"/>
      <w:bookmarkStart w:id="2" w:name="_Toc14462_WPSOffice_Level1"/>
    </w:p>
    <w:p w14:paraId="54012919">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05F6CF0">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4BE1DAAF">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51F14D3E">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46DD29C">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1ED29AE1">
      <w:pPr>
        <w:keepNext w:val="0"/>
        <w:keepLines w:val="0"/>
        <w:pageBreakBefore w:val="0"/>
        <w:widowControl/>
        <w:kinsoku/>
        <w:wordWrap/>
        <w:overflowPunct/>
        <w:topLinePunct w:val="0"/>
        <w:autoSpaceDE/>
        <w:autoSpaceDN/>
        <w:bidi w:val="0"/>
        <w:adjustRightInd/>
        <w:snapToGrid/>
        <w:spacing w:line="600" w:lineRule="exact"/>
        <w:ind w:left="0" w:leftChars="0" w:firstLine="640" w:firstLineChars="200"/>
        <w:jc w:val="center"/>
        <w:textAlignment w:val="auto"/>
        <w:rPr>
          <w:rFonts w:hint="default" w:ascii="Times New Roman" w:hAnsi="Times New Roman" w:eastAsia="仿宋" w:cs="Times New Roman"/>
          <w:color w:val="333333"/>
          <w:kern w:val="0"/>
          <w:sz w:val="32"/>
          <w:szCs w:val="32"/>
          <w:highlight w:val="none"/>
        </w:rPr>
      </w:pPr>
    </w:p>
    <w:p w14:paraId="76DD2394">
      <w:pPr>
        <w:spacing w:line="600" w:lineRule="exact"/>
        <w:ind w:firstLine="0" w:firstLineChars="0"/>
        <w:jc w:val="center"/>
        <w:rPr>
          <w:rFonts w:hint="default" w:ascii="Times New Roman" w:hAnsi="Times New Roman" w:cs="Times New Roman"/>
          <w:sz w:val="32"/>
          <w:szCs w:val="32"/>
          <w:highlight w:val="none"/>
        </w:rPr>
      </w:pPr>
      <w:r>
        <w:rPr>
          <w:rFonts w:hint="default" w:ascii="Times New Roman" w:hAnsi="Times New Roman" w:cs="Times New Roman"/>
          <w:sz w:val="32"/>
          <w:szCs w:val="32"/>
          <w:highlight w:val="none"/>
        </w:rPr>
        <w:t>泸财绩〔2025〕</w:t>
      </w:r>
      <w:r>
        <w:rPr>
          <w:rFonts w:hint="default" w:ascii="Times New Roman" w:hAnsi="Times New Roman" w:cs="Times New Roman"/>
          <w:sz w:val="32"/>
          <w:szCs w:val="32"/>
          <w:highlight w:val="none"/>
          <w:lang w:val="en-US" w:eastAsia="zh-CN"/>
        </w:rPr>
        <w:t>45</w:t>
      </w:r>
      <w:r>
        <w:rPr>
          <w:rFonts w:hint="default" w:ascii="Times New Roman" w:hAnsi="Times New Roman" w:cs="Times New Roman"/>
          <w:sz w:val="32"/>
          <w:szCs w:val="32"/>
          <w:highlight w:val="none"/>
        </w:rPr>
        <w:t>号</w:t>
      </w:r>
    </w:p>
    <w:p w14:paraId="6FC87C81">
      <w:pPr>
        <w:keepNext w:val="0"/>
        <w:keepLines w:val="0"/>
        <w:pageBreakBefore w:val="0"/>
        <w:widowControl/>
        <w:kinsoku/>
        <w:wordWrap/>
        <w:overflowPunct/>
        <w:topLinePunct w:val="0"/>
        <w:autoSpaceDE/>
        <w:autoSpaceDN/>
        <w:bidi w:val="0"/>
        <w:spacing w:line="600" w:lineRule="exact"/>
        <w:ind w:left="0" w:firstLine="0" w:firstLineChars="0"/>
        <w:jc w:val="center"/>
        <w:rPr>
          <w:rFonts w:hint="default" w:ascii="Times New Roman" w:hAnsi="Times New Roman" w:eastAsia="仿宋" w:cs="Times New Roman"/>
          <w:color w:val="333333"/>
          <w:kern w:val="0"/>
          <w:sz w:val="32"/>
          <w:szCs w:val="32"/>
          <w:highlight w:val="none"/>
        </w:rPr>
      </w:pPr>
    </w:p>
    <w:p w14:paraId="14DBB894">
      <w:pPr>
        <w:pStyle w:val="10"/>
        <w:keepNext w:val="0"/>
        <w:keepLines w:val="0"/>
        <w:pageBreakBefore w:val="0"/>
        <w:kinsoku/>
        <w:wordWrap/>
        <w:overflowPunct/>
        <w:topLinePunct w:val="0"/>
        <w:autoSpaceDE/>
        <w:autoSpaceDN/>
        <w:bidi w:val="0"/>
        <w:spacing w:line="600" w:lineRule="exact"/>
        <w:ind w:left="0" w:firstLine="0" w:firstLineChars="0"/>
        <w:jc w:val="center"/>
        <w:outlineLvl w:val="9"/>
        <w:rPr>
          <w:rFonts w:hint="default" w:ascii="Times New Roman" w:hAnsi="Times New Roman" w:eastAsia="仿宋" w:cs="Times New Roman"/>
          <w:color w:val="333333"/>
          <w:kern w:val="0"/>
          <w:sz w:val="32"/>
          <w:szCs w:val="32"/>
          <w:highlight w:val="none"/>
        </w:rPr>
      </w:pPr>
    </w:p>
    <w:p w14:paraId="36F55B72">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lang w:eastAsia="zh-CN"/>
        </w:rPr>
      </w:pPr>
      <w:bookmarkStart w:id="3" w:name="_Toc27398"/>
      <w:r>
        <w:rPr>
          <w:rFonts w:hint="eastAsia" w:ascii="方正小标宋简体" w:hAnsi="方正小标宋简体" w:eastAsia="方正小标宋简体" w:cs="方正小标宋简体"/>
          <w:color w:val="auto"/>
          <w:sz w:val="44"/>
          <w:szCs w:val="44"/>
          <w:highlight w:val="none"/>
          <w:lang w:eastAsia="zh-CN"/>
        </w:rPr>
        <w:t>泸定县统计局</w:t>
      </w:r>
    </w:p>
    <w:p w14:paraId="014B69B0">
      <w:pPr>
        <w:keepNext w:val="0"/>
        <w:keepLines w:val="0"/>
        <w:pageBreakBefore w:val="0"/>
        <w:kinsoku/>
        <w:wordWrap/>
        <w:overflowPunct/>
        <w:topLinePunct w:val="0"/>
        <w:autoSpaceDE/>
        <w:autoSpaceDN/>
        <w:bidi w:val="0"/>
        <w:spacing w:line="600" w:lineRule="exact"/>
        <w:ind w:left="0" w:firstLine="0" w:firstLineChars="0"/>
        <w:jc w:val="center"/>
        <w:rPr>
          <w:rFonts w:hint="eastAsia" w:ascii="方正小标宋简体" w:hAnsi="方正小标宋简体" w:eastAsia="方正小标宋简体" w:cs="方正小标宋简体"/>
          <w:color w:val="auto"/>
          <w:sz w:val="44"/>
          <w:szCs w:val="44"/>
          <w:highlight w:val="none"/>
        </w:rPr>
      </w:pPr>
      <w:r>
        <w:rPr>
          <w:rFonts w:hint="eastAsia" w:ascii="方正小标宋简体" w:hAnsi="方正小标宋简体" w:eastAsia="方正小标宋简体" w:cs="方正小标宋简体"/>
          <w:color w:val="auto"/>
          <w:sz w:val="44"/>
          <w:szCs w:val="44"/>
          <w:highlight w:val="none"/>
          <w:lang w:eastAsia="zh"/>
        </w:rPr>
        <w:t>202</w:t>
      </w:r>
      <w:r>
        <w:rPr>
          <w:rFonts w:hint="eastAsia" w:ascii="方正小标宋简体" w:hAnsi="方正小标宋简体" w:eastAsia="方正小标宋简体" w:cs="方正小标宋简体"/>
          <w:color w:val="auto"/>
          <w:sz w:val="44"/>
          <w:szCs w:val="44"/>
          <w:highlight w:val="none"/>
          <w:lang w:val="en-US" w:eastAsia="zh-CN"/>
        </w:rPr>
        <w:t>4</w:t>
      </w:r>
      <w:r>
        <w:rPr>
          <w:rFonts w:hint="eastAsia" w:ascii="方正小标宋简体" w:hAnsi="方正小标宋简体" w:eastAsia="方正小标宋简体" w:cs="方正小标宋简体"/>
          <w:color w:val="auto"/>
          <w:sz w:val="44"/>
          <w:szCs w:val="44"/>
          <w:highlight w:val="none"/>
        </w:rPr>
        <w:t>年部门整体支出绩效评价报告</w:t>
      </w:r>
      <w:bookmarkEnd w:id="0"/>
      <w:bookmarkEnd w:id="1"/>
      <w:bookmarkEnd w:id="3"/>
    </w:p>
    <w:p w14:paraId="394EE5A3">
      <w:pPr>
        <w:pStyle w:val="17"/>
        <w:keepNext w:val="0"/>
        <w:keepLines w:val="0"/>
        <w:pageBreakBefore w:val="0"/>
        <w:kinsoku/>
        <w:wordWrap/>
        <w:overflowPunct/>
        <w:topLinePunct w:val="0"/>
        <w:autoSpaceDE/>
        <w:autoSpaceDN/>
        <w:bidi w:val="0"/>
        <w:spacing w:after="0" w:line="600" w:lineRule="exact"/>
        <w:ind w:left="0" w:firstLine="560"/>
        <w:rPr>
          <w:rFonts w:hint="default" w:ascii="Times New Roman" w:hAnsi="Times New Roman" w:eastAsia="仿宋" w:cs="Times New Roman"/>
          <w:color w:val="auto"/>
          <w:sz w:val="32"/>
          <w:szCs w:val="32"/>
          <w:highlight w:val="none"/>
          <w:lang w:val="fr-FR"/>
        </w:rPr>
      </w:pPr>
    </w:p>
    <w:p w14:paraId="07B3F3B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rPr>
          <w:rFonts w:hint="default" w:ascii="Times New Roman" w:hAnsi="Times New Roman" w:eastAsia="方正仿宋_GB2312" w:cs="Times New Roman"/>
          <w:color w:val="auto"/>
          <w:sz w:val="32"/>
          <w:szCs w:val="32"/>
          <w:highlight w:val="none"/>
          <w:lang w:val="fr-FR" w:eastAsia="zh-CN"/>
        </w:rPr>
      </w:pPr>
      <w:bookmarkStart w:id="4" w:name="_Toc6252"/>
      <w:bookmarkStart w:id="5" w:name="_Toc8938"/>
      <w:bookmarkStart w:id="6" w:name="_Toc26210"/>
      <w:r>
        <w:rPr>
          <w:rFonts w:hint="default" w:ascii="Times New Roman" w:hAnsi="Times New Roman" w:eastAsia="方正仿宋_GB2312" w:cs="Times New Roman"/>
          <w:color w:val="auto"/>
          <w:sz w:val="32"/>
          <w:szCs w:val="32"/>
          <w:highlight w:val="none"/>
          <w:lang w:val="fr-FR" w:eastAsia="zh-CN"/>
        </w:rPr>
        <w:t>泸定县统计局：</w:t>
      </w:r>
    </w:p>
    <w:p w14:paraId="50FB6A3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fr-FR"/>
        </w:rPr>
      </w:pPr>
      <w:r>
        <w:rPr>
          <w:rFonts w:hint="default" w:ascii="Times New Roman" w:hAnsi="Times New Roman" w:eastAsia="方正仿宋_GB2312" w:cs="Times New Roman"/>
          <w:sz w:val="32"/>
          <w:szCs w:val="32"/>
          <w:highlight w:val="none"/>
        </w:rPr>
        <w:t>根据《泸定县财政局</w:t>
      </w:r>
      <w:r>
        <w:rPr>
          <w:rFonts w:hint="default" w:ascii="Times New Roman" w:hAnsi="Times New Roman" w:eastAsia="方正仿宋_GB2312" w:cs="Times New Roman"/>
          <w:sz w:val="32"/>
          <w:szCs w:val="32"/>
          <w:highlight w:val="none"/>
          <w:lang w:eastAsia="zh"/>
        </w:rPr>
        <w:t>关于开展202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年度部门整体绩效评价工作的通知</w:t>
      </w:r>
      <w:r>
        <w:rPr>
          <w:rFonts w:hint="default" w:ascii="Times New Roman" w:hAnsi="Times New Roman" w:eastAsia="方正仿宋_GB2312" w:cs="Times New Roman"/>
          <w:sz w:val="32"/>
          <w:szCs w:val="32"/>
          <w:highlight w:val="none"/>
        </w:rPr>
        <w:t>》（</w:t>
      </w:r>
      <w:r>
        <w:rPr>
          <w:rFonts w:hint="default" w:ascii="Times New Roman" w:hAnsi="Times New Roman" w:eastAsia="方正仿宋_GB2312" w:cs="Times New Roman"/>
          <w:sz w:val="32"/>
          <w:szCs w:val="32"/>
          <w:highlight w:val="none"/>
          <w:lang w:eastAsia="zh"/>
        </w:rPr>
        <w:t>泸财〔202</w:t>
      </w:r>
      <w:r>
        <w:rPr>
          <w:rFonts w:hint="default" w:ascii="Times New Roman" w:hAnsi="Times New Roman" w:eastAsia="方正仿宋_GB2312" w:cs="Times New Roman"/>
          <w:sz w:val="32"/>
          <w:szCs w:val="32"/>
          <w:highlight w:val="none"/>
        </w:rPr>
        <w:t>5</w:t>
      </w:r>
      <w:r>
        <w:rPr>
          <w:rFonts w:hint="default" w:ascii="Times New Roman" w:hAnsi="Times New Roman" w:eastAsia="方正仿宋_GB2312" w:cs="Times New Roman"/>
          <w:sz w:val="32"/>
          <w:szCs w:val="32"/>
          <w:highlight w:val="none"/>
          <w:lang w:eastAsia="zh"/>
        </w:rPr>
        <w:t>〕</w:t>
      </w:r>
      <w:r>
        <w:rPr>
          <w:rFonts w:hint="default" w:ascii="Times New Roman" w:hAnsi="Times New Roman" w:eastAsia="方正仿宋_GB2312" w:cs="Times New Roman"/>
          <w:sz w:val="32"/>
          <w:szCs w:val="32"/>
          <w:highlight w:val="none"/>
        </w:rPr>
        <w:t>67</w:t>
      </w:r>
      <w:r>
        <w:rPr>
          <w:rFonts w:hint="default" w:ascii="Times New Roman" w:hAnsi="Times New Roman" w:eastAsia="方正仿宋_GB2312" w:cs="Times New Roman"/>
          <w:sz w:val="32"/>
          <w:szCs w:val="32"/>
          <w:highlight w:val="none"/>
          <w:lang w:eastAsia="zh"/>
        </w:rPr>
        <w:t>号</w:t>
      </w:r>
      <w:r>
        <w:rPr>
          <w:rFonts w:hint="default" w:ascii="Times New Roman" w:hAnsi="Times New Roman" w:eastAsia="方正仿宋_GB2312" w:cs="Times New Roman"/>
          <w:sz w:val="32"/>
          <w:szCs w:val="32"/>
          <w:highlight w:val="none"/>
        </w:rPr>
        <w:t>）要求，由我局工作人员和第三方机构专业人员组成绩效评价组，</w:t>
      </w:r>
      <w:r>
        <w:rPr>
          <w:rFonts w:hint="default" w:ascii="Times New Roman" w:hAnsi="Times New Roman" w:eastAsia="方正仿宋_GB2312" w:cs="Times New Roman"/>
          <w:color w:val="auto"/>
          <w:sz w:val="32"/>
          <w:szCs w:val="32"/>
          <w:highlight w:val="none"/>
          <w:lang w:val="fr-FR"/>
        </w:rPr>
        <w:t>对</w:t>
      </w:r>
      <w:r>
        <w:rPr>
          <w:rFonts w:hint="default" w:ascii="Times New Roman" w:hAnsi="Times New Roman" w:eastAsia="方正仿宋_GB2312" w:cs="Times New Roman"/>
          <w:color w:val="auto"/>
          <w:sz w:val="32"/>
          <w:szCs w:val="32"/>
          <w:highlight w:val="none"/>
          <w:lang w:val="fr-FR" w:eastAsia="zh-CN"/>
        </w:rPr>
        <w:t>泸定县统计局</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年部门整体支出进行</w:t>
      </w:r>
      <w:r>
        <w:rPr>
          <w:rFonts w:hint="default" w:ascii="Times New Roman" w:hAnsi="Times New Roman" w:eastAsia="方正仿宋_GB2312" w:cs="Times New Roman"/>
          <w:color w:val="auto"/>
          <w:sz w:val="32"/>
          <w:szCs w:val="32"/>
          <w:highlight w:val="none"/>
          <w:lang w:val="fr-FR"/>
        </w:rPr>
        <w:t>绩效评价。</w:t>
      </w:r>
      <w:r>
        <w:rPr>
          <w:rFonts w:hint="default" w:ascii="Times New Roman" w:hAnsi="Times New Roman" w:eastAsia="方正仿宋_GB2312" w:cs="Times New Roman"/>
          <w:color w:val="auto"/>
          <w:sz w:val="32"/>
          <w:szCs w:val="32"/>
          <w:highlight w:val="none"/>
          <w:lang w:val="fr-FR" w:eastAsia="zh-CN"/>
        </w:rPr>
        <w:t>泸定县统计局</w:t>
      </w:r>
      <w:r>
        <w:rPr>
          <w:rFonts w:hint="default" w:ascii="Times New Roman" w:hAnsi="Times New Roman" w:eastAsia="方正仿宋_GB2312" w:cs="Times New Roman"/>
          <w:color w:val="auto"/>
          <w:sz w:val="32"/>
          <w:szCs w:val="32"/>
          <w:highlight w:val="none"/>
          <w:lang w:val="fr-FR"/>
        </w:rPr>
        <w:t>对其提供的绩效评价相关资料的真实性、合法性和完整性负责；我们的责任是依据《中共中央 国务院关于全面实施预算绩效管理的意见》（中发〔2018〕34号）、《中共四川省委 四川省人民政府关于全面实施预算绩效管理的实施意见》（川委发〔201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〕8号）、《中共甘孜州委办公室 甘孜州人民政府办公室关于印发</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甘孜州全面实施预算绩效管理工作实施方案</w:t>
      </w:r>
      <w:r>
        <w:rPr>
          <w:rFonts w:hint="default" w:ascii="Times New Roman" w:hAnsi="Times New Roman" w:eastAsia="方正仿宋_GB2312" w:cs="Times New Roman"/>
          <w:color w:val="auto"/>
          <w:sz w:val="32"/>
          <w:szCs w:val="32"/>
          <w:highlight w:val="none"/>
        </w:rPr>
        <w:t>〉</w:t>
      </w:r>
      <w:r>
        <w:rPr>
          <w:rFonts w:hint="default" w:ascii="Times New Roman" w:hAnsi="Times New Roman" w:eastAsia="方正仿宋_GB2312" w:cs="Times New Roman"/>
          <w:color w:val="auto"/>
          <w:sz w:val="32"/>
          <w:szCs w:val="32"/>
          <w:highlight w:val="none"/>
          <w:lang w:val="fr-FR"/>
        </w:rPr>
        <w:t>的通知》（甘委办〔201</w:t>
      </w:r>
      <w:r>
        <w:rPr>
          <w:rFonts w:hint="default" w:ascii="Times New Roman" w:hAnsi="Times New Roman" w:eastAsia="方正仿宋_GB2312" w:cs="Times New Roman"/>
          <w:color w:val="auto"/>
          <w:sz w:val="32"/>
          <w:szCs w:val="32"/>
          <w:highlight w:val="none"/>
        </w:rPr>
        <w:t>9</w:t>
      </w:r>
      <w:r>
        <w:rPr>
          <w:rFonts w:hint="default" w:ascii="Times New Roman" w:hAnsi="Times New Roman" w:eastAsia="方正仿宋_GB2312" w:cs="Times New Roman"/>
          <w:color w:val="auto"/>
          <w:sz w:val="32"/>
          <w:szCs w:val="32"/>
          <w:highlight w:val="none"/>
          <w:lang w:val="fr-FR"/>
        </w:rPr>
        <w:t>〕120号）</w:t>
      </w:r>
      <w:r>
        <w:rPr>
          <w:rFonts w:hint="default" w:ascii="Times New Roman" w:hAnsi="Times New Roman" w:eastAsia="方正仿宋_GB2312" w:cs="Times New Roman"/>
          <w:color w:val="auto"/>
          <w:sz w:val="32"/>
          <w:szCs w:val="32"/>
          <w:highlight w:val="none"/>
          <w:lang w:val="en-US" w:eastAsia="zh-CN"/>
        </w:rPr>
        <w:t>文件的</w:t>
      </w:r>
      <w:r>
        <w:rPr>
          <w:rFonts w:hint="default" w:ascii="Times New Roman" w:hAnsi="Times New Roman" w:eastAsia="方正仿宋_GB2312" w:cs="Times New Roman"/>
          <w:color w:val="auto"/>
          <w:sz w:val="32"/>
          <w:szCs w:val="32"/>
          <w:highlight w:val="none"/>
          <w:lang w:val="fr-FR"/>
        </w:rPr>
        <w:t>要求，结合</w:t>
      </w:r>
      <w:r>
        <w:rPr>
          <w:rFonts w:hint="default" w:ascii="Times New Roman" w:hAnsi="Times New Roman" w:eastAsia="方正仿宋_GB2312" w:cs="Times New Roman"/>
          <w:color w:val="auto"/>
          <w:sz w:val="32"/>
          <w:szCs w:val="32"/>
          <w:highlight w:val="none"/>
          <w:lang w:val="fr-FR" w:eastAsia="zh-CN"/>
        </w:rPr>
        <w:t>泸定县统计局</w:t>
      </w:r>
      <w:r>
        <w:rPr>
          <w:rFonts w:hint="default" w:ascii="Times New Roman" w:hAnsi="Times New Roman" w:eastAsia="方正仿宋_GB2312" w:cs="Times New Roman"/>
          <w:color w:val="auto"/>
          <w:sz w:val="32"/>
          <w:szCs w:val="32"/>
          <w:highlight w:val="none"/>
          <w:lang w:val="fr-FR"/>
        </w:rPr>
        <w:t>的实际情况，对</w:t>
      </w:r>
      <w:r>
        <w:rPr>
          <w:rFonts w:hint="default" w:ascii="Times New Roman" w:hAnsi="Times New Roman" w:eastAsia="方正仿宋_GB2312" w:cs="Times New Roman"/>
          <w:color w:val="auto"/>
          <w:sz w:val="32"/>
          <w:szCs w:val="32"/>
          <w:highlight w:val="none"/>
          <w:lang w:eastAsia="zh"/>
        </w:rPr>
        <w:t>202</w:t>
      </w:r>
      <w:r>
        <w:rPr>
          <w:rFonts w:hint="default" w:ascii="Times New Roman" w:hAnsi="Times New Roman" w:eastAsia="方正仿宋_GB2312" w:cs="Times New Roman"/>
          <w:color w:val="auto"/>
          <w:sz w:val="32"/>
          <w:szCs w:val="32"/>
          <w:highlight w:val="none"/>
          <w:lang w:val="en-US" w:eastAsia="zh-CN"/>
        </w:rPr>
        <w:t>4</w:t>
      </w:r>
      <w:r>
        <w:rPr>
          <w:rFonts w:hint="default" w:ascii="Times New Roman" w:hAnsi="Times New Roman" w:eastAsia="方正仿宋_GB2312" w:cs="Times New Roman"/>
          <w:color w:val="auto"/>
          <w:sz w:val="32"/>
          <w:szCs w:val="32"/>
          <w:highlight w:val="none"/>
        </w:rPr>
        <w:t>年部门整体支出</w:t>
      </w:r>
      <w:r>
        <w:rPr>
          <w:rFonts w:hint="default" w:ascii="Times New Roman" w:hAnsi="Times New Roman" w:eastAsia="方正仿宋_GB2312" w:cs="Times New Roman"/>
          <w:color w:val="auto"/>
          <w:sz w:val="32"/>
          <w:szCs w:val="32"/>
          <w:highlight w:val="none"/>
          <w:lang w:val="fr-FR"/>
        </w:rPr>
        <w:t>进行绩效评价，并出具绩效评价报告，现将相关情况报告如下：</w:t>
      </w:r>
      <w:bookmarkEnd w:id="4"/>
      <w:bookmarkEnd w:id="5"/>
      <w:bookmarkEnd w:id="6"/>
      <w:bookmarkStart w:id="7" w:name="_Toc12185"/>
      <w:bookmarkStart w:id="8" w:name="_Toc8555"/>
      <w:bookmarkStart w:id="9" w:name="_Toc109483833"/>
    </w:p>
    <w:p w14:paraId="1CE7ED0B">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lang w:eastAsia="zh-CN"/>
        </w:rPr>
      </w:pPr>
      <w:bookmarkStart w:id="10" w:name="_Toc26009"/>
      <w:bookmarkStart w:id="11" w:name="_Toc799907804"/>
      <w:bookmarkStart w:id="12" w:name="_Toc15220"/>
      <w:bookmarkStart w:id="13" w:name="_Toc12546"/>
      <w:bookmarkStart w:id="14" w:name="_Toc27571"/>
      <w:bookmarkStart w:id="15" w:name="_Toc4351"/>
      <w:bookmarkStart w:id="16" w:name="_Toc18579"/>
      <w:bookmarkStart w:id="17" w:name="_Toc10147"/>
      <w:r>
        <w:rPr>
          <w:rFonts w:hint="default" w:ascii="Times New Roman" w:hAnsi="Times New Roman" w:eastAsia="方正黑体简体" w:cs="Times New Roman"/>
          <w:color w:val="auto"/>
          <w:kern w:val="0"/>
          <w:sz w:val="32"/>
          <w:szCs w:val="32"/>
          <w:highlight w:val="none"/>
          <w:shd w:val="clear" w:color="auto" w:fill="FFFFFF"/>
        </w:rPr>
        <w:t>一、</w:t>
      </w:r>
      <w:bookmarkEnd w:id="7"/>
      <w:bookmarkEnd w:id="8"/>
      <w:r>
        <w:rPr>
          <w:rFonts w:hint="default" w:ascii="Times New Roman" w:hAnsi="Times New Roman" w:eastAsia="方正黑体简体" w:cs="Times New Roman"/>
          <w:color w:val="auto"/>
          <w:kern w:val="0"/>
          <w:sz w:val="32"/>
          <w:szCs w:val="32"/>
          <w:highlight w:val="none"/>
          <w:shd w:val="clear" w:color="auto" w:fill="FFFFFF"/>
        </w:rPr>
        <w:t>部门</w:t>
      </w:r>
      <w:bookmarkEnd w:id="9"/>
      <w:bookmarkEnd w:id="10"/>
      <w:bookmarkEnd w:id="11"/>
      <w:bookmarkStart w:id="18" w:name="_Toc16549"/>
      <w:bookmarkStart w:id="19" w:name="_Toc109483834"/>
      <w:bookmarkStart w:id="20" w:name="_Toc30550"/>
      <w:r>
        <w:rPr>
          <w:rFonts w:hint="default" w:ascii="Times New Roman" w:hAnsi="Times New Roman" w:eastAsia="方正黑体简体" w:cs="Times New Roman"/>
          <w:color w:val="auto"/>
          <w:kern w:val="0"/>
          <w:sz w:val="32"/>
          <w:szCs w:val="32"/>
          <w:highlight w:val="none"/>
          <w:shd w:val="clear" w:color="auto" w:fill="FFFFFF"/>
          <w:lang w:val="en-US" w:eastAsia="zh-CN"/>
        </w:rPr>
        <w:t>概况</w:t>
      </w:r>
      <w:bookmarkEnd w:id="12"/>
      <w:bookmarkEnd w:id="13"/>
      <w:bookmarkEnd w:id="14"/>
      <w:bookmarkEnd w:id="15"/>
      <w:bookmarkEnd w:id="16"/>
      <w:bookmarkEnd w:id="17"/>
    </w:p>
    <w:p w14:paraId="20C60406">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21" w:name="_Toc419097264"/>
      <w:bookmarkStart w:id="22" w:name="_Toc7513"/>
      <w:bookmarkStart w:id="23" w:name="_Toc11769"/>
      <w:bookmarkStart w:id="24" w:name="_Toc19098"/>
      <w:bookmarkStart w:id="25" w:name="_Toc2337"/>
      <w:bookmarkStart w:id="26" w:name="_Toc20865"/>
      <w:bookmarkStart w:id="27" w:name="_Toc24161"/>
      <w:bookmarkStart w:id="28" w:name="_Toc18535"/>
      <w:r>
        <w:rPr>
          <w:rFonts w:hint="default" w:ascii="Times New Roman" w:hAnsi="Times New Roman" w:eastAsia="方正楷体简体" w:cs="Times New Roman"/>
          <w:color w:val="auto"/>
          <w:kern w:val="2"/>
          <w:sz w:val="32"/>
          <w:szCs w:val="32"/>
          <w:highlight w:val="none"/>
          <w:shd w:val="clear"/>
          <w:lang w:val="zh-CN" w:eastAsia="zh-CN"/>
        </w:rPr>
        <w:t>（一）</w:t>
      </w:r>
      <w:bookmarkEnd w:id="18"/>
      <w:bookmarkEnd w:id="19"/>
      <w:bookmarkEnd w:id="20"/>
      <w:bookmarkEnd w:id="21"/>
      <w:bookmarkEnd w:id="22"/>
      <w:r>
        <w:rPr>
          <w:rFonts w:hint="default" w:ascii="Times New Roman" w:hAnsi="Times New Roman" w:eastAsia="方正楷体简体" w:cs="Times New Roman"/>
          <w:color w:val="auto"/>
          <w:kern w:val="2"/>
          <w:sz w:val="32"/>
          <w:szCs w:val="32"/>
          <w:highlight w:val="none"/>
          <w:shd w:val="clear"/>
          <w:lang w:val="zh-CN" w:eastAsia="zh-CN"/>
        </w:rPr>
        <w:t>部门基本情况</w:t>
      </w:r>
      <w:bookmarkEnd w:id="23"/>
      <w:bookmarkEnd w:id="24"/>
      <w:bookmarkEnd w:id="25"/>
      <w:bookmarkEnd w:id="26"/>
      <w:bookmarkEnd w:id="27"/>
      <w:bookmarkEnd w:id="28"/>
    </w:p>
    <w:p w14:paraId="05FA19E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fr-FR" w:eastAsia="zh-CN"/>
        </w:rPr>
      </w:pPr>
      <w:bookmarkStart w:id="29" w:name="_Toc109483835"/>
      <w:r>
        <w:rPr>
          <w:rFonts w:hint="default" w:ascii="Times New Roman" w:hAnsi="Times New Roman" w:eastAsia="方正仿宋_GB2312" w:cs="Times New Roman"/>
          <w:color w:val="auto"/>
          <w:sz w:val="32"/>
          <w:szCs w:val="32"/>
          <w:highlight w:val="none"/>
          <w:lang w:val="en-US" w:eastAsia="zh-CN"/>
        </w:rPr>
        <w:t>泸定县统计局（以下简称县统计局）</w:t>
      </w:r>
      <w:r>
        <w:rPr>
          <w:rFonts w:hint="default" w:ascii="Times New Roman" w:hAnsi="Times New Roman" w:eastAsia="方正仿宋_GB2312" w:cs="Times New Roman"/>
          <w:color w:val="auto"/>
          <w:sz w:val="32"/>
          <w:szCs w:val="32"/>
          <w:highlight w:val="none"/>
          <w:lang w:val="fr-FR" w:eastAsia="zh-CN"/>
        </w:rPr>
        <w:t>，属财政补助（收支统管、全额保障）的一级预算单位，机构性质：</w:t>
      </w:r>
      <w:r>
        <w:rPr>
          <w:rFonts w:hint="default" w:ascii="Times New Roman" w:hAnsi="Times New Roman" w:eastAsia="方正仿宋_GB2312" w:cs="Times New Roman"/>
          <w:color w:val="auto"/>
          <w:sz w:val="32"/>
          <w:szCs w:val="32"/>
          <w:highlight w:val="none"/>
          <w:lang w:val="en-US" w:eastAsia="zh-CN"/>
        </w:rPr>
        <w:t>机关</w:t>
      </w:r>
      <w:r>
        <w:rPr>
          <w:rFonts w:hint="default" w:ascii="Times New Roman" w:hAnsi="Times New Roman" w:eastAsia="方正仿宋_GB2312" w:cs="Times New Roman"/>
          <w:color w:val="auto"/>
          <w:sz w:val="32"/>
          <w:szCs w:val="32"/>
          <w:highlight w:val="none"/>
          <w:lang w:val="fr-FR" w:eastAsia="zh-CN"/>
        </w:rPr>
        <w:t>；单位负责人：</w:t>
      </w:r>
      <w:r>
        <w:rPr>
          <w:rFonts w:hint="default" w:ascii="Times New Roman" w:hAnsi="Times New Roman" w:eastAsia="方正仿宋_GB2312" w:cs="Times New Roman"/>
          <w:color w:val="auto"/>
          <w:sz w:val="32"/>
          <w:szCs w:val="32"/>
          <w:highlight w:val="none"/>
          <w:lang w:val="en-US" w:eastAsia="zh-CN"/>
        </w:rPr>
        <w:t>周福强</w:t>
      </w:r>
      <w:r>
        <w:rPr>
          <w:rFonts w:hint="default" w:ascii="Times New Roman" w:hAnsi="Times New Roman" w:eastAsia="方正仿宋_GB2312" w:cs="Times New Roman"/>
          <w:color w:val="auto"/>
          <w:sz w:val="32"/>
          <w:szCs w:val="32"/>
          <w:highlight w:val="none"/>
          <w:lang w:val="fr-FR" w:eastAsia="zh-CN"/>
        </w:rPr>
        <w:t>；统一社会信用代码：</w:t>
      </w:r>
      <w:r>
        <w:rPr>
          <w:rFonts w:hint="default" w:ascii="Times New Roman" w:hAnsi="Times New Roman" w:eastAsia="方正仿宋_GB2312" w:cs="Times New Roman"/>
          <w:color w:val="auto"/>
          <w:sz w:val="32"/>
          <w:szCs w:val="32"/>
          <w:highlight w:val="none"/>
          <w:lang w:val="en-US" w:eastAsia="zh-CN"/>
        </w:rPr>
        <w:t>11513322008978476B</w:t>
      </w:r>
      <w:r>
        <w:rPr>
          <w:rFonts w:hint="default" w:ascii="Times New Roman" w:hAnsi="Times New Roman" w:eastAsia="方正仿宋_GB2312" w:cs="Times New Roman"/>
          <w:color w:val="auto"/>
          <w:sz w:val="32"/>
          <w:szCs w:val="32"/>
          <w:highlight w:val="none"/>
          <w:lang w:val="fr-FR" w:eastAsia="zh-CN"/>
        </w:rPr>
        <w:t>；单位所在地：</w:t>
      </w:r>
      <w:r>
        <w:rPr>
          <w:rFonts w:hint="default" w:ascii="Times New Roman" w:hAnsi="Times New Roman" w:eastAsia="方正仿宋_GB2312" w:cs="Times New Roman"/>
          <w:color w:val="auto"/>
          <w:sz w:val="32"/>
          <w:szCs w:val="32"/>
          <w:highlight w:val="none"/>
          <w:lang w:val="en-US" w:eastAsia="zh-CN"/>
        </w:rPr>
        <w:t>四川省甘孜藏族自治州泸定县成武路160号。</w:t>
      </w:r>
    </w:p>
    <w:p w14:paraId="5FA54FAF">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eastAsia="zh"/>
        </w:rPr>
      </w:pPr>
      <w:bookmarkStart w:id="30" w:name="_Toc31223"/>
      <w:bookmarkStart w:id="31" w:name="_Toc1278"/>
      <w:bookmarkStart w:id="32" w:name="_Toc17750"/>
      <w:bookmarkStart w:id="33" w:name="_Toc28538"/>
      <w:bookmarkStart w:id="34" w:name="_Toc16904"/>
      <w:bookmarkStart w:id="35" w:name="_Toc26703"/>
      <w:r>
        <w:rPr>
          <w:rFonts w:hint="default" w:ascii="Times New Roman" w:hAnsi="Times New Roman" w:eastAsia="方正楷体简体" w:cs="Times New Roman"/>
          <w:color w:val="auto"/>
          <w:kern w:val="2"/>
          <w:sz w:val="32"/>
          <w:szCs w:val="32"/>
          <w:highlight w:val="none"/>
          <w:shd w:val="clear"/>
          <w:lang w:val="zh-CN" w:eastAsia="zh-CN"/>
        </w:rPr>
        <w:t>（二）部门</w:t>
      </w:r>
      <w:bookmarkEnd w:id="30"/>
      <w:bookmarkEnd w:id="31"/>
      <w:bookmarkEnd w:id="32"/>
      <w:r>
        <w:rPr>
          <w:rFonts w:hint="default" w:ascii="Times New Roman" w:hAnsi="Times New Roman" w:eastAsia="方正楷体简体" w:cs="Times New Roman"/>
          <w:color w:val="auto"/>
          <w:kern w:val="2"/>
          <w:sz w:val="32"/>
          <w:szCs w:val="32"/>
          <w:highlight w:val="none"/>
          <w:shd w:val="clear"/>
          <w:lang w:val="zh-CN" w:eastAsia="zh"/>
        </w:rPr>
        <w:t>内设机构及人员概况</w:t>
      </w:r>
      <w:bookmarkEnd w:id="33"/>
      <w:bookmarkEnd w:id="34"/>
      <w:bookmarkEnd w:id="35"/>
    </w:p>
    <w:p w14:paraId="1D23401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1.内设机构。泸定县统计局是泸定县人民政府的工作部门，为正科级。根据《中共泸定县委办公室 泸定县人民政府办公室关于印发〈泸定县统计局职能配置、内设机构和人员编制规定〉的通知》（泸委办发〔2019〕104 号），县统计局设下列3个内设机构，分别为办公室（统计执法监督大队）、综合核算和贸易服务业统计股、农业工业经济投资能源统计股。</w:t>
      </w:r>
    </w:p>
    <w:p w14:paraId="28D4D8C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2.人员概况。泸定县统计局核定共有编制11人，其中行政编制5人，行政工勤1人，参照</w:t>
      </w:r>
      <w:r>
        <w:rPr>
          <w:rFonts w:hint="eastAsia" w:ascii="Times New Roman" w:hAnsi="Times New Roman" w:eastAsia="方正仿宋_GB2312" w:cs="Times New Roman"/>
          <w:color w:val="auto"/>
          <w:sz w:val="32"/>
          <w:szCs w:val="32"/>
          <w:highlight w:val="none"/>
          <w:lang w:val="en-US" w:eastAsia="zh-CN"/>
        </w:rPr>
        <w:t>公务员</w:t>
      </w:r>
      <w:r>
        <w:rPr>
          <w:rFonts w:hint="default" w:ascii="Times New Roman" w:hAnsi="Times New Roman" w:eastAsia="方正仿宋_GB2312" w:cs="Times New Roman"/>
          <w:color w:val="auto"/>
          <w:sz w:val="32"/>
          <w:szCs w:val="32"/>
          <w:highlight w:val="none"/>
          <w:lang w:val="en-US" w:eastAsia="zh-CN"/>
        </w:rPr>
        <w:t>管理5人。截至2024年12月31日，实有工作人员11人，其中：行政编制5人，参公编制5人，工勤编制1人。</w:t>
      </w:r>
    </w:p>
    <w:p w14:paraId="2171EDF9">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36" w:name="_Toc16978"/>
      <w:bookmarkStart w:id="37" w:name="_Toc568184988"/>
      <w:bookmarkStart w:id="38" w:name="_Toc16740"/>
      <w:bookmarkStart w:id="39" w:name="_Toc22604"/>
      <w:bookmarkStart w:id="40" w:name="_Toc12241"/>
      <w:bookmarkStart w:id="41" w:name="_Toc21223"/>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zh-CN" w:eastAsia="zh-CN"/>
        </w:rPr>
        <w:t>三</w:t>
      </w:r>
      <w:r>
        <w:rPr>
          <w:rFonts w:hint="default" w:ascii="Times New Roman" w:hAnsi="Times New Roman" w:eastAsia="方正楷体简体" w:cs="Times New Roman"/>
          <w:color w:val="auto"/>
          <w:kern w:val="2"/>
          <w:sz w:val="32"/>
          <w:szCs w:val="32"/>
          <w:highlight w:val="none"/>
          <w:shd w:val="clear"/>
          <w:lang w:val="zh-CN"/>
        </w:rPr>
        <w:t>）</w:t>
      </w:r>
      <w:bookmarkEnd w:id="29"/>
      <w:bookmarkEnd w:id="36"/>
      <w:bookmarkEnd w:id="37"/>
      <w:r>
        <w:rPr>
          <w:rFonts w:hint="default" w:ascii="Times New Roman" w:hAnsi="Times New Roman" w:eastAsia="方正楷体简体" w:cs="Times New Roman"/>
          <w:color w:val="auto"/>
          <w:kern w:val="2"/>
          <w:sz w:val="32"/>
          <w:szCs w:val="32"/>
          <w:highlight w:val="none"/>
          <w:shd w:val="clear"/>
          <w:lang w:val="zh-CN" w:eastAsia="zh-CN"/>
        </w:rPr>
        <w:t>部门职能职责</w:t>
      </w:r>
      <w:bookmarkEnd w:id="38"/>
      <w:bookmarkEnd w:id="39"/>
      <w:bookmarkEnd w:id="40"/>
      <w:bookmarkEnd w:id="41"/>
    </w:p>
    <w:p w14:paraId="1EC2894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bookmarkStart w:id="42" w:name="_Toc33"/>
      <w:bookmarkStart w:id="43" w:name="_Toc16871"/>
      <w:bookmarkStart w:id="44" w:name="_Toc15163"/>
      <w:bookmarkStart w:id="45" w:name="_Toc14896"/>
      <w:bookmarkStart w:id="46" w:name="_Toc109483836"/>
      <w:bookmarkStart w:id="47" w:name="_Toc1218480988"/>
      <w:bookmarkStart w:id="48" w:name="_Toc13707"/>
      <w:bookmarkStart w:id="49" w:name="_Toc26564"/>
      <w:bookmarkStart w:id="50" w:name="_Toc5982"/>
      <w:bookmarkStart w:id="51" w:name="_Toc22594"/>
      <w:r>
        <w:rPr>
          <w:rFonts w:hint="default" w:ascii="Times New Roman" w:hAnsi="Times New Roman" w:eastAsia="方正仿宋_GB2312" w:cs="Times New Roman"/>
          <w:color w:val="auto"/>
          <w:sz w:val="32"/>
          <w:szCs w:val="32"/>
          <w:highlight w:val="none"/>
          <w:lang w:val="en-US" w:eastAsia="zh-CN"/>
        </w:rPr>
        <w:t>1.贯彻执行国家统计工作的方针、政策和法律法规以及统计制度、统计标准。拟订全县统计改革和发展规划及全县统计调查计划，审批乡（镇）、县级部门的地方统计调查项目及涉外统计调查机构和项目， 负责全县统计报表的管理工作；组织、监督检查统计法律法规和统计方法制度的实施，依法查处统计违法违规行为，确保统计数据真实、准确、及时。</w:t>
      </w:r>
    </w:p>
    <w:p w14:paraId="44312CB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2.建立健全全县国民经济核算体系，组织实施全县国民经济核算制度，核算全县地区生产总值，整理提供国民经济核算资料，开展分析研究，负责全县国民经济核算工作。</w:t>
      </w:r>
    </w:p>
    <w:p w14:paraId="1AC85EF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组织实施农林牧渔业、工业、建筑业、批发和零售业、住宿和餐饮业、房地产业等国民经济行业以及能源、投资、人口、收入、科技、社会发展基本情况、环境基本状况等领域的统计调查，建立全县经济社会发展监测评价制度及指标体系，对重点区域和重要领域实施监测评价。牵头综合整理和提供资源、房屋、旅游、教育、卫生、仓储邮政、交通运输、社会保障、公用事业、对外贸易、对外经济等全县基本统计资料。</w:t>
      </w:r>
    </w:p>
    <w:p w14:paraId="3DC4593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4.组织实施国家重大国情国力普查计划，牵头开展全县人口、经济、农业等重大国情国力普查和专项调查，负责普查数据对外公布。牵头开展全县投入产出调查。</w:t>
      </w:r>
    </w:p>
    <w:p w14:paraId="0482B5D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5.建立健全全县统计数据质量审核、监控和评估制度，依法对乡（镇）、县级部门重要统计数据进行审核、监控和评估，组织指导统计基层基础建设。</w:t>
      </w:r>
    </w:p>
    <w:p w14:paraId="5F74D5A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6.对国民经济、社会发展、科技进步和资源环境等情况进行统计分析和预测，定期发布全县经济社会发展情况的统计信息，向县委、县政府及有关部门提供统计咨询建议，向社会公众提供统计信息服务。</w:t>
      </w:r>
    </w:p>
    <w:p w14:paraId="51B4FF3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7.会同有关部门组织管理全县统计专业技术资格考试的报名工作，负责全县统计专业人才队伍建设，开展统计交流与合作。</w:t>
      </w:r>
    </w:p>
    <w:p w14:paraId="222C5E5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8.建立健全全县统计数据库系统和统计信息自动化系统，建立健全全县统计信息共享制度，负责全县统计信息化建设。</w:t>
      </w:r>
    </w:p>
    <w:p w14:paraId="329EFC9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9.承担县政府公布的有关行政审批事项。</w:t>
      </w:r>
    </w:p>
    <w:p w14:paraId="4C96B01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10.完成县委、县政府交办的其他任务。</w:t>
      </w:r>
    </w:p>
    <w:p w14:paraId="069C751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lang w:val="zh-CN"/>
        </w:rPr>
      </w:pPr>
      <w:r>
        <w:rPr>
          <w:rFonts w:hint="default" w:ascii="Times New Roman" w:hAnsi="Times New Roman" w:eastAsia="方正黑体简体" w:cs="Times New Roman"/>
          <w:color w:val="auto"/>
          <w:kern w:val="0"/>
          <w:sz w:val="32"/>
          <w:szCs w:val="32"/>
          <w:highlight w:val="none"/>
          <w:shd w:val="clear" w:color="auto" w:fill="FFFFFF"/>
          <w:lang w:val="zh-CN"/>
        </w:rPr>
        <w:t>二、</w:t>
      </w:r>
      <w:r>
        <w:rPr>
          <w:rFonts w:hint="default" w:ascii="Times New Roman" w:hAnsi="Times New Roman" w:eastAsia="方正黑体简体" w:cs="Times New Roman"/>
          <w:color w:val="auto"/>
          <w:kern w:val="0"/>
          <w:sz w:val="32"/>
          <w:szCs w:val="32"/>
          <w:highlight w:val="none"/>
          <w:shd w:val="clear" w:color="auto" w:fill="FFFFFF"/>
          <w:lang w:val="en-US" w:eastAsia="zh-CN"/>
        </w:rPr>
        <w:t>部门收支</w:t>
      </w:r>
      <w:r>
        <w:rPr>
          <w:rFonts w:hint="default" w:ascii="Times New Roman" w:hAnsi="Times New Roman" w:eastAsia="方正黑体简体" w:cs="Times New Roman"/>
          <w:color w:val="auto"/>
          <w:kern w:val="0"/>
          <w:sz w:val="32"/>
          <w:szCs w:val="32"/>
          <w:highlight w:val="none"/>
          <w:shd w:val="clear" w:color="auto" w:fill="FFFFFF"/>
          <w:lang w:val="zh-CN"/>
        </w:rPr>
        <w:t>情况</w:t>
      </w:r>
      <w:bookmarkEnd w:id="42"/>
      <w:bookmarkEnd w:id="43"/>
      <w:bookmarkEnd w:id="44"/>
      <w:bookmarkEnd w:id="45"/>
      <w:bookmarkEnd w:id="46"/>
      <w:bookmarkEnd w:id="47"/>
      <w:bookmarkEnd w:id="48"/>
      <w:bookmarkEnd w:id="49"/>
      <w:bookmarkEnd w:id="50"/>
      <w:bookmarkEnd w:id="51"/>
      <w:bookmarkStart w:id="52" w:name="_Toc109483837"/>
      <w:bookmarkStart w:id="53" w:name="_Toc2659"/>
    </w:p>
    <w:bookmarkEnd w:id="52"/>
    <w:bookmarkEnd w:id="53"/>
    <w:p w14:paraId="24BA0DD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rPr>
      </w:pPr>
      <w:bookmarkStart w:id="54" w:name="_Toc11105"/>
      <w:bookmarkStart w:id="55" w:name="_Toc2374"/>
      <w:bookmarkStart w:id="56" w:name="_Toc25866"/>
      <w:bookmarkStart w:id="57" w:name="_Toc15898"/>
      <w:bookmarkStart w:id="58" w:name="_Toc32369"/>
      <w:bookmarkStart w:id="59" w:name="_Toc21428"/>
      <w:bookmarkStart w:id="60" w:name="_Toc1949541301"/>
      <w:bookmarkStart w:id="61" w:name="_Toc29180"/>
      <w:r>
        <w:rPr>
          <w:rFonts w:hint="default" w:ascii="Times New Roman" w:hAnsi="Times New Roman" w:eastAsia="方正楷体简体" w:cs="Times New Roman"/>
          <w:color w:val="auto"/>
          <w:kern w:val="2"/>
          <w:sz w:val="32"/>
          <w:szCs w:val="32"/>
          <w:highlight w:val="none"/>
          <w:shd w:val="clear"/>
          <w:lang w:val="zh-CN"/>
        </w:rPr>
        <w:t>（</w:t>
      </w:r>
      <w:r>
        <w:rPr>
          <w:rFonts w:hint="default" w:ascii="Times New Roman" w:hAnsi="Times New Roman" w:eastAsia="方正楷体简体" w:cs="Times New Roman"/>
          <w:color w:val="auto"/>
          <w:kern w:val="2"/>
          <w:sz w:val="32"/>
          <w:szCs w:val="32"/>
          <w:highlight w:val="none"/>
          <w:shd w:val="clear"/>
          <w:lang w:val="fr-FR"/>
        </w:rPr>
        <w:t>一</w:t>
      </w:r>
      <w:r>
        <w:rPr>
          <w:rFonts w:hint="default" w:ascii="Times New Roman" w:hAnsi="Times New Roman" w:eastAsia="方正楷体简体" w:cs="Times New Roman"/>
          <w:color w:val="auto"/>
          <w:kern w:val="2"/>
          <w:sz w:val="32"/>
          <w:szCs w:val="32"/>
          <w:highlight w:val="none"/>
          <w:shd w:val="clear"/>
          <w:lang w:val="zh-CN"/>
        </w:rPr>
        <w:t>）收入情况</w:t>
      </w:r>
      <w:bookmarkEnd w:id="54"/>
      <w:bookmarkEnd w:id="55"/>
      <w:bookmarkEnd w:id="56"/>
      <w:bookmarkEnd w:id="57"/>
      <w:bookmarkEnd w:id="58"/>
      <w:bookmarkEnd w:id="59"/>
      <w:bookmarkEnd w:id="60"/>
      <w:bookmarkEnd w:id="61"/>
      <w:bookmarkStart w:id="62" w:name="_Toc19132"/>
    </w:p>
    <w:bookmarkEnd w:id="62"/>
    <w:p w14:paraId="3B37BEF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bookmarkStart w:id="63" w:name="_Toc21171"/>
      <w:bookmarkStart w:id="64" w:name="_Toc27073"/>
      <w:bookmarkStart w:id="65" w:name="_Toc349786989"/>
      <w:bookmarkStart w:id="66" w:name="_Toc27782"/>
      <w:bookmarkStart w:id="67" w:name="_Toc109483838"/>
      <w:bookmarkStart w:id="68" w:name="_Toc17751"/>
      <w:bookmarkStart w:id="69" w:name="_Toc19326"/>
      <w:r>
        <w:rPr>
          <w:rFonts w:hint="default" w:ascii="Times New Roman" w:hAnsi="Times New Roman" w:eastAsia="方正仿宋_GB2312" w:cs="Times New Roman"/>
          <w:color w:val="auto"/>
          <w:sz w:val="32"/>
          <w:szCs w:val="32"/>
          <w:highlight w:val="none"/>
          <w:lang w:val="en-US" w:eastAsia="zh-CN"/>
        </w:rPr>
        <w:t>年初预算反映，县统计局2024年预算收入合计486.51万元，上年结转结余0万元，无预算调整。本年收入486.51万元，全部为一般公共预算财政拨款收入。</w:t>
      </w:r>
    </w:p>
    <w:p w14:paraId="0FB3ADF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zh-CN" w:eastAsia="zh"/>
        </w:rPr>
      </w:pPr>
      <w:r>
        <w:rPr>
          <w:rFonts w:hint="default" w:ascii="Times New Roman" w:hAnsi="Times New Roman" w:eastAsia="方正仿宋_GB2312" w:cs="Times New Roman"/>
          <w:color w:val="auto"/>
          <w:sz w:val="32"/>
          <w:szCs w:val="32"/>
          <w:highlight w:val="none"/>
          <w:lang w:val="en-US" w:eastAsia="zh-CN"/>
        </w:rPr>
        <w:t>决算报表反映，县统计局2024年决算收入合计465.28万元，其中：本年收入451.54万元，年初结转和结余13.74万元。</w:t>
      </w:r>
    </w:p>
    <w:p w14:paraId="53A3587D">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rPr>
      </w:pPr>
      <w:bookmarkStart w:id="70" w:name="_Toc16309"/>
      <w:bookmarkStart w:id="71" w:name="_Toc30600"/>
      <w:bookmarkStart w:id="72" w:name="_Toc15130"/>
      <w:r>
        <w:rPr>
          <w:rFonts w:hint="default" w:ascii="Times New Roman" w:hAnsi="Times New Roman" w:eastAsia="方正楷体简体" w:cs="Times New Roman"/>
          <w:color w:val="auto"/>
          <w:kern w:val="2"/>
          <w:sz w:val="32"/>
          <w:szCs w:val="32"/>
          <w:highlight w:val="none"/>
          <w:shd w:val="clear"/>
          <w:lang w:val="zh-CN"/>
        </w:rPr>
        <w:t>（二）支出情况</w:t>
      </w:r>
      <w:bookmarkEnd w:id="63"/>
      <w:bookmarkEnd w:id="64"/>
      <w:bookmarkEnd w:id="65"/>
      <w:bookmarkEnd w:id="66"/>
      <w:bookmarkEnd w:id="67"/>
      <w:bookmarkEnd w:id="68"/>
      <w:bookmarkEnd w:id="69"/>
      <w:bookmarkEnd w:id="70"/>
      <w:bookmarkEnd w:id="71"/>
      <w:bookmarkEnd w:id="72"/>
    </w:p>
    <w:p w14:paraId="604EA3B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bookmarkStart w:id="73" w:name="_Toc18390"/>
      <w:bookmarkStart w:id="74" w:name="_Toc24721"/>
      <w:bookmarkStart w:id="75" w:name="_Toc10837"/>
      <w:bookmarkStart w:id="76" w:name="_Toc109483839"/>
      <w:bookmarkStart w:id="77" w:name="_Toc13841"/>
      <w:bookmarkStart w:id="78" w:name="_Toc1457008154"/>
      <w:bookmarkStart w:id="79" w:name="_Toc809"/>
      <w:r>
        <w:rPr>
          <w:rFonts w:hint="default" w:ascii="Times New Roman" w:hAnsi="Times New Roman" w:eastAsia="方正仿宋_GB2312" w:cs="Times New Roman"/>
          <w:color w:val="auto"/>
          <w:sz w:val="32"/>
          <w:szCs w:val="32"/>
          <w:highlight w:val="none"/>
          <w:lang w:val="en-US" w:eastAsia="zh-CN"/>
        </w:rPr>
        <w:t>年初预算反映，县统计局2024年预算支出合计486.51万元，无年末结转和结余。本年支出中：基本支出282.91万元（人员经费258.11万元、公用经费24.80万元），项目支出203.60万元。</w:t>
      </w:r>
    </w:p>
    <w:p w14:paraId="09E05E6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决算报表反映，县统计局2024年决算支出合计465.28万元，其中本年支出451.54万元，年末结转和结余13.74万元。本年支出中：基本支出286.25万元（人员经费263.98万元、公用经费22.17万元），项目支出165.29万元。</w:t>
      </w:r>
    </w:p>
    <w:p w14:paraId="03B600DB">
      <w:pPr>
        <w:keepNext w:val="0"/>
        <w:keepLines w:val="0"/>
        <w:pageBreakBefore w:val="0"/>
        <w:widowControl w:val="0"/>
        <w:kinsoku/>
        <w:wordWrap/>
        <w:overflowPunct/>
        <w:topLinePunct w:val="0"/>
        <w:bidi w:val="0"/>
        <w:spacing w:line="560" w:lineRule="exact"/>
        <w:ind w:firstLine="640" w:firstLineChars="200"/>
        <w:jc w:val="both"/>
        <w:textAlignment w:val="auto"/>
        <w:rPr>
          <w:rFonts w:hint="default" w:ascii="Times New Roman" w:hAnsi="Times New Roman" w:eastAsia="方正楷体简体" w:cs="Times New Roman"/>
          <w:color w:val="auto"/>
          <w:sz w:val="32"/>
          <w:szCs w:val="32"/>
          <w:highlight w:val="none"/>
          <w:lang w:val="zh-CN" w:eastAsia="zh-CN"/>
        </w:rPr>
      </w:pPr>
      <w:r>
        <w:rPr>
          <w:rFonts w:hint="default" w:ascii="Times New Roman" w:hAnsi="Times New Roman" w:eastAsia="方正楷体简体" w:cs="Times New Roman"/>
          <w:color w:val="auto"/>
          <w:sz w:val="32"/>
          <w:szCs w:val="32"/>
          <w:highlight w:val="none"/>
          <w:lang w:val="zh-CN" w:eastAsia="zh-CN"/>
        </w:rPr>
        <w:t>（三）结余分配和结转结余情况</w:t>
      </w:r>
    </w:p>
    <w:p w14:paraId="2889119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决算报表反映，县统计局2024年末结转结余13.74万元。</w:t>
      </w:r>
    </w:p>
    <w:p w14:paraId="4BC19A9C">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lang w:val="en-US" w:eastAsia="zh-CN"/>
        </w:rPr>
      </w:pPr>
      <w:bookmarkStart w:id="80" w:name="_Toc16353"/>
      <w:bookmarkStart w:id="81" w:name="_Toc7705"/>
      <w:bookmarkStart w:id="82" w:name="_Toc10974"/>
      <w:r>
        <w:rPr>
          <w:rFonts w:hint="default" w:ascii="Times New Roman" w:hAnsi="Times New Roman" w:eastAsia="方正黑体简体" w:cs="Times New Roman"/>
          <w:color w:val="auto"/>
          <w:kern w:val="0"/>
          <w:sz w:val="32"/>
          <w:szCs w:val="32"/>
          <w:highlight w:val="none"/>
          <w:shd w:val="clear" w:color="auto" w:fill="FFFFFF"/>
        </w:rPr>
        <w:t>三、</w:t>
      </w:r>
      <w:r>
        <w:rPr>
          <w:rFonts w:hint="default" w:ascii="Times New Roman" w:hAnsi="Times New Roman" w:eastAsia="方正黑体简体" w:cs="Times New Roman"/>
          <w:color w:val="auto"/>
          <w:kern w:val="0"/>
          <w:sz w:val="32"/>
          <w:szCs w:val="32"/>
          <w:highlight w:val="none"/>
          <w:shd w:val="clear" w:color="auto" w:fill="FFFFFF"/>
          <w:lang w:val="en-US" w:eastAsia="zh-CN"/>
        </w:rPr>
        <w:t>部门目标实现情况</w:t>
      </w:r>
      <w:bookmarkEnd w:id="73"/>
      <w:bookmarkEnd w:id="74"/>
      <w:bookmarkEnd w:id="75"/>
      <w:bookmarkEnd w:id="80"/>
      <w:bookmarkEnd w:id="81"/>
      <w:bookmarkEnd w:id="82"/>
    </w:p>
    <w:p w14:paraId="5552689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83" w:name="_Toc3573"/>
      <w:bookmarkStart w:id="84" w:name="_Toc28011"/>
      <w:bookmarkStart w:id="85" w:name="_Toc1418"/>
      <w:bookmarkStart w:id="86" w:name="_Toc29501"/>
      <w:bookmarkStart w:id="87" w:name="_Toc22633"/>
      <w:bookmarkStart w:id="88" w:name="_Toc19300"/>
      <w:r>
        <w:rPr>
          <w:rFonts w:hint="default" w:ascii="Times New Roman" w:hAnsi="Times New Roman" w:eastAsia="方正楷体简体" w:cs="Times New Roman"/>
          <w:color w:val="auto"/>
          <w:kern w:val="2"/>
          <w:sz w:val="32"/>
          <w:szCs w:val="32"/>
          <w:highlight w:val="none"/>
          <w:shd w:val="clear"/>
          <w:lang w:val="zh-CN" w:eastAsia="zh-CN"/>
        </w:rPr>
        <w:t>（一）总体目标</w:t>
      </w:r>
      <w:bookmarkEnd w:id="83"/>
      <w:bookmarkEnd w:id="84"/>
      <w:bookmarkEnd w:id="85"/>
      <w:bookmarkEnd w:id="86"/>
      <w:bookmarkEnd w:id="87"/>
      <w:bookmarkEnd w:id="88"/>
    </w:p>
    <w:p w14:paraId="631CE11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bookmarkStart w:id="89" w:name="_Toc132"/>
      <w:bookmarkStart w:id="90" w:name="_Toc6926"/>
      <w:bookmarkStart w:id="91" w:name="_Toc11959"/>
      <w:bookmarkStart w:id="92" w:name="_Toc24652"/>
      <w:bookmarkStart w:id="93" w:name="_Toc4650"/>
      <w:bookmarkStart w:id="94" w:name="_Toc30825"/>
      <w:r>
        <w:rPr>
          <w:rFonts w:hint="default" w:ascii="Times New Roman" w:hAnsi="Times New Roman" w:eastAsia="方正仿宋_GB2312" w:cs="Times New Roman"/>
          <w:color w:val="auto"/>
          <w:sz w:val="32"/>
          <w:szCs w:val="32"/>
          <w:highlight w:val="none"/>
          <w:lang w:val="en-US" w:eastAsia="zh-CN"/>
        </w:rPr>
        <w:t>1.贯彻执行国家统计工作的方针、政策和法律法规以及统计制度、统计标准。拟订全县统计改革和发展规划及全县统计调查计划，审批乡（镇）、县级部门的地方统计调查项目及涉外统计调查机构和项目， 负责全县统计报表的管理工作；组织、监督检查统计法律法规和统计方法制度的实施，依法查处统计违法违规行为，确保统计数据真实、准确、及时。</w:t>
      </w:r>
    </w:p>
    <w:p w14:paraId="7AB0773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2.建立健全全县国民经济核算体系，组织实施全县国民经济核算制度，核算全县地区生产总值，整理提供国民经济核算资料，开展分析研究，负责全县国民经济核算工作。</w:t>
      </w:r>
    </w:p>
    <w:p w14:paraId="332148A8">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r>
        <w:rPr>
          <w:rFonts w:hint="default" w:ascii="Times New Roman" w:hAnsi="Times New Roman" w:eastAsia="方正楷体简体" w:cs="Times New Roman"/>
          <w:color w:val="auto"/>
          <w:kern w:val="2"/>
          <w:sz w:val="32"/>
          <w:szCs w:val="32"/>
          <w:highlight w:val="none"/>
          <w:shd w:val="clear"/>
          <w:lang w:val="zh-CN" w:eastAsia="zh-CN"/>
        </w:rPr>
        <w:t>（二）具体目标</w:t>
      </w:r>
      <w:bookmarkEnd w:id="89"/>
      <w:bookmarkEnd w:id="90"/>
      <w:bookmarkEnd w:id="91"/>
      <w:bookmarkEnd w:id="92"/>
      <w:bookmarkEnd w:id="93"/>
      <w:bookmarkEnd w:id="94"/>
    </w:p>
    <w:p w14:paraId="54A408D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bookmarkStart w:id="95" w:name="_Toc24081"/>
      <w:bookmarkStart w:id="96" w:name="_Toc6491"/>
      <w:bookmarkStart w:id="97" w:name="_Toc17536"/>
      <w:r>
        <w:rPr>
          <w:rFonts w:hint="default" w:ascii="Times New Roman" w:hAnsi="Times New Roman" w:eastAsia="方正仿宋_GB2312" w:cs="Times New Roman"/>
          <w:color w:val="auto"/>
          <w:sz w:val="32"/>
          <w:szCs w:val="32"/>
          <w:highlight w:val="none"/>
          <w:lang w:val="en-US" w:eastAsia="zh-CN"/>
        </w:rPr>
        <w:t>县统计局2024年认真落实中央、省、州纪委全会部署安排，完成了以下工作任务：</w:t>
      </w:r>
    </w:p>
    <w:p w14:paraId="1EABA51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bookmarkStart w:id="98" w:name="_Toc32189"/>
      <w:bookmarkStart w:id="99" w:name="_Toc13068"/>
      <w:bookmarkStart w:id="100" w:name="_Toc21154"/>
      <w:r>
        <w:rPr>
          <w:rFonts w:hint="default" w:ascii="Times New Roman" w:hAnsi="Times New Roman" w:eastAsia="方正仿宋_GB2312" w:cs="Times New Roman"/>
          <w:color w:val="auto"/>
          <w:sz w:val="32"/>
          <w:szCs w:val="32"/>
          <w:highlight w:val="none"/>
          <w:lang w:val="en-US" w:eastAsia="zh-CN"/>
        </w:rPr>
        <w:t>1.做好第五次全国经济普查工作。2024年是第五次全国经济普查工作的全面铺开之年，我局致力于做好名录库大清查工作，成立普查机构、落实普查经费，召开普查工作会议，组织开展社会动员，编制普查实施方案、综合试点方案、数据处理方案和数据质量控制预案，开展好普查综合试点，绘制普查电子地图，划分普查区域。选配好普查指导员、普查员，培训好普查工作队伍，“地毯式”对普查区域进行清查摸底，摸清普查对象总量及分布情况，做好普查数据处理的条件准备工作，补充必需的数据处理设备。</w:t>
      </w:r>
    </w:p>
    <w:p w14:paraId="3FD2621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2.做好各项经济指标统计工作。做好2024年经济运行监测，准确、及时、全面地反映全县经济社会发展状况；进一步强化季度经济运行分析，当好县委、县政府的参谋助手。</w:t>
      </w:r>
    </w:p>
    <w:p w14:paraId="3799BF3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3.认真完成各项专业统计报表任务和各项统计调查工作和社情民意调查任务。</w:t>
      </w:r>
    </w:p>
    <w:p w14:paraId="500998F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4.发挥统计职能，提升服务水平。加强对经济运行情况的监测，积极开展各类社情民意调研，加强统计分析，及时为地方党委、政府和有关部门及社会各界提供统计服务。</w:t>
      </w:r>
    </w:p>
    <w:p w14:paraId="24B4DD7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强化统计基础工作。积极深入基层指导工作，规范基层统计工作秩序，利用农村统计年报会、统计人员继续教育培训等机会，加强基层统计人员统计业务知识和统计法律知识培训，进一步提高基层统计人员业务素质和法律意识，确保统计源头数据真实、准确、可靠。</w:t>
      </w:r>
    </w:p>
    <w:p w14:paraId="3AFA3C8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6.做好各项创建工作。一是要明确目标、具体任务， 统筹抓“面”、精准抓“新”、持续抓“弱”，牢牢把握工作 新要求新变化，就薄弱环节对症下药，治标治本事半功倍。切实做到领导带头先行、股室落实到位。结合“公职人员思想政治提升”主题教育和“民族团结进家庭”活动，共同推动各项创建工作取得成效。</w:t>
      </w:r>
    </w:p>
    <w:p w14:paraId="234D532A">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r>
        <w:rPr>
          <w:rFonts w:hint="default" w:ascii="Times New Roman" w:hAnsi="Times New Roman" w:eastAsia="方正黑体简体" w:cs="Times New Roman"/>
          <w:color w:val="auto"/>
          <w:kern w:val="0"/>
          <w:sz w:val="32"/>
          <w:szCs w:val="32"/>
          <w:highlight w:val="none"/>
          <w:shd w:val="clear" w:color="auto" w:fill="FFFFFF"/>
          <w:lang w:val="en-US" w:eastAsia="zh-CN"/>
        </w:rPr>
        <w:t>四、</w:t>
      </w:r>
      <w:r>
        <w:rPr>
          <w:rFonts w:hint="default" w:ascii="Times New Roman" w:hAnsi="Times New Roman" w:eastAsia="方正黑体简体" w:cs="Times New Roman"/>
          <w:color w:val="auto"/>
          <w:kern w:val="0"/>
          <w:sz w:val="32"/>
          <w:szCs w:val="32"/>
          <w:highlight w:val="none"/>
          <w:shd w:val="clear" w:color="auto" w:fill="FFFFFF"/>
        </w:rPr>
        <w:t>部门整体支出</w:t>
      </w:r>
      <w:r>
        <w:rPr>
          <w:rFonts w:hint="default" w:ascii="Times New Roman" w:hAnsi="Times New Roman" w:eastAsia="方正黑体简体" w:cs="Times New Roman"/>
          <w:color w:val="auto"/>
          <w:kern w:val="0"/>
          <w:sz w:val="32"/>
          <w:szCs w:val="32"/>
          <w:highlight w:val="none"/>
          <w:shd w:val="clear" w:color="auto" w:fill="FFFFFF"/>
          <w:lang w:val="zh-CN"/>
        </w:rPr>
        <w:t>绩效评价</w:t>
      </w:r>
      <w:r>
        <w:rPr>
          <w:rFonts w:hint="default" w:ascii="Times New Roman" w:hAnsi="Times New Roman" w:eastAsia="方正黑体简体" w:cs="Times New Roman"/>
          <w:color w:val="auto"/>
          <w:kern w:val="0"/>
          <w:sz w:val="32"/>
          <w:szCs w:val="32"/>
          <w:highlight w:val="none"/>
          <w:shd w:val="clear" w:color="auto" w:fill="FFFFFF"/>
        </w:rPr>
        <w:t>情况</w:t>
      </w:r>
      <w:bookmarkEnd w:id="76"/>
      <w:bookmarkEnd w:id="77"/>
      <w:bookmarkEnd w:id="78"/>
      <w:bookmarkEnd w:id="79"/>
      <w:bookmarkEnd w:id="95"/>
      <w:bookmarkEnd w:id="96"/>
      <w:bookmarkEnd w:id="97"/>
      <w:bookmarkEnd w:id="98"/>
      <w:bookmarkEnd w:id="99"/>
      <w:bookmarkEnd w:id="100"/>
    </w:p>
    <w:p w14:paraId="5A75D544">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zh-CN" w:eastAsia="zh-CN"/>
        </w:rPr>
      </w:pPr>
      <w:bookmarkStart w:id="101" w:name="_Toc7521"/>
      <w:bookmarkStart w:id="102" w:name="_Toc28828"/>
      <w:bookmarkStart w:id="103" w:name="_Toc29571"/>
      <w:bookmarkStart w:id="104" w:name="_Toc24977"/>
      <w:bookmarkStart w:id="105" w:name="_Toc24619"/>
      <w:bookmarkStart w:id="106" w:name="_Toc11694"/>
      <w:bookmarkStart w:id="107" w:name="_Toc428273082"/>
      <w:bookmarkStart w:id="108" w:name="_Toc8903"/>
      <w:bookmarkStart w:id="109" w:name="_Toc4199"/>
      <w:bookmarkStart w:id="110" w:name="_Toc27305"/>
      <w:bookmarkStart w:id="111" w:name="_Toc109483840"/>
      <w:r>
        <w:rPr>
          <w:rFonts w:hint="default" w:ascii="Times New Roman" w:hAnsi="Times New Roman" w:eastAsia="方正楷体简体" w:cs="Times New Roman"/>
          <w:color w:val="auto"/>
          <w:kern w:val="2"/>
          <w:sz w:val="32"/>
          <w:szCs w:val="32"/>
          <w:highlight w:val="none"/>
          <w:shd w:val="clear"/>
          <w:lang w:val="zh-CN" w:eastAsia="zh-CN"/>
        </w:rPr>
        <w:t>（一）绩效评价实施过程</w:t>
      </w:r>
      <w:bookmarkEnd w:id="101"/>
      <w:bookmarkEnd w:id="102"/>
      <w:bookmarkEnd w:id="103"/>
      <w:bookmarkEnd w:id="104"/>
      <w:bookmarkEnd w:id="105"/>
      <w:bookmarkEnd w:id="106"/>
    </w:p>
    <w:p w14:paraId="3E043EB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评价小组按照评价日程安排，对</w:t>
      </w:r>
      <w:r>
        <w:rPr>
          <w:rFonts w:hint="default" w:ascii="Times New Roman" w:hAnsi="Times New Roman" w:eastAsia="方正仿宋_GB2312" w:cs="Times New Roman"/>
          <w:color w:val="auto"/>
          <w:sz w:val="32"/>
          <w:szCs w:val="32"/>
          <w:highlight w:val="none"/>
          <w:lang w:val="en-US" w:eastAsia="zh-CN"/>
        </w:rPr>
        <w:t>县统计局</w:t>
      </w:r>
      <w:r>
        <w:rPr>
          <w:rFonts w:hint="default" w:ascii="Times New Roman" w:hAnsi="Times New Roman" w:eastAsia="方正仿宋_GB2312" w:cs="Times New Roman"/>
          <w:color w:val="auto"/>
          <w:sz w:val="32"/>
          <w:szCs w:val="32"/>
          <w:highlight w:val="none"/>
          <w:lang w:val="zh-CN" w:eastAsia="zh-CN"/>
        </w:rPr>
        <w:t>提交的评价资料进行认真梳理，测算分析各项指标，汇总评分并形成评价报告。</w:t>
      </w:r>
    </w:p>
    <w:p w14:paraId="5A0A372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1.对相关资料进行研读，对整体评价有基本的把握和了解，归纳出进一步评价所需的信息供下一步取数参考。</w:t>
      </w:r>
    </w:p>
    <w:p w14:paraId="5D575BB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2.集中对各个评价指标逐一进行分析，以保证取数的准确性。</w:t>
      </w:r>
    </w:p>
    <w:p w14:paraId="777A176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3.评价小组汇总分析评价过程中发现的问题并对存在问题进行讨论，根据取得的数据分别计算各评价指标所得分数，形成评价结果。</w:t>
      </w:r>
    </w:p>
    <w:p w14:paraId="3B0DF91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4.根据评价结果，撰写评价报告。</w:t>
      </w:r>
    </w:p>
    <w:p w14:paraId="0280D38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zh-CN" w:eastAsia="zh-CN"/>
        </w:rPr>
      </w:pPr>
      <w:r>
        <w:rPr>
          <w:rFonts w:hint="default" w:ascii="Times New Roman" w:hAnsi="Times New Roman" w:eastAsia="方正仿宋_GB2312" w:cs="Times New Roman"/>
          <w:color w:val="auto"/>
          <w:sz w:val="32"/>
          <w:szCs w:val="32"/>
          <w:highlight w:val="none"/>
          <w:lang w:val="zh-CN" w:eastAsia="zh-CN"/>
        </w:rPr>
        <w:t>5.与绩效评价相关者沟通，完善并形成绩效评价报告终稿。</w:t>
      </w:r>
    </w:p>
    <w:p w14:paraId="2ADF116E">
      <w:pPr>
        <w:keepNext w:val="0"/>
        <w:keepLines w:val="0"/>
        <w:pageBreakBefore w:val="0"/>
        <w:widowControl w:val="0"/>
        <w:kinsoku/>
        <w:wordWrap/>
        <w:overflowPunct/>
        <w:topLinePunct w:val="0"/>
        <w:autoSpaceDE/>
        <w:autoSpaceDN/>
        <w:bidi w:val="0"/>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color="auto" w:fill="auto"/>
          <w:lang w:val="en-US" w:eastAsia="zh-CN"/>
        </w:rPr>
      </w:pPr>
      <w:bookmarkStart w:id="112" w:name="_Toc16416"/>
      <w:bookmarkStart w:id="113" w:name="_Toc4385"/>
      <w:bookmarkStart w:id="114" w:name="_Toc24380"/>
      <w:bookmarkStart w:id="115" w:name="_Toc23900"/>
      <w:bookmarkStart w:id="116" w:name="_Toc30977"/>
      <w:bookmarkStart w:id="117" w:name="_Toc3794"/>
      <w:r>
        <w:rPr>
          <w:rFonts w:hint="default" w:ascii="Times New Roman" w:hAnsi="Times New Roman" w:eastAsia="方正楷体简体" w:cs="Times New Roman"/>
          <w:color w:val="auto"/>
          <w:kern w:val="2"/>
          <w:sz w:val="32"/>
          <w:szCs w:val="32"/>
          <w:highlight w:val="none"/>
          <w:shd w:val="clear" w:color="auto" w:fill="auto"/>
          <w:lang w:val="zh-CN" w:eastAsia="zh-CN"/>
        </w:rPr>
        <w:t>（</w:t>
      </w:r>
      <w:r>
        <w:rPr>
          <w:rFonts w:hint="default" w:ascii="Times New Roman" w:hAnsi="Times New Roman" w:eastAsia="方正楷体简体" w:cs="Times New Roman"/>
          <w:color w:val="auto"/>
          <w:kern w:val="2"/>
          <w:sz w:val="32"/>
          <w:szCs w:val="32"/>
          <w:highlight w:val="none"/>
          <w:shd w:val="clear" w:color="auto" w:fill="auto"/>
          <w:lang w:val="en-US" w:eastAsia="zh-CN"/>
        </w:rPr>
        <w:t>二）</w:t>
      </w:r>
      <w:bookmarkEnd w:id="107"/>
      <w:bookmarkEnd w:id="108"/>
      <w:r>
        <w:rPr>
          <w:rFonts w:hint="default" w:ascii="Times New Roman" w:hAnsi="Times New Roman" w:eastAsia="方正楷体简体" w:cs="Times New Roman"/>
          <w:color w:val="auto"/>
          <w:kern w:val="2"/>
          <w:sz w:val="32"/>
          <w:szCs w:val="32"/>
          <w:highlight w:val="none"/>
          <w:shd w:val="clear" w:color="auto" w:fill="auto"/>
          <w:lang w:val="en-US" w:eastAsia="zh-CN"/>
        </w:rPr>
        <w:t>评价结论</w:t>
      </w:r>
      <w:bookmarkEnd w:id="112"/>
      <w:bookmarkEnd w:id="113"/>
      <w:bookmarkEnd w:id="114"/>
      <w:bookmarkEnd w:id="115"/>
      <w:bookmarkEnd w:id="116"/>
      <w:bookmarkEnd w:id="117"/>
    </w:p>
    <w:bookmarkEnd w:id="109"/>
    <w:bookmarkEnd w:id="110"/>
    <w:bookmarkEnd w:id="111"/>
    <w:p w14:paraId="11D0484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统计局围绕县委、县政府中心工作，切实按照州统计局的工作安排，较好地完成了第五次全国经济普查工作、做好各项经济指标统计工作，加强对经济运行情况的监测，积极开展各类社情民意调研，加强统计分析，及时为地方党委、政府和有关部门及社会各界提供统计服务。县统计局在维持部门运转的基础上，完成了部门职责范围内的各项工作，部门履职情况较好。</w:t>
      </w:r>
    </w:p>
    <w:p w14:paraId="38EC819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按照设定的评价指标体系，通过对县统计局</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4年度部门整体支出情况在预算编制、预算执行、完成结果、信息公开、整改反馈、自评质量方面进行综合评价，</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4年度县统计局部门整体支出绩效评价指标分值100.00分，得分83.48分。详见下表：</w:t>
      </w:r>
    </w:p>
    <w:p w14:paraId="586E1AED">
      <w:pPr>
        <w:keepNext/>
        <w:keepLines w:val="0"/>
        <w:pageBreakBefore w:val="0"/>
        <w:widowControl w:val="0"/>
        <w:kinsoku/>
        <w:wordWrap/>
        <w:overflowPunct/>
        <w:topLinePunct w:val="0"/>
        <w:autoSpaceDE/>
        <w:autoSpaceDN/>
        <w:bidi w:val="0"/>
        <w:adjustRightInd/>
        <w:snapToGrid/>
        <w:spacing w:line="600" w:lineRule="exact"/>
        <w:ind w:left="0" w:firstLine="0" w:firstLineChars="0"/>
        <w:jc w:val="center"/>
        <w:textAlignment w:val="auto"/>
        <w:outlineLvl w:val="9"/>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县统计局</w:t>
      </w:r>
      <w:r>
        <w:rPr>
          <w:rFonts w:hint="default" w:ascii="Times New Roman" w:hAnsi="Times New Roman" w:eastAsia="方正仿宋_GB2312" w:cs="Times New Roman"/>
          <w:color w:val="auto"/>
          <w:sz w:val="32"/>
          <w:szCs w:val="32"/>
          <w:highlight w:val="none"/>
          <w:lang w:val="en-US" w:eastAsia="zh"/>
        </w:rPr>
        <w:t>202</w:t>
      </w:r>
      <w:r>
        <w:rPr>
          <w:rFonts w:hint="default" w:ascii="Times New Roman" w:hAnsi="Times New Roman" w:eastAsia="方正仿宋_GB2312" w:cs="Times New Roman"/>
          <w:color w:val="auto"/>
          <w:sz w:val="32"/>
          <w:szCs w:val="32"/>
          <w:highlight w:val="none"/>
          <w:lang w:val="en-US" w:eastAsia="zh-CN"/>
        </w:rPr>
        <w:t>4年部门整体支出绩效评价评分表</w:t>
      </w:r>
    </w:p>
    <w:tbl>
      <w:tblPr>
        <w:tblStyle w:val="18"/>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70"/>
        <w:gridCol w:w="2292"/>
        <w:gridCol w:w="1318"/>
        <w:gridCol w:w="622"/>
        <w:gridCol w:w="959"/>
        <w:gridCol w:w="850"/>
      </w:tblGrid>
      <w:tr w14:paraId="3C54E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1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7D0F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bookmarkStart w:id="118" w:name="_Toc13729"/>
            <w:bookmarkStart w:id="119" w:name="_Toc4242"/>
            <w:bookmarkStart w:id="120" w:name="_Toc14707"/>
            <w:bookmarkStart w:id="121" w:name="_Toc109483841"/>
            <w:bookmarkStart w:id="122" w:name="_Toc1687911260"/>
            <w:bookmarkStart w:id="123" w:name="_Toc16394"/>
            <w:bookmarkStart w:id="124" w:name="_Toc26985"/>
            <w:bookmarkStart w:id="125" w:name="_Toc31945"/>
            <w:bookmarkStart w:id="126" w:name="_Toc24818"/>
            <w:bookmarkStart w:id="127" w:name="_Toc28266"/>
            <w:r>
              <w:rPr>
                <w:rFonts w:hint="default" w:ascii="Times New Roman" w:hAnsi="Times New Roman" w:eastAsia="方正仿宋_GB2312" w:cs="Times New Roman"/>
                <w:b/>
                <w:bCs/>
                <w:i w:val="0"/>
                <w:iCs w:val="0"/>
                <w:color w:val="000000"/>
                <w:kern w:val="0"/>
                <w:sz w:val="20"/>
                <w:szCs w:val="20"/>
                <w:u w:val="none"/>
                <w:lang w:val="en-US" w:eastAsia="zh-CN" w:bidi="ar"/>
              </w:rPr>
              <w:t>一级指标</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3219F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二级指标</w:t>
            </w:r>
          </w:p>
        </w:tc>
        <w:tc>
          <w:tcPr>
            <w:tcW w:w="77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82B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三级指标</w:t>
            </w:r>
          </w:p>
        </w:tc>
        <w:tc>
          <w:tcPr>
            <w:tcW w:w="36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18F81">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分值</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DC7C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扣分</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23F72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b/>
                <w:bCs/>
                <w:i w:val="0"/>
                <w:iCs w:val="0"/>
                <w:color w:val="000000"/>
                <w:sz w:val="20"/>
                <w:szCs w:val="20"/>
                <w:u w:val="none"/>
              </w:rPr>
            </w:pPr>
            <w:r>
              <w:rPr>
                <w:rFonts w:hint="default" w:ascii="Times New Roman" w:hAnsi="Times New Roman" w:eastAsia="方正仿宋_GB2312" w:cs="Times New Roman"/>
                <w:b/>
                <w:bCs/>
                <w:i w:val="0"/>
                <w:iCs w:val="0"/>
                <w:color w:val="000000"/>
                <w:kern w:val="0"/>
                <w:sz w:val="20"/>
                <w:szCs w:val="20"/>
                <w:u w:val="none"/>
                <w:lang w:val="en-US" w:eastAsia="zh-CN" w:bidi="ar"/>
              </w:rPr>
              <w:t>得分</w:t>
            </w:r>
          </w:p>
        </w:tc>
      </w:tr>
      <w:tr w14:paraId="7F9103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0" w:hRule="atLeast"/>
          <w:jc w:val="center"/>
        </w:trPr>
        <w:tc>
          <w:tcPr>
            <w:tcW w:w="14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6E4E9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部门预算管理（50分）</w:t>
            </w: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A368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目标管理（15分）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EB951D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目标制定</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C6819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3153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999F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3D0DB0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F8DC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68A70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5D1AB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目标实现</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5CA7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A859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E9A1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45423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487EF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C66BC6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过程控制（10分）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71312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执行进度</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590F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219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0.09</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7895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3.91</w:t>
            </w:r>
          </w:p>
        </w:tc>
      </w:tr>
      <w:tr w14:paraId="12F09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EA79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E609A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2807D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同步调整</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D1C1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2F439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08D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4E48AF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51DC6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3F92E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89901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及时处置</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5469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F1E0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95D3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w:t>
            </w:r>
          </w:p>
        </w:tc>
      </w:tr>
      <w:tr w14:paraId="785B8E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719EB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A2CA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完成效率（5分）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737C0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预算结余率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DDDE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A570A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C28D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r>
      <w:tr w14:paraId="61A0D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609EB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06A3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完成效果（20分）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B8CFD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实施效果</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F47E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F782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453F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15</w:t>
            </w:r>
          </w:p>
        </w:tc>
      </w:tr>
      <w:tr w14:paraId="148A2F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0" w:hRule="atLeast"/>
          <w:jc w:val="center"/>
        </w:trPr>
        <w:tc>
          <w:tcPr>
            <w:tcW w:w="1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7FFEC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专项预算绩效（30分）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48F1CF">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整体完成（30分）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8E5A5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完成率</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36BBB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30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4EDE5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5.43</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D18E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24.57</w:t>
            </w:r>
          </w:p>
        </w:tc>
      </w:tr>
      <w:tr w14:paraId="1A8916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51"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67675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绩效结果应用（14分）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42A6DE">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内部应用（4分）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63B24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预算挂钩</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634E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5C10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49B1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2</w:t>
            </w:r>
          </w:p>
        </w:tc>
      </w:tr>
      <w:tr w14:paraId="3089C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14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97BFD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2DB44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信息公开（4分）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56AD20">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自评公开</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3F8F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DAEECA">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0053A6">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4</w:t>
            </w:r>
          </w:p>
        </w:tc>
      </w:tr>
      <w:tr w14:paraId="7CBB9E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jc w:val="center"/>
        </w:trPr>
        <w:tc>
          <w:tcPr>
            <w:tcW w:w="1451"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FE0E32">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rPr>
                <w:rFonts w:hint="default" w:ascii="Times New Roman" w:hAnsi="Times New Roman" w:eastAsia="方正仿宋_GB2312" w:cs="Times New Roman"/>
                <w:i w:val="0"/>
                <w:iCs w:val="0"/>
                <w:color w:val="000000"/>
                <w:sz w:val="20"/>
                <w:szCs w:val="20"/>
                <w:u w:val="none"/>
              </w:rPr>
            </w:pP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6C730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整改反馈（6分）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DD0F0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问题整改</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067A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31FB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CA18A4">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53E74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0" w:hRule="atLeast"/>
          <w:jc w:val="center"/>
        </w:trPr>
        <w:tc>
          <w:tcPr>
            <w:tcW w:w="145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B1505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134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0EBC98">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自评质量（6分）</w:t>
            </w:r>
          </w:p>
        </w:tc>
        <w:tc>
          <w:tcPr>
            <w:tcW w:w="773"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8F25A5">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自评质量</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05F82C">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CF87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0</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DCD6D">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6</w:t>
            </w:r>
          </w:p>
        </w:tc>
      </w:tr>
      <w:tr w14:paraId="1D79F9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3571"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BD1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合计</w:t>
            </w:r>
          </w:p>
        </w:tc>
        <w:tc>
          <w:tcPr>
            <w:tcW w:w="3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DD559">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100</w:t>
            </w:r>
          </w:p>
        </w:tc>
        <w:tc>
          <w:tcPr>
            <w:tcW w:w="56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84E77">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16.52</w:t>
            </w:r>
          </w:p>
        </w:tc>
        <w:tc>
          <w:tcPr>
            <w:tcW w:w="4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D07043">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0" w:firstLineChars="0"/>
              <w:jc w:val="center"/>
              <w:textAlignment w:val="center"/>
              <w:rPr>
                <w:rFonts w:hint="default" w:ascii="Times New Roman" w:hAnsi="Times New Roman" w:eastAsia="方正仿宋_GB2312" w:cs="Times New Roman"/>
                <w:i w:val="0"/>
                <w:iCs w:val="0"/>
                <w:color w:val="000000"/>
                <w:sz w:val="20"/>
                <w:szCs w:val="20"/>
                <w:u w:val="none"/>
              </w:rPr>
            </w:pPr>
            <w:r>
              <w:rPr>
                <w:rFonts w:hint="default" w:ascii="Times New Roman" w:hAnsi="Times New Roman" w:eastAsia="方正仿宋_GB2312" w:cs="Times New Roman"/>
                <w:i w:val="0"/>
                <w:iCs w:val="0"/>
                <w:color w:val="000000"/>
                <w:kern w:val="0"/>
                <w:sz w:val="20"/>
                <w:szCs w:val="20"/>
                <w:u w:val="none"/>
                <w:lang w:val="en-US" w:eastAsia="zh-CN" w:bidi="ar"/>
              </w:rPr>
              <w:t>83.48</w:t>
            </w:r>
          </w:p>
        </w:tc>
      </w:tr>
    </w:tbl>
    <w:p w14:paraId="7CAEDB59">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r>
        <w:rPr>
          <w:rFonts w:hint="default" w:ascii="Times New Roman" w:hAnsi="Times New Roman" w:eastAsia="方正楷体简体" w:cs="Times New Roman"/>
          <w:color w:val="auto"/>
          <w:kern w:val="2"/>
          <w:sz w:val="32"/>
          <w:szCs w:val="32"/>
          <w:highlight w:val="none"/>
          <w:shd w:val="clear"/>
          <w:lang w:val="en-US" w:eastAsia="zh-CN"/>
        </w:rPr>
        <w:t>（三）绩效结果应用</w:t>
      </w:r>
      <w:bookmarkEnd w:id="118"/>
      <w:bookmarkEnd w:id="119"/>
      <w:bookmarkEnd w:id="120"/>
    </w:p>
    <w:p w14:paraId="3974C46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统计局履职效能较好，对获得的专项资金进行了专账核算，确保专款专用，并加强对项目资金的管理、使用、审计和监督，最大限度地发挥项目资金使用效益；全面实施绩效预算管理，高度重视绩效预算管理在目标绩效管理工作中的重大意义，</w:t>
      </w:r>
      <w:r>
        <w:rPr>
          <w:rFonts w:hint="eastAsia" w:ascii="Times New Roman" w:hAnsi="Times New Roman" w:eastAsia="方正仿宋_GB2312" w:cs="Times New Roman"/>
          <w:color w:val="auto"/>
          <w:sz w:val="32"/>
          <w:szCs w:val="32"/>
          <w:highlight w:val="none"/>
          <w:lang w:val="en-US" w:eastAsia="zh-CN"/>
        </w:rPr>
        <w:t>全面推进</w:t>
      </w:r>
      <w:r>
        <w:rPr>
          <w:rFonts w:hint="default" w:ascii="Times New Roman" w:hAnsi="Times New Roman" w:eastAsia="方正仿宋_GB2312" w:cs="Times New Roman"/>
          <w:color w:val="auto"/>
          <w:sz w:val="32"/>
          <w:szCs w:val="32"/>
          <w:highlight w:val="none"/>
          <w:lang w:val="en-US" w:eastAsia="zh-CN"/>
        </w:rPr>
        <w:t>绩效预算管理进程</w:t>
      </w:r>
      <w:r>
        <w:rPr>
          <w:rFonts w:hint="default" w:ascii="Times New Roman" w:hAnsi="Times New Roman" w:eastAsia="方正仿宋_GB2312" w:cs="Times New Roman"/>
          <w:color w:val="auto"/>
          <w:sz w:val="32"/>
          <w:szCs w:val="32"/>
          <w:highlight w:val="none"/>
          <w:lang w:val="en-US" w:eastAsia="zh"/>
        </w:rPr>
        <w:t>。</w:t>
      </w:r>
      <w:r>
        <w:rPr>
          <w:rFonts w:hint="default" w:ascii="Times New Roman" w:hAnsi="Times New Roman" w:eastAsia="方正仿宋_GB2312" w:cs="Times New Roman"/>
          <w:color w:val="auto"/>
          <w:sz w:val="32"/>
          <w:szCs w:val="32"/>
          <w:highlight w:val="none"/>
          <w:lang w:val="en-US" w:eastAsia="zh-CN"/>
        </w:rPr>
        <w:t>通过评价组对县统计局进行事后评价，最终县统计局绩效等级为“良”。秉承科学公正、统筹兼顾、激励约束和公开透明财政绩效原则。</w:t>
      </w:r>
      <w:r>
        <w:rPr>
          <w:rFonts w:hint="eastAsia" w:eastAsia="方正仿宋_GB2312" w:cs="Times New Roman"/>
          <w:color w:val="auto"/>
          <w:sz w:val="32"/>
          <w:szCs w:val="32"/>
          <w:highlight w:val="none"/>
          <w:lang w:val="en-US" w:eastAsia="zh-CN"/>
        </w:rPr>
        <w:t>我局</w:t>
      </w:r>
      <w:r>
        <w:rPr>
          <w:rFonts w:hint="default" w:ascii="Times New Roman" w:hAnsi="Times New Roman" w:eastAsia="方正仿宋_GB2312" w:cs="Times New Roman"/>
          <w:color w:val="auto"/>
          <w:sz w:val="32"/>
          <w:szCs w:val="32"/>
          <w:highlight w:val="none"/>
          <w:lang w:val="en-US" w:eastAsia="zh-CN"/>
        </w:rPr>
        <w:t>建议泸定县财政局针对部门预算绩效管理，进一步要求县统计局完善绩效目标编制、提高绩效自评质量、加强年初预算编制准确性。</w:t>
      </w:r>
    </w:p>
    <w:p w14:paraId="0651BF79">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1"/>
        <w:rPr>
          <w:rFonts w:hint="default" w:ascii="Times New Roman" w:hAnsi="Times New Roman" w:eastAsia="方正楷体简体" w:cs="Times New Roman"/>
          <w:color w:val="auto"/>
          <w:kern w:val="2"/>
          <w:sz w:val="32"/>
          <w:szCs w:val="32"/>
          <w:highlight w:val="none"/>
          <w:shd w:val="clear"/>
          <w:lang w:val="en-US" w:eastAsia="zh-CN"/>
        </w:rPr>
      </w:pPr>
      <w:bookmarkStart w:id="128" w:name="_Toc11390"/>
      <w:bookmarkStart w:id="129" w:name="_Toc26977"/>
      <w:bookmarkStart w:id="130" w:name="_Toc6100"/>
      <w:r>
        <w:rPr>
          <w:rFonts w:hint="default" w:ascii="Times New Roman" w:hAnsi="Times New Roman" w:eastAsia="方正楷体简体" w:cs="Times New Roman"/>
          <w:color w:val="auto"/>
          <w:kern w:val="2"/>
          <w:sz w:val="32"/>
          <w:szCs w:val="32"/>
          <w:highlight w:val="none"/>
          <w:shd w:val="clear"/>
          <w:lang w:val="en-US" w:eastAsia="zh-CN"/>
        </w:rPr>
        <w:t>（四）</w:t>
      </w:r>
      <w:bookmarkEnd w:id="121"/>
      <w:bookmarkEnd w:id="122"/>
      <w:bookmarkEnd w:id="123"/>
      <w:bookmarkEnd w:id="124"/>
      <w:r>
        <w:rPr>
          <w:rFonts w:hint="default" w:ascii="Times New Roman" w:hAnsi="Times New Roman" w:eastAsia="方正楷体简体" w:cs="Times New Roman"/>
          <w:color w:val="auto"/>
          <w:kern w:val="2"/>
          <w:sz w:val="32"/>
          <w:szCs w:val="32"/>
          <w:highlight w:val="none"/>
          <w:shd w:val="clear"/>
          <w:lang w:val="en-US" w:eastAsia="zh-CN"/>
        </w:rPr>
        <w:t>评价分析</w:t>
      </w:r>
      <w:bookmarkEnd w:id="125"/>
      <w:bookmarkEnd w:id="126"/>
      <w:bookmarkEnd w:id="127"/>
      <w:bookmarkEnd w:id="128"/>
      <w:bookmarkEnd w:id="129"/>
      <w:bookmarkEnd w:id="130"/>
    </w:p>
    <w:p w14:paraId="6BF6F19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1.部门预算总体绩效管理情况</w:t>
      </w:r>
    </w:p>
    <w:p w14:paraId="18E7688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（1）目标管理</w:t>
      </w:r>
    </w:p>
    <w:p w14:paraId="14F83ED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二级指标“目标管理”下设两个三级指标分别为：目标制定、目标实现。</w:t>
      </w:r>
    </w:p>
    <w:p w14:paraId="5852C13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①目标制定</w:t>
      </w:r>
    </w:p>
    <w:p w14:paraId="4059A89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统计局在泸定县人民政府门户网站公开的2024年度部门预算和绩效目标，制定了年度部门及项目整体支出绩效目标，绩效目标涵盖数量、质量、时效、效益等指标，绩效目标随预算已上报人大完成审核，但未对部门整体项目进行集体决策，未将部门绩效目标纳入集体决策范围。根据现场评价情况，泸定县统计局《部门（单位）整体支出绩效目标申报表》目标要素齐全，但存在整体目标不够细化，绩效目标设置不明确等问题。</w:t>
      </w:r>
    </w:p>
    <w:p w14:paraId="4392A5A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本项分值为10.00分，扣4.00分，得分为6.00分。</w:t>
      </w:r>
    </w:p>
    <w:p w14:paraId="051439E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②目标实现</w:t>
      </w:r>
    </w:p>
    <w:p w14:paraId="197FB1D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统计局提供的2024年度年初预算项目绩效目标申报表及项目完成资料，县统计局整体涉及3个数量指标，2个成本指标。根据现场评价情况，实际完成3个数量指标，完成率100%；实际完成2个成本指标，完成率100%。</w:t>
      </w:r>
    </w:p>
    <w:p w14:paraId="35DC9D7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本项分值为10.00分，扣0.00分，得分为10.00分。</w:t>
      </w:r>
    </w:p>
    <w:p w14:paraId="07A8489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（2）过程控制</w:t>
      </w:r>
    </w:p>
    <w:p w14:paraId="51D011B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二级指标“过程控制”下设三个三级指标分别为：执行进度、同步调整、及时处置。</w:t>
      </w:r>
    </w:p>
    <w:p w14:paraId="2AC6A60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①执行进度</w:t>
      </w:r>
    </w:p>
    <w:p w14:paraId="507D1927">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根据《2025年泸定县部门整体支出绩效评价指标体系》，部门预算执行进度在6、9、11月应达到序时进度的80%、90%、90%，即实际支出进度分别达到40%、67.5%、82.5%。</w:t>
      </w:r>
    </w:p>
    <w:p w14:paraId="2756347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被评价单位提供的1-6月、1-9月、1-11月可执行指标执行情况表显示，2024年泸定县统计局1-6月预算数501.22万元，实际执行数209.69万元，进度为41.84%；1-9月预算数501.22万元，实际执行数323.62万元，进度为64.57%；1-11月预算数501.22万元，实际执行数433.92万元，进度为86.57%。</w:t>
      </w:r>
    </w:p>
    <w:p w14:paraId="6C7CA11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上述三个阶段中，根据可执行指标执行情况表被评价单位1-6月、1-11月实际支出已达到目标进度，1-9月实际支出进度未达到目标进度。</w:t>
      </w:r>
    </w:p>
    <w:p w14:paraId="51F3DF0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本项分值为8.00分，扣0.09分，得分为7.91分。</w:t>
      </w:r>
    </w:p>
    <w:p w14:paraId="22956C4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②同步调整</w:t>
      </w:r>
    </w:p>
    <w:p w14:paraId="7C6E56A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2024年县统计局预算项目2个，根据被评价单位提供的可执行指标执行情况表，预算调整项目2个，其中2个均随预算调整同步完成绩效目标调整。</w:t>
      </w:r>
    </w:p>
    <w:p w14:paraId="67B9BB7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p w14:paraId="2756E4F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③及时处置</w:t>
      </w:r>
    </w:p>
    <w:p w14:paraId="7D6D253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2024年财政局未对县统计局开展重点绩效监控，县统计局自行开展了绩效运行监控，未发现绩效相关问题。</w:t>
      </w:r>
    </w:p>
    <w:p w14:paraId="3F0CF77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p w14:paraId="28F3F60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（3）完成结果</w:t>
      </w:r>
    </w:p>
    <w:p w14:paraId="6AD9472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二级指标“完成结果”下设一个三级指标为：预算结余率。</w:t>
      </w:r>
    </w:p>
    <w:p w14:paraId="73B5FAF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根据县统计局2024年度决算报表与可执行指标执行情况表被评价单位2024年度预算项目共计2个，部门预算项目资金结余率小于10%有1个，大于10%有1个。</w:t>
      </w:r>
    </w:p>
    <w:p w14:paraId="4A928BD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本项分值为10.00分，扣5.00分，得分为5.00分。</w:t>
      </w:r>
    </w:p>
    <w:p w14:paraId="38BE5EDF">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2.部门预算项目绩效管理情况</w:t>
      </w:r>
    </w:p>
    <w:p w14:paraId="5AC6685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（1）完成效果</w:t>
      </w:r>
    </w:p>
    <w:p w14:paraId="2B68E03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二级指标“完成效果”下设一个三级指标为实施效果。</w:t>
      </w:r>
    </w:p>
    <w:p w14:paraId="37D66CB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2024年县统计局部门预算项目共2个，涉及预算资金203.60万元，评价组抽取项目2个，抽取项目预算资金203.60万元；抽取率为100.00%。抽取项目为住户抽样调查工作经费项目、</w:t>
      </w:r>
      <w:r>
        <w:rPr>
          <w:rFonts w:hint="eastAsia" w:ascii="Times New Roman" w:hAnsi="Times New Roman" w:eastAsia="方正仿宋_GB2312" w:cs="Times New Roman"/>
          <w:color w:val="auto"/>
          <w:sz w:val="32"/>
          <w:szCs w:val="32"/>
          <w:highlight w:val="none"/>
          <w:lang w:val="en-US" w:eastAsia="zh-CN"/>
        </w:rPr>
        <w:t>第</w:t>
      </w:r>
      <w:r>
        <w:rPr>
          <w:rFonts w:hint="default" w:ascii="Times New Roman" w:hAnsi="Times New Roman" w:eastAsia="方正仿宋_GB2312" w:cs="Times New Roman"/>
          <w:color w:val="auto"/>
          <w:sz w:val="32"/>
          <w:szCs w:val="32"/>
          <w:highlight w:val="none"/>
          <w:lang w:val="en-US" w:eastAsia="zh-CN"/>
        </w:rPr>
        <w:t>第五次经济普查工作经费项目。评价组抽取项目的绩效评价指标体系均采用《2025年泸定县部门整体支出绩效评价指标体系》。经评价小组复核评分，抽查的预算项目平均得分81.89分。</w:t>
      </w:r>
    </w:p>
    <w:p w14:paraId="4ADF518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本项分值为30.00分，扣5.43分，得分为24.57分。</w:t>
      </w:r>
    </w:p>
    <w:p w14:paraId="6B552CA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3.绩效结果应用</w:t>
      </w:r>
    </w:p>
    <w:p w14:paraId="0AF25A0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（1）内部应用</w:t>
      </w:r>
    </w:p>
    <w:p w14:paraId="1C81E90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二级指标“内部应用”下设一个三级指标为：预算挂钩。</w:t>
      </w:r>
    </w:p>
    <w:p w14:paraId="7AFCC4A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截至评价日，县统计局制定了《预算管理制度》，但单位绩效管理情况未纳入内部考核体系且内部绩效结果未与预算挂钩。</w:t>
      </w:r>
    </w:p>
    <w:p w14:paraId="26F62B8E">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本项分值为4.00分，扣2.00分，得分为2.00分。</w:t>
      </w:r>
    </w:p>
    <w:p w14:paraId="3DFC40C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（2）信息公开</w:t>
      </w:r>
    </w:p>
    <w:p w14:paraId="02CEE86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二级指标“信息公开”下设一个三级指标为：自评公开。</w:t>
      </w:r>
    </w:p>
    <w:p w14:paraId="74A12D0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预决算公开。县统计局于2024年3月28日在泸定县人民政府网上进行了部门预算及项目绩效目标的公开。截至评价日，代表大会常务委员会暂未召开，未对2024年泸定县决算（草案）和决算报告进行审查，故未进行2024年决算信息的公开。</w:t>
      </w:r>
    </w:p>
    <w:p w14:paraId="4A2F8C2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②绩效信息公开。截至评价日，因2024年决算信息未公开，即被评价单位部门整体自评报告及项目自评等相关绩效信息情况均未随决算公开。</w:t>
      </w:r>
    </w:p>
    <w:p w14:paraId="101CBC0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本项分值为4.00分，扣0.00分，得分为4.00分。</w:t>
      </w:r>
    </w:p>
    <w:p w14:paraId="6B3C2C5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（3）整改反馈</w:t>
      </w:r>
    </w:p>
    <w:p w14:paraId="23157FC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二级指标“整改反馈”下设两个三级指标为：问题整改、应用反馈。</w:t>
      </w:r>
    </w:p>
    <w:p w14:paraId="53A4A77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①2024年度，县统计局未收到绩效目标核查、绩效重点监控和重点绩效评价等方面整改意见，无需整改。</w:t>
      </w:r>
    </w:p>
    <w:p w14:paraId="0E6FAB3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477FA3F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②2024年度，县统计局在规定时间内向财政部门反馈绩效结果应用报告，报告内容翔实、问题整改到位、结果应用充分。</w:t>
      </w:r>
    </w:p>
    <w:p w14:paraId="192AD229">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本项分值为3.00分，扣0.00分，得分为3.00分。</w:t>
      </w:r>
    </w:p>
    <w:p w14:paraId="714DA50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5.自评质量</w:t>
      </w:r>
    </w:p>
    <w:p w14:paraId="772DA10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二级指标“自评质量”下设一个三级指标为：自评质量。</w:t>
      </w:r>
    </w:p>
    <w:p w14:paraId="4145457C">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县统计局2024年部门整体支出绩效自评得分81分（不包括“自评质量”指标分值，满分为94分），根据现场评价情况，评价组对县统计局的考评得分77.48分（不包括“自评质量”指标分值，满分为94分），自评差异率4.54%，低于10.00%。</w:t>
      </w:r>
    </w:p>
    <w:p w14:paraId="62CC150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本项分值为6.00分，扣0.00分，得分为6.00分。</w:t>
      </w:r>
    </w:p>
    <w:bookmarkEnd w:id="2"/>
    <w:p w14:paraId="6478B652">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bookmarkStart w:id="131" w:name="_Toc4350"/>
      <w:bookmarkStart w:id="132" w:name="_Toc5060"/>
      <w:bookmarkStart w:id="133" w:name="_Toc21218"/>
      <w:bookmarkStart w:id="134" w:name="_Toc7306"/>
      <w:bookmarkStart w:id="135" w:name="_Toc30339"/>
      <w:bookmarkStart w:id="136" w:name="_Toc248033833"/>
      <w:bookmarkStart w:id="137" w:name="_Toc14032"/>
      <w:bookmarkStart w:id="138" w:name="_Toc823448808"/>
      <w:bookmarkStart w:id="139" w:name="_Toc25603"/>
      <w:bookmarkStart w:id="140" w:name="_Toc30515"/>
      <w:bookmarkStart w:id="141" w:name="_Toc19973"/>
      <w:bookmarkStart w:id="142" w:name="_Toc8336"/>
      <w:r>
        <w:rPr>
          <w:rFonts w:hint="default" w:ascii="Times New Roman" w:hAnsi="Times New Roman" w:eastAsia="方正黑体简体" w:cs="Times New Roman"/>
          <w:color w:val="auto"/>
          <w:kern w:val="0"/>
          <w:sz w:val="32"/>
          <w:szCs w:val="32"/>
          <w:highlight w:val="none"/>
          <w:shd w:val="clear" w:color="auto" w:fill="FFFFFF"/>
          <w:lang w:val="en-US" w:eastAsia="zh-CN"/>
        </w:rPr>
        <w:t>五</w:t>
      </w:r>
      <w:r>
        <w:rPr>
          <w:rFonts w:hint="default" w:ascii="Times New Roman" w:hAnsi="Times New Roman" w:eastAsia="方正黑体简体" w:cs="Times New Roman"/>
          <w:color w:val="auto"/>
          <w:kern w:val="0"/>
          <w:sz w:val="32"/>
          <w:szCs w:val="32"/>
          <w:highlight w:val="none"/>
          <w:shd w:val="clear" w:color="auto" w:fill="FFFFFF"/>
        </w:rPr>
        <w:t>、存在的主要问题</w:t>
      </w:r>
      <w:bookmarkEnd w:id="131"/>
      <w:bookmarkEnd w:id="132"/>
      <w:bookmarkEnd w:id="133"/>
      <w:bookmarkEnd w:id="134"/>
      <w:bookmarkEnd w:id="135"/>
      <w:bookmarkEnd w:id="136"/>
      <w:bookmarkEnd w:id="137"/>
      <w:bookmarkEnd w:id="138"/>
      <w:bookmarkEnd w:id="139"/>
      <w:bookmarkEnd w:id="140"/>
    </w:p>
    <w:p w14:paraId="79E0C316">
      <w:pPr>
        <w:keepNext w:val="0"/>
        <w:keepLines w:val="0"/>
        <w:pageBreakBefore w:val="0"/>
        <w:widowControl w:val="0"/>
        <w:kinsoku/>
        <w:wordWrap/>
        <w:overflowPunct/>
        <w:topLinePunct w:val="0"/>
        <w:bidi w:val="0"/>
        <w:snapToGrid w:val="0"/>
        <w:spacing w:line="560" w:lineRule="exact"/>
        <w:ind w:right="0" w:firstLine="640" w:firstLineChars="200"/>
        <w:jc w:val="both"/>
        <w:textAlignment w:val="auto"/>
        <w:rPr>
          <w:rFonts w:hint="default" w:ascii="Times New Roman" w:hAnsi="Times New Roman" w:eastAsia="方正楷体简体" w:cs="Times New Roman"/>
          <w:b w:val="0"/>
          <w:bCs w:val="0"/>
          <w:sz w:val="32"/>
          <w:szCs w:val="32"/>
        </w:rPr>
      </w:pPr>
      <w:bookmarkStart w:id="143" w:name="_Toc464104487"/>
      <w:bookmarkStart w:id="144" w:name="_Toc3240"/>
      <w:bookmarkStart w:id="145" w:name="_Toc22968"/>
      <w:bookmarkStart w:id="146" w:name="_Toc22775"/>
      <w:bookmarkStart w:id="147" w:name="_Toc29227"/>
      <w:bookmarkStart w:id="148" w:name="_Toc15651"/>
      <w:bookmarkStart w:id="149" w:name="_Toc5324"/>
      <w:bookmarkStart w:id="150" w:name="_Toc10426"/>
      <w:bookmarkStart w:id="151" w:name="_Toc31629"/>
      <w:bookmarkStart w:id="152" w:name="_Toc771997543"/>
      <w:r>
        <w:rPr>
          <w:rFonts w:hint="default" w:ascii="Times New Roman" w:hAnsi="Times New Roman" w:eastAsia="方正楷体简体" w:cs="Times New Roman"/>
          <w:b w:val="0"/>
          <w:bCs w:val="0"/>
          <w:sz w:val="32"/>
          <w:szCs w:val="32"/>
        </w:rPr>
        <w:t>（一）绩效目标编制和上报不准确</w:t>
      </w:r>
    </w:p>
    <w:p w14:paraId="294FFBF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评价中发现，县统计局2024年部门综合绩效目标与个别预算项目绩效目标均不同程度存在编制不规范，指标设置不够科学准确、具体明确等问题，导致绩效目标科学性、合理性不够强，不便于考核评价。具体情况表现为：</w:t>
      </w:r>
    </w:p>
    <w:p w14:paraId="7D8BC28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1.部门整体绩效目标</w:t>
      </w:r>
    </w:p>
    <w:p w14:paraId="30E91ED6">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现场评价情况，泸定县统计局《部门（单位）整体支出绩效目标申报表》目标要素齐全，但存在整体目标不够细化，绩效目标设置不明确等问题，具体情况：一是整体绩效目标不够细化，绩效目标申报表中年度总体目标主要聚焦于定性描述，未与数量指标质量指标挂钩，缺乏具体的数量，建议在年度目标中加入主要任务或大额资金项目的可量化指标。二是指标设置不明确，如数量指标中的“ 根据经济普查要求完成相关工作”其指标值为“实现地区生产总值（GDP）39.07亿元，增长2.8%实现城镇居民人均可支配收入37710元，增长3.9%；实现农村居民人均可支配收入19446元，增长6.4%。”，该指标值设置不够明确，应设置经济普查开展多少次。成本指标中“劳务费”其指标值为“样调查、经济普查辅调员及其他聘用”；“办公费”其指标值为“单位日常运行支出”，指标值设置不准确，应该设置控制经费在xx万元内。</w:t>
      </w:r>
    </w:p>
    <w:p w14:paraId="057D657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2.项目支出绩效目标</w:t>
      </w:r>
    </w:p>
    <w:p w14:paraId="2FB4852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泸定县统计局预算2个项目，各项目均编制了绩效目标申报表，但个别项目存在绩效目标设置不够准确的情况。具体情况为：指标值设置不够准确，如：“住户抽样调查工作经费”质量指标中的二级指标为“提供城乡可比、地域可比的城乡居民和分省、分市、分县的收入、支出和消费数据”指标值为“＞”，指标值设置不准确，应设置为抽样调查工作完成合格率，其指标值设置为“≥98%”。“第五次全国经济普查工作经费”中质量指标中的二级指标为“提供城乡可比、地域可比的城乡居民和分省、分市、分县的收入、支出和消费数据”指标值为“＞”，指标值设置不准确，应设置为经济普查工作完成合格率，其指标值设置为“≥98%”。</w:t>
      </w:r>
    </w:p>
    <w:p w14:paraId="09918E6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（二）部门绩效目标制定未纳入本部门集体决策范围</w:t>
      </w:r>
    </w:p>
    <w:p w14:paraId="3F615C11">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2024年，县统计局已编报《部门（单位）整体支出绩效目标申报表》，绩效目标随预算已上报人大完成审核，但未对部门整体项目进行集体决策，未将部门绩效目标纳入集体决策范围。</w:t>
      </w:r>
    </w:p>
    <w:p w14:paraId="56AF2D2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（三）项目预算资金结余率较高</w:t>
      </w:r>
    </w:p>
    <w:p w14:paraId="4EADBBF4">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根据泸定县统计局2024年度决算报表与可执行指标执行情况表被评价单位 2024年度预算项目共计2个，部门预算项目资金结余率小于10%有1个，大于10%有1个。预算项目结余率为18.82%。</w:t>
      </w:r>
    </w:p>
    <w:p w14:paraId="1E4A6948">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（四）预算绩效管理制度机制不够健全完善</w:t>
      </w:r>
    </w:p>
    <w:p w14:paraId="51D6C113">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截至评价日，泸定县统计局制定了《预算管理制度》，但单位绩效管理情况未纳入内部考核体系且内部绩效结果未与预算挂钩。</w:t>
      </w:r>
    </w:p>
    <w:p w14:paraId="4EFDC167">
      <w:pPr>
        <w:keepNext w:val="0"/>
        <w:keepLines w:val="0"/>
        <w:pageBreakBefore w:val="0"/>
        <w:widowControl w:val="0"/>
        <w:kinsoku/>
        <w:wordWrap/>
        <w:overflowPunct/>
        <w:topLinePunct w:val="0"/>
        <w:autoSpaceDE/>
        <w:autoSpaceDN/>
        <w:bidi w:val="0"/>
        <w:snapToGrid/>
        <w:spacing w:line="560" w:lineRule="exact"/>
        <w:ind w:left="0" w:leftChars="0" w:right="0" w:rightChars="0" w:firstLine="640" w:firstLineChars="200"/>
        <w:jc w:val="both"/>
        <w:textAlignment w:val="auto"/>
        <w:outlineLvl w:val="0"/>
        <w:rPr>
          <w:rFonts w:hint="default" w:ascii="Times New Roman" w:hAnsi="Times New Roman" w:eastAsia="方正黑体简体" w:cs="Times New Roman"/>
          <w:color w:val="auto"/>
          <w:kern w:val="0"/>
          <w:sz w:val="32"/>
          <w:szCs w:val="32"/>
          <w:highlight w:val="none"/>
          <w:shd w:val="clear" w:color="auto" w:fill="FFFFFF"/>
        </w:rPr>
      </w:pPr>
      <w:r>
        <w:rPr>
          <w:rFonts w:hint="default" w:ascii="Times New Roman" w:hAnsi="Times New Roman" w:eastAsia="方正黑体简体" w:cs="Times New Roman"/>
          <w:color w:val="auto"/>
          <w:kern w:val="0"/>
          <w:sz w:val="32"/>
          <w:szCs w:val="32"/>
          <w:highlight w:val="none"/>
          <w:shd w:val="clear" w:color="auto" w:fill="FFFFFF"/>
          <w:lang w:val="en-US" w:eastAsia="zh-CN"/>
        </w:rPr>
        <w:t>六</w:t>
      </w:r>
      <w:r>
        <w:rPr>
          <w:rFonts w:hint="default" w:ascii="Times New Roman" w:hAnsi="Times New Roman" w:eastAsia="方正黑体简体" w:cs="Times New Roman"/>
          <w:color w:val="auto"/>
          <w:kern w:val="0"/>
          <w:sz w:val="32"/>
          <w:szCs w:val="32"/>
          <w:highlight w:val="none"/>
          <w:shd w:val="clear" w:color="auto" w:fill="FFFFFF"/>
        </w:rPr>
        <w:t>、相关措施建议</w:t>
      </w:r>
      <w:bookmarkEnd w:id="143"/>
      <w:bookmarkEnd w:id="144"/>
      <w:bookmarkEnd w:id="145"/>
      <w:bookmarkEnd w:id="146"/>
      <w:bookmarkEnd w:id="147"/>
      <w:bookmarkEnd w:id="148"/>
      <w:bookmarkEnd w:id="149"/>
      <w:bookmarkEnd w:id="150"/>
      <w:bookmarkEnd w:id="151"/>
      <w:bookmarkEnd w:id="152"/>
    </w:p>
    <w:bookmarkEnd w:id="141"/>
    <w:bookmarkEnd w:id="142"/>
    <w:p w14:paraId="23B05365">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right="0" w:firstLine="640" w:firstLineChars="200"/>
        <w:jc w:val="both"/>
        <w:textAlignment w:val="auto"/>
        <w:rPr>
          <w:rFonts w:hint="default" w:ascii="Times New Roman" w:hAnsi="Times New Roman" w:eastAsia="方正楷体简体" w:cs="Times New Roman"/>
          <w:b w:val="0"/>
          <w:bCs w:val="0"/>
          <w:kern w:val="2"/>
          <w:sz w:val="32"/>
          <w:szCs w:val="32"/>
          <w:lang w:val="en-US" w:eastAsia="zh-CN" w:bidi="ar-SA"/>
        </w:rPr>
      </w:pPr>
      <w:r>
        <w:rPr>
          <w:rFonts w:hint="default" w:ascii="Times New Roman" w:hAnsi="Times New Roman" w:eastAsia="方正楷体简体" w:cs="Times New Roman"/>
          <w:b w:val="0"/>
          <w:bCs w:val="0"/>
          <w:kern w:val="2"/>
          <w:sz w:val="32"/>
          <w:szCs w:val="32"/>
          <w:lang w:val="en-US" w:eastAsia="zh-CN" w:bidi="ar-SA"/>
        </w:rPr>
        <w:t>（一）规范项目绩效目标设置</w:t>
      </w:r>
    </w:p>
    <w:p w14:paraId="37729C05">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严格单位自评指标设置，注重采用定量和定性评价相结合的方法，设置最具代表性，最能直接反映产出和效益的核心绩效指标和标准体系。对此次评价中未完成绩效目标或偏离绩效目标较大的项目要分析原因，对由于年初指标值设定明显偏低造成的，要按照偏离度适度调减分值。</w:t>
      </w:r>
    </w:p>
    <w:p w14:paraId="33DDEE29">
      <w:pPr>
        <w:keepNext w:val="0"/>
        <w:keepLines w:val="0"/>
        <w:pageBreakBefore w:val="0"/>
        <w:widowControl w:val="0"/>
        <w:numPr>
          <w:ilvl w:val="0"/>
          <w:numId w:val="0"/>
        </w:numPr>
        <w:tabs>
          <w:tab w:val="left" w:pos="479"/>
        </w:tabs>
        <w:kinsoku/>
        <w:wordWrap/>
        <w:overflowPunct/>
        <w:topLinePunct w:val="0"/>
        <w:autoSpaceDE/>
        <w:autoSpaceDN/>
        <w:bidi w:val="0"/>
        <w:adjustRightInd/>
        <w:snapToGrid w:val="0"/>
        <w:spacing w:line="560" w:lineRule="exact"/>
        <w:ind w:right="0" w:firstLine="640" w:firstLineChars="200"/>
        <w:jc w:val="both"/>
        <w:textAlignment w:val="auto"/>
        <w:rPr>
          <w:rFonts w:hint="default" w:ascii="Times New Roman" w:hAnsi="Times New Roman" w:eastAsia="方正楷体简体" w:cs="Times New Roman"/>
          <w:sz w:val="32"/>
          <w:szCs w:val="32"/>
          <w:lang w:val="en-US" w:eastAsia="zh-CN"/>
        </w:rPr>
      </w:pPr>
      <w:r>
        <w:rPr>
          <w:rFonts w:hint="default" w:ascii="Times New Roman" w:hAnsi="Times New Roman" w:eastAsia="方正楷体简体" w:cs="Times New Roman"/>
          <w:kern w:val="2"/>
          <w:sz w:val="32"/>
          <w:szCs w:val="32"/>
          <w:lang w:val="en-US" w:eastAsia="zh-CN" w:bidi="ar-SA"/>
        </w:rPr>
        <w:t>（二）绩</w:t>
      </w:r>
      <w:r>
        <w:rPr>
          <w:rFonts w:hint="default" w:ascii="Times New Roman" w:hAnsi="Times New Roman" w:eastAsia="方正楷体简体" w:cs="Times New Roman"/>
          <w:sz w:val="32"/>
          <w:szCs w:val="32"/>
          <w:lang w:val="en-US" w:eastAsia="zh-CN"/>
        </w:rPr>
        <w:t>效目标制定纳入部门集体决策范围</w:t>
      </w:r>
    </w:p>
    <w:p w14:paraId="1F43F24A">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建议将绩效目标制定纳入部门集体决策范围，通过集体决策增强绩效目标制定的科学性、可行性与准确性。</w:t>
      </w:r>
    </w:p>
    <w:p w14:paraId="404CA3ED">
      <w:pPr>
        <w:keepNext w:val="0"/>
        <w:keepLines w:val="0"/>
        <w:pageBreakBefore w:val="0"/>
        <w:widowControl w:val="0"/>
        <w:numPr>
          <w:ilvl w:val="0"/>
          <w:numId w:val="0"/>
        </w:numPr>
        <w:tabs>
          <w:tab w:val="left" w:pos="479"/>
        </w:tabs>
        <w:kinsoku/>
        <w:wordWrap/>
        <w:overflowPunct/>
        <w:topLinePunct w:val="0"/>
        <w:autoSpaceDE/>
        <w:autoSpaceDN/>
        <w:bidi w:val="0"/>
        <w:adjustRightInd/>
        <w:snapToGrid w:val="0"/>
        <w:spacing w:line="560" w:lineRule="exact"/>
        <w:ind w:right="0" w:firstLine="640" w:firstLineChars="200"/>
        <w:jc w:val="both"/>
        <w:textAlignment w:val="auto"/>
        <w:rPr>
          <w:rFonts w:hint="default" w:ascii="Times New Roman" w:hAnsi="Times New Roman" w:eastAsia="方正楷体简体" w:cs="Times New Roman"/>
          <w:kern w:val="2"/>
          <w:sz w:val="32"/>
          <w:szCs w:val="32"/>
          <w:lang w:val="en-US" w:eastAsia="zh-CN" w:bidi="ar-SA"/>
        </w:rPr>
      </w:pPr>
      <w:r>
        <w:rPr>
          <w:rFonts w:hint="default" w:ascii="Times New Roman" w:hAnsi="Times New Roman" w:eastAsia="方正楷体简体" w:cs="Times New Roman"/>
          <w:kern w:val="2"/>
          <w:sz w:val="32"/>
          <w:szCs w:val="32"/>
          <w:lang w:val="en-US" w:eastAsia="zh-CN" w:bidi="ar-SA"/>
        </w:rPr>
        <w:t>（三）提高预算执行率</w:t>
      </w:r>
    </w:p>
    <w:p w14:paraId="0A1621FB">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加强对各部门预算执行过程的动态监督，及时掌握各部门预算执行过程中的情况和实时动态，完善预算执行情况定期通报机制，根据情况强化对财政资金拨款的管控，倒逼各部门加快项目进度。同时，各部门要切实履行好预算执行主体的职责，加强对本单位预算执行过程的调度管理，大力推进项目进度和支出进度，促进预算的有效执行和支出的及时实现，从而促进预算执行率的提升。</w:t>
      </w:r>
    </w:p>
    <w:p w14:paraId="0B6FA130">
      <w:pPr>
        <w:keepNext w:val="0"/>
        <w:keepLines w:val="0"/>
        <w:pageBreakBefore w:val="0"/>
        <w:widowControl w:val="0"/>
        <w:kinsoku/>
        <w:wordWrap/>
        <w:overflowPunct/>
        <w:topLinePunct w:val="0"/>
        <w:autoSpaceDE w:val="0"/>
        <w:autoSpaceDN w:val="0"/>
        <w:bidi w:val="0"/>
        <w:adjustRightInd w:val="0"/>
        <w:snapToGrid w:val="0"/>
        <w:spacing w:line="560" w:lineRule="exact"/>
        <w:ind w:right="0" w:firstLine="640" w:firstLineChars="200"/>
        <w:jc w:val="both"/>
        <w:textAlignment w:val="auto"/>
        <w:rPr>
          <w:rFonts w:hint="default" w:ascii="Times New Roman" w:hAnsi="Times New Roman" w:eastAsia="方正楷体简体" w:cs="Times New Roman"/>
          <w:b w:val="0"/>
          <w:bCs w:val="0"/>
          <w:kern w:val="2"/>
          <w:sz w:val="32"/>
          <w:szCs w:val="32"/>
          <w:lang w:val="en-US" w:eastAsia="zh-CN" w:bidi="ar-SA"/>
        </w:rPr>
      </w:pPr>
      <w:r>
        <w:rPr>
          <w:rFonts w:hint="default" w:ascii="Times New Roman" w:hAnsi="Times New Roman" w:eastAsia="方正楷体简体" w:cs="Times New Roman"/>
          <w:b w:val="0"/>
          <w:bCs w:val="0"/>
          <w:kern w:val="2"/>
          <w:sz w:val="32"/>
          <w:szCs w:val="32"/>
          <w:lang w:val="en-US" w:eastAsia="zh-CN" w:bidi="ar-SA"/>
        </w:rPr>
        <w:t>（四）健全完善预算绩效管理制度建设</w:t>
      </w:r>
    </w:p>
    <w:p w14:paraId="583CF8B0">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应结合部门内部实际，在预算绩效管理方面，建立部门内部预算与绩效结果挂钩的机制，将部门内部预算自评纳入考核体系。进一步加强预算绩效管理制度建设，完善工作机制，强化责任落实，提高制度执行力，为部门预算管理的实施提供具体的指导意见，以确保财政资金使用的质量和效果。</w:t>
      </w:r>
    </w:p>
    <w:p w14:paraId="2C7534E2">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rPr>
          <w:rFonts w:hint="default" w:ascii="Times New Roman" w:hAnsi="Times New Roman" w:eastAsia="方正仿宋_GB2312" w:cs="Times New Roman"/>
          <w:color w:val="auto"/>
          <w:sz w:val="32"/>
          <w:szCs w:val="32"/>
          <w:highlight w:val="none"/>
          <w:lang w:val="en-US" w:eastAsia="zh-CN"/>
        </w:rPr>
      </w:pPr>
    </w:p>
    <w:p w14:paraId="6FC6A30D">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rPr>
          <w:rFonts w:hint="default" w:ascii="Times New Roman" w:hAnsi="Times New Roman" w:eastAsia="方正仿宋_GB2312" w:cs="Times New Roman"/>
          <w:color w:val="auto"/>
          <w:sz w:val="32"/>
          <w:szCs w:val="32"/>
          <w:highlight w:val="none"/>
          <w:lang w:val="en-US" w:eastAsia="zh-CN"/>
        </w:rPr>
      </w:pPr>
      <w:r>
        <w:rPr>
          <w:rFonts w:hint="default" w:ascii="Times New Roman" w:hAnsi="Times New Roman" w:eastAsia="方正仿宋_GB2312" w:cs="Times New Roman"/>
          <w:color w:val="auto"/>
          <w:sz w:val="32"/>
          <w:szCs w:val="32"/>
          <w:highlight w:val="none"/>
          <w:lang w:val="en-US" w:eastAsia="zh-CN"/>
        </w:rPr>
        <w:t>附件</w:t>
      </w:r>
      <w:r>
        <w:rPr>
          <w:rFonts w:hint="default" w:ascii="Times New Roman" w:hAnsi="Times New Roman" w:eastAsia="方正仿宋_GB2312" w:cs="Times New Roman"/>
          <w:color w:val="auto"/>
          <w:sz w:val="32"/>
          <w:szCs w:val="32"/>
          <w:highlight w:val="none"/>
          <w:lang w:val="en-US" w:eastAsia="zh"/>
        </w:rPr>
        <w:t>：</w:t>
      </w:r>
      <w:r>
        <w:rPr>
          <w:rFonts w:hint="default" w:ascii="Times New Roman" w:hAnsi="Times New Roman" w:eastAsia="方正仿宋_GB2312" w:cs="Times New Roman"/>
          <w:color w:val="auto"/>
          <w:sz w:val="32"/>
          <w:szCs w:val="32"/>
          <w:highlight w:val="none"/>
          <w:lang w:val="en-US" w:eastAsia="zh-CN"/>
        </w:rPr>
        <w:t>泸定县统计局部门整体支出绩效评价指标体系表（评分表）</w:t>
      </w:r>
    </w:p>
    <w:p w14:paraId="2A318C7A">
      <w:pPr>
        <w:pStyle w:val="7"/>
        <w:rPr>
          <w:rFonts w:hint="default" w:ascii="Times New Roman" w:hAnsi="Times New Roman" w:eastAsia="仿宋" w:cs="Times New Roman"/>
          <w:b w:val="0"/>
          <w:bCs w:val="0"/>
          <w:color w:val="auto"/>
          <w:sz w:val="32"/>
          <w:szCs w:val="32"/>
          <w:highlight w:val="none"/>
          <w:lang w:val="en-US" w:eastAsia="zh-CN"/>
        </w:rPr>
      </w:pPr>
    </w:p>
    <w:p w14:paraId="79D81119">
      <w:pPr>
        <w:rPr>
          <w:rFonts w:hint="default" w:ascii="Times New Roman" w:hAnsi="Times New Roman" w:eastAsia="仿宋" w:cs="Times New Roman"/>
          <w:b w:val="0"/>
          <w:bCs w:val="0"/>
          <w:color w:val="auto"/>
          <w:sz w:val="32"/>
          <w:szCs w:val="32"/>
          <w:highlight w:val="none"/>
          <w:lang w:val="en-US" w:eastAsia="zh-CN"/>
        </w:rPr>
      </w:pPr>
    </w:p>
    <w:p w14:paraId="227BFACA">
      <w:pPr>
        <w:rPr>
          <w:rFonts w:hint="default" w:ascii="Times New Roman" w:hAnsi="Times New Roman" w:eastAsia="仿宋" w:cs="Times New Roman"/>
          <w:b w:val="0"/>
          <w:bCs w:val="0"/>
          <w:color w:val="auto"/>
          <w:sz w:val="32"/>
          <w:szCs w:val="32"/>
          <w:highlight w:val="none"/>
          <w:lang w:val="en-US" w:eastAsia="zh-CN"/>
        </w:rPr>
      </w:pPr>
      <w:bookmarkStart w:id="153" w:name="_GoBack"/>
      <w:bookmarkEnd w:id="153"/>
    </w:p>
    <w:p w14:paraId="7E1714C9">
      <w:pPr>
        <w:rPr>
          <w:rFonts w:hint="default" w:ascii="Times New Roman" w:hAnsi="Times New Roman" w:cs="Times New Roman"/>
          <w:sz w:val="32"/>
          <w:szCs w:val="32"/>
          <w:highlight w:val="none"/>
          <w:lang w:val="en-US" w:eastAsia="zh-CN"/>
        </w:rPr>
      </w:pPr>
    </w:p>
    <w:p w14:paraId="599F7CA8">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仿宋" w:cs="Times New Roman"/>
          <w:b w:val="0"/>
          <w:bCs w:val="0"/>
          <w:sz w:val="32"/>
          <w:szCs w:val="32"/>
          <w:highlight w:val="none"/>
          <w:lang w:eastAsia="zh-CN"/>
        </w:rPr>
        <w:t>　　　　</w:t>
      </w:r>
      <w:r>
        <w:rPr>
          <w:rFonts w:hint="default" w:ascii="Times New Roman" w:hAnsi="Times New Roman" w:eastAsia="方正仿宋_GB2312" w:cs="Times New Roman"/>
          <w:sz w:val="32"/>
          <w:szCs w:val="32"/>
          <w:highlight w:val="none"/>
        </w:rPr>
        <w:t>泸定县财政局</w:t>
      </w:r>
    </w:p>
    <w:p w14:paraId="567E22FB">
      <w:pPr>
        <w:spacing w:line="600" w:lineRule="exact"/>
        <w:ind w:firstLine="640"/>
        <w:jc w:val="right"/>
        <w:rPr>
          <w:rFonts w:hint="default" w:ascii="Times New Roman" w:hAnsi="Times New Roman" w:eastAsia="方正仿宋_GB2312" w:cs="Times New Roman"/>
          <w:sz w:val="32"/>
          <w:szCs w:val="32"/>
          <w:highlight w:val="none"/>
        </w:rPr>
      </w:pPr>
      <w:r>
        <w:rPr>
          <w:rFonts w:hint="default" w:ascii="Times New Roman" w:hAnsi="Times New Roman" w:eastAsia="方正仿宋_GB2312" w:cs="Times New Roman"/>
          <w:sz w:val="32"/>
          <w:szCs w:val="32"/>
          <w:highlight w:val="none"/>
        </w:rPr>
        <w:t>　　　　　　　　　　　2025年11月11日</w:t>
      </w:r>
    </w:p>
    <w:p w14:paraId="51D6194C">
      <w:pPr>
        <w:keepNext w:val="0"/>
        <w:keepLines w:val="0"/>
        <w:pageBreakBefore w:val="0"/>
        <w:widowControl w:val="0"/>
        <w:kinsoku/>
        <w:wordWrap/>
        <w:overflowPunct/>
        <w:topLinePunct w:val="0"/>
        <w:autoSpaceDE/>
        <w:autoSpaceDN/>
        <w:bidi w:val="0"/>
        <w:adjustRightInd/>
        <w:snapToGrid/>
        <w:spacing w:line="600" w:lineRule="exact"/>
        <w:ind w:left="0"/>
        <w:jc w:val="right"/>
        <w:textAlignment w:val="auto"/>
        <w:rPr>
          <w:rFonts w:hint="default" w:ascii="Times New Roman" w:hAnsi="Times New Roman" w:eastAsia="方正仿宋_GB2312" w:cs="Times New Roman"/>
          <w:highlight w:val="none"/>
          <w:lang w:val="en-US" w:eastAsia="zh-CN"/>
        </w:rPr>
      </w:pPr>
    </w:p>
    <w:sectPr>
      <w:headerReference r:id="rId5" w:type="default"/>
      <w:footerReference r:id="rId6" w:type="default"/>
      <w:pgSz w:w="11906" w:h="16838"/>
      <w:pgMar w:top="1440" w:right="1803" w:bottom="1440" w:left="1803" w:header="680" w:footer="737" w:gutter="0"/>
      <w:pgNumType w:fmt="decimal"/>
      <w:cols w:space="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embedRegular r:id="rId1" w:fontKey="{0431C7AC-3E39-4D21-B8D9-49D925AEDC47}"/>
  </w:font>
  <w:font w:name="等线 Light">
    <w:altName w:val="宋体"/>
    <w:panose1 w:val="02010600030101010101"/>
    <w:charset w:val="86"/>
    <w:family w:val="auto"/>
    <w:pitch w:val="default"/>
    <w:sig w:usb0="00000000" w:usb1="00000000" w:usb2="00000016" w:usb3="00000000" w:csb0="0004000F" w:csb1="00000000"/>
  </w:font>
  <w:font w:name="方正小标宋_GBK">
    <w:panose1 w:val="02000000000000000000"/>
    <w:charset w:val="86"/>
    <w:family w:val="auto"/>
    <w:pitch w:val="default"/>
    <w:sig w:usb0="A00002BF" w:usb1="38CF7CFA" w:usb2="00082016" w:usb3="00000000" w:csb0="00040001" w:csb1="00000000"/>
  </w:font>
  <w:font w:name="方正仿宋_GB2312">
    <w:panose1 w:val="02000000000000000000"/>
    <w:charset w:val="86"/>
    <w:family w:val="auto"/>
    <w:pitch w:val="default"/>
    <w:sig w:usb0="A00002BF" w:usb1="184F6CFA" w:usb2="00000012" w:usb3="00000000" w:csb0="00040001" w:csb1="00000000"/>
    <w:embedRegular r:id="rId2" w:fontKey="{C9BA6077-9F15-462D-9944-4A29D5DE619A}"/>
  </w:font>
  <w:font w:name="方正黑体简体">
    <w:panose1 w:val="03000509000000000000"/>
    <w:charset w:val="86"/>
    <w:family w:val="auto"/>
    <w:pitch w:val="default"/>
    <w:sig w:usb0="00000001" w:usb1="080E0000" w:usb2="00000000" w:usb3="00000000" w:csb0="00040000" w:csb1="00000000"/>
    <w:embedRegular r:id="rId3" w:fontKey="{5ECC29E4-7F81-4E5D-818B-88C3103A69E4}"/>
  </w:font>
  <w:font w:name="方正楷体简体">
    <w:panose1 w:val="03000509000000000000"/>
    <w:charset w:val="86"/>
    <w:family w:val="auto"/>
    <w:pitch w:val="default"/>
    <w:sig w:usb0="00000001" w:usb1="080E0000" w:usb2="00000000" w:usb3="00000000" w:csb0="00040000" w:csb1="00000000"/>
    <w:embedRegular r:id="rId4" w:fontKey="{5E36CE73-7883-4AE4-822E-EC6FC79A2099}"/>
  </w:font>
  <w:font w:name="方正小标宋简体">
    <w:panose1 w:val="03000509000000000000"/>
    <w:charset w:val="86"/>
    <w:family w:val="auto"/>
    <w:pitch w:val="default"/>
    <w:sig w:usb0="00000001" w:usb1="080E0000" w:usb2="00000000" w:usb3="00000000" w:csb0="00040000" w:csb1="00000000"/>
    <w:embedRegular r:id="rId5" w:fontKey="{BFD331BF-2E0D-4662-A3EB-D250E3E2555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20D31C">
    <w:pPr>
      <w:pStyle w:val="11"/>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2016C51E">
                    <w:pPr>
                      <w:pStyle w:val="11"/>
                      <w:ind w:left="0" w:leftChars="0" w:firstLine="0" w:firstLineChars="0"/>
                      <w:rPr>
                        <w:sz w:val="32"/>
                        <w:szCs w:val="32"/>
                      </w:rPr>
                    </w:pPr>
                    <w:r>
                      <w:rPr>
                        <w:sz w:val="32"/>
                        <w:szCs w:val="32"/>
                      </w:rPr>
                      <w:t xml:space="preserve">— </w:t>
                    </w:r>
                    <w:r>
                      <w:rPr>
                        <w:sz w:val="32"/>
                        <w:szCs w:val="32"/>
                      </w:rPr>
                      <w:fldChar w:fldCharType="begin"/>
                    </w:r>
                    <w:r>
                      <w:rPr>
                        <w:sz w:val="32"/>
                        <w:szCs w:val="32"/>
                      </w:rPr>
                      <w:instrText xml:space="preserve"> PAGE  \* MERGEFORMAT </w:instrText>
                    </w:r>
                    <w:r>
                      <w:rPr>
                        <w:sz w:val="32"/>
                        <w:szCs w:val="32"/>
                      </w:rPr>
                      <w:fldChar w:fldCharType="separate"/>
                    </w:r>
                    <w:r>
                      <w:rPr>
                        <w:sz w:val="32"/>
                        <w:szCs w:val="32"/>
                      </w:rPr>
                      <w:t>1</w:t>
                    </w:r>
                    <w:r>
                      <w:rPr>
                        <w:sz w:val="32"/>
                        <w:szCs w:val="32"/>
                      </w:rPr>
                      <w:fldChar w:fldCharType="end"/>
                    </w:r>
                    <w:r>
                      <w:rPr>
                        <w:sz w:val="32"/>
                        <w:szCs w:val="32"/>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0BAFDF">
    <w:pPr>
      <w:pBdr>
        <w:top w:val="none" w:color="auto" w:sz="0" w:space="1"/>
        <w:left w:val="none" w:color="auto" w:sz="0" w:space="4"/>
        <w:bottom w:val="none" w:color="auto" w:sz="0" w:space="1"/>
        <w:right w:val="none" w:color="auto" w:sz="0" w:space="4"/>
      </w:pBdr>
      <w:tabs>
        <w:tab w:val="center" w:pos="4150"/>
        <w:tab w:val="right" w:pos="8306"/>
      </w:tabs>
      <w:snapToGrid w:val="0"/>
      <w:ind w:firstLine="0" w:firstLineChars="0"/>
      <w:jc w:val="left"/>
      <w:rPr>
        <w:u w:val="non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2F3B84"/>
    <w:multiLevelType w:val="multilevel"/>
    <w:tmpl w:val="372F3B84"/>
    <w:lvl w:ilvl="0" w:tentative="0">
      <w:start w:val="1"/>
      <w:numFmt w:val="japaneseCounting"/>
      <w:pStyle w:val="4"/>
      <w:lvlText w:val="（%1）"/>
      <w:lvlJc w:val="left"/>
      <w:pPr>
        <w:ind w:left="1937" w:hanging="977"/>
      </w:pPr>
      <w:rPr>
        <w:rFonts w:hint="default"/>
      </w:rPr>
    </w:lvl>
    <w:lvl w:ilvl="1" w:tentative="0">
      <w:start w:val="1"/>
      <w:numFmt w:val="lowerLetter"/>
      <w:lvlText w:val="%2)"/>
      <w:lvlJc w:val="left"/>
      <w:pPr>
        <w:ind w:left="1840" w:hanging="440"/>
      </w:pPr>
    </w:lvl>
    <w:lvl w:ilvl="2" w:tentative="0">
      <w:start w:val="1"/>
      <w:numFmt w:val="lowerRoman"/>
      <w:lvlText w:val="%3."/>
      <w:lvlJc w:val="right"/>
      <w:pPr>
        <w:ind w:left="2280" w:hanging="440"/>
      </w:pPr>
    </w:lvl>
    <w:lvl w:ilvl="3" w:tentative="0">
      <w:start w:val="1"/>
      <w:numFmt w:val="decimal"/>
      <w:lvlText w:val="%4."/>
      <w:lvlJc w:val="left"/>
      <w:pPr>
        <w:ind w:left="2720" w:hanging="440"/>
      </w:pPr>
    </w:lvl>
    <w:lvl w:ilvl="4" w:tentative="0">
      <w:start w:val="1"/>
      <w:numFmt w:val="lowerLetter"/>
      <w:lvlText w:val="%5)"/>
      <w:lvlJc w:val="left"/>
      <w:pPr>
        <w:ind w:left="3160" w:hanging="440"/>
      </w:pPr>
    </w:lvl>
    <w:lvl w:ilvl="5" w:tentative="0">
      <w:start w:val="1"/>
      <w:numFmt w:val="lowerRoman"/>
      <w:lvlText w:val="%6."/>
      <w:lvlJc w:val="right"/>
      <w:pPr>
        <w:ind w:left="3600" w:hanging="440"/>
      </w:pPr>
    </w:lvl>
    <w:lvl w:ilvl="6" w:tentative="0">
      <w:start w:val="1"/>
      <w:numFmt w:val="decimal"/>
      <w:lvlText w:val="%7."/>
      <w:lvlJc w:val="left"/>
      <w:pPr>
        <w:ind w:left="4040" w:hanging="440"/>
      </w:pPr>
    </w:lvl>
    <w:lvl w:ilvl="7" w:tentative="0">
      <w:start w:val="1"/>
      <w:numFmt w:val="lowerLetter"/>
      <w:lvlText w:val="%8)"/>
      <w:lvlJc w:val="left"/>
      <w:pPr>
        <w:ind w:left="4480" w:hanging="440"/>
      </w:pPr>
    </w:lvl>
    <w:lvl w:ilvl="8" w:tentative="0">
      <w:start w:val="1"/>
      <w:numFmt w:val="lowerRoman"/>
      <w:lvlText w:val="%9."/>
      <w:lvlJc w:val="right"/>
      <w:pPr>
        <w:ind w:left="4920" w:hanging="440"/>
      </w:pPr>
    </w:lvl>
  </w:abstractNum>
  <w:abstractNum w:abstractNumId="1">
    <w:nsid w:val="60A4DF1E"/>
    <w:multiLevelType w:val="multilevel"/>
    <w:tmpl w:val="60A4DF1E"/>
    <w:lvl w:ilvl="0" w:tentative="0">
      <w:start w:val="1"/>
      <w:numFmt w:val="chineseCounting"/>
      <w:suff w:val="nothing"/>
      <w:lvlText w:val="%1、"/>
      <w:lvlJc w:val="left"/>
      <w:pPr>
        <w:tabs>
          <w:tab w:val="left" w:pos="0"/>
        </w:tabs>
        <w:ind w:left="0" w:firstLine="0"/>
      </w:pPr>
      <w:rPr>
        <w:rFonts w:hint="eastAsia" w:ascii="宋体" w:hAnsi="宋体" w:eastAsia="宋体" w:cs="宋体"/>
      </w:rPr>
    </w:lvl>
    <w:lvl w:ilvl="1" w:tentative="0">
      <w:start w:val="1"/>
      <w:numFmt w:val="chineseCounting"/>
      <w:suff w:val="nothing"/>
      <w:lvlText w:val="（%2）"/>
      <w:lvlJc w:val="left"/>
      <w:pPr>
        <w:ind w:left="0" w:firstLine="0"/>
      </w:pPr>
      <w:rPr>
        <w:rFonts w:hint="eastAsia" w:ascii="宋体" w:hAnsi="宋体" w:eastAsia="宋体" w:cs="宋体"/>
      </w:rPr>
    </w:lvl>
    <w:lvl w:ilvl="2" w:tentative="0">
      <w:start w:val="1"/>
      <w:numFmt w:val="decimal"/>
      <w:pStyle w:val="3"/>
      <w:suff w:val="nothing"/>
      <w:lvlText w:val="%3．"/>
      <w:lvlJc w:val="left"/>
      <w:pPr>
        <w:ind w:left="0" w:firstLine="400"/>
      </w:pPr>
      <w:rPr>
        <w:rFonts w:hint="eastAsia" w:ascii="宋体" w:hAnsi="宋体" w:eastAsia="宋体" w:cs="宋体"/>
      </w:rPr>
    </w:lvl>
    <w:lvl w:ilvl="3" w:tentative="0">
      <w:start w:val="1"/>
      <w:numFmt w:val="decimal"/>
      <w:suff w:val="nothing"/>
      <w:lvlText w:val="（%4）"/>
      <w:lvlJc w:val="left"/>
      <w:pPr>
        <w:ind w:left="0" w:firstLine="402"/>
      </w:pPr>
      <w:rPr>
        <w:rFonts w:hint="eastAsia" w:ascii="宋体" w:hAnsi="宋体" w:eastAsia="宋体" w:cs="宋体"/>
      </w:rPr>
    </w:lvl>
    <w:lvl w:ilvl="4" w:tentative="0">
      <w:start w:val="1"/>
      <w:numFmt w:val="decimalEnclosedCircleChinese"/>
      <w:suff w:val="nothing"/>
      <w:lvlText w:val="%5"/>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5M2JhZjNlZGRmY2I3MDBiNjBkZWI3YTgzNWY3NWEifQ=="/>
  </w:docVars>
  <w:rsids>
    <w:rsidRoot w:val="00172A27"/>
    <w:rsid w:val="00072D71"/>
    <w:rsid w:val="00097BF8"/>
    <w:rsid w:val="000C45D6"/>
    <w:rsid w:val="000C754C"/>
    <w:rsid w:val="000E2AA0"/>
    <w:rsid w:val="00127F9D"/>
    <w:rsid w:val="00145DD7"/>
    <w:rsid w:val="00147C82"/>
    <w:rsid w:val="00163525"/>
    <w:rsid w:val="00172A27"/>
    <w:rsid w:val="001A6E39"/>
    <w:rsid w:val="00202FA3"/>
    <w:rsid w:val="00272C1D"/>
    <w:rsid w:val="002F7B42"/>
    <w:rsid w:val="0032304E"/>
    <w:rsid w:val="003655C8"/>
    <w:rsid w:val="00383B50"/>
    <w:rsid w:val="003F0E80"/>
    <w:rsid w:val="004267A7"/>
    <w:rsid w:val="00443DB6"/>
    <w:rsid w:val="00451894"/>
    <w:rsid w:val="00452C50"/>
    <w:rsid w:val="004549BF"/>
    <w:rsid w:val="005D0FB9"/>
    <w:rsid w:val="00610FBA"/>
    <w:rsid w:val="00646411"/>
    <w:rsid w:val="0067664F"/>
    <w:rsid w:val="006E2F08"/>
    <w:rsid w:val="007221E5"/>
    <w:rsid w:val="00757BEA"/>
    <w:rsid w:val="007E5CD9"/>
    <w:rsid w:val="00804DDE"/>
    <w:rsid w:val="0085646D"/>
    <w:rsid w:val="00870DA1"/>
    <w:rsid w:val="0088162A"/>
    <w:rsid w:val="008956AD"/>
    <w:rsid w:val="008B2190"/>
    <w:rsid w:val="00934B72"/>
    <w:rsid w:val="00950253"/>
    <w:rsid w:val="00963AA7"/>
    <w:rsid w:val="00970070"/>
    <w:rsid w:val="009B5855"/>
    <w:rsid w:val="00A1757E"/>
    <w:rsid w:val="00A60B13"/>
    <w:rsid w:val="00AD1C0E"/>
    <w:rsid w:val="00AD64C4"/>
    <w:rsid w:val="00AE1EFF"/>
    <w:rsid w:val="00B11E73"/>
    <w:rsid w:val="00BB4B64"/>
    <w:rsid w:val="00BF1745"/>
    <w:rsid w:val="00BF55A4"/>
    <w:rsid w:val="00C46DF1"/>
    <w:rsid w:val="00C54B59"/>
    <w:rsid w:val="00CB3663"/>
    <w:rsid w:val="00CF395F"/>
    <w:rsid w:val="00D10437"/>
    <w:rsid w:val="00D33BD1"/>
    <w:rsid w:val="00EB673D"/>
    <w:rsid w:val="00EE1A30"/>
    <w:rsid w:val="00EE3529"/>
    <w:rsid w:val="00F80E20"/>
    <w:rsid w:val="00FF076D"/>
    <w:rsid w:val="015B3238"/>
    <w:rsid w:val="0174274A"/>
    <w:rsid w:val="01AE1362"/>
    <w:rsid w:val="0209008E"/>
    <w:rsid w:val="0221101D"/>
    <w:rsid w:val="028212C5"/>
    <w:rsid w:val="02A14C7A"/>
    <w:rsid w:val="02B56978"/>
    <w:rsid w:val="031D77B8"/>
    <w:rsid w:val="03435D32"/>
    <w:rsid w:val="034B0AC6"/>
    <w:rsid w:val="03BD26AA"/>
    <w:rsid w:val="03C46413"/>
    <w:rsid w:val="03F043C9"/>
    <w:rsid w:val="03F5560D"/>
    <w:rsid w:val="05370DC3"/>
    <w:rsid w:val="05704583"/>
    <w:rsid w:val="05AE5131"/>
    <w:rsid w:val="05DC421B"/>
    <w:rsid w:val="069B1F26"/>
    <w:rsid w:val="06E2185D"/>
    <w:rsid w:val="071C5217"/>
    <w:rsid w:val="074574B7"/>
    <w:rsid w:val="077F711D"/>
    <w:rsid w:val="0815093A"/>
    <w:rsid w:val="08280844"/>
    <w:rsid w:val="08321414"/>
    <w:rsid w:val="08BC09C7"/>
    <w:rsid w:val="08CA0DBA"/>
    <w:rsid w:val="095D68FE"/>
    <w:rsid w:val="0A002BCE"/>
    <w:rsid w:val="0A5847B8"/>
    <w:rsid w:val="0AA10A64"/>
    <w:rsid w:val="0AAA2B3A"/>
    <w:rsid w:val="0BD10723"/>
    <w:rsid w:val="0C0A3890"/>
    <w:rsid w:val="0C82214A"/>
    <w:rsid w:val="0CC90B55"/>
    <w:rsid w:val="0CF63E15"/>
    <w:rsid w:val="0D4639D6"/>
    <w:rsid w:val="0D7C008D"/>
    <w:rsid w:val="0DA06897"/>
    <w:rsid w:val="0DF462ED"/>
    <w:rsid w:val="0DF90060"/>
    <w:rsid w:val="0E19564B"/>
    <w:rsid w:val="0E3E5A73"/>
    <w:rsid w:val="0E3F552E"/>
    <w:rsid w:val="0E522B49"/>
    <w:rsid w:val="0E5E23AA"/>
    <w:rsid w:val="0E6050D4"/>
    <w:rsid w:val="0E7F3C56"/>
    <w:rsid w:val="0EE4486D"/>
    <w:rsid w:val="0EF40828"/>
    <w:rsid w:val="0EF610D2"/>
    <w:rsid w:val="0EF97BEC"/>
    <w:rsid w:val="0F207817"/>
    <w:rsid w:val="0F24115F"/>
    <w:rsid w:val="0F7D48CD"/>
    <w:rsid w:val="0F895427"/>
    <w:rsid w:val="0FA36556"/>
    <w:rsid w:val="100F5919"/>
    <w:rsid w:val="10607EBA"/>
    <w:rsid w:val="10857989"/>
    <w:rsid w:val="10A609B0"/>
    <w:rsid w:val="10C177C0"/>
    <w:rsid w:val="10FB12CE"/>
    <w:rsid w:val="11034D52"/>
    <w:rsid w:val="11641A35"/>
    <w:rsid w:val="11A54F88"/>
    <w:rsid w:val="11A55E09"/>
    <w:rsid w:val="1256364C"/>
    <w:rsid w:val="12F71BB3"/>
    <w:rsid w:val="13445E84"/>
    <w:rsid w:val="13463C67"/>
    <w:rsid w:val="134E407D"/>
    <w:rsid w:val="136916A0"/>
    <w:rsid w:val="13BF191E"/>
    <w:rsid w:val="13DD5D2E"/>
    <w:rsid w:val="144B4CE8"/>
    <w:rsid w:val="14827494"/>
    <w:rsid w:val="14DA48CB"/>
    <w:rsid w:val="14DA73CD"/>
    <w:rsid w:val="151B6B0E"/>
    <w:rsid w:val="155B04E5"/>
    <w:rsid w:val="15762967"/>
    <w:rsid w:val="15C0420D"/>
    <w:rsid w:val="15C42D02"/>
    <w:rsid w:val="16310CFC"/>
    <w:rsid w:val="164E7445"/>
    <w:rsid w:val="16521418"/>
    <w:rsid w:val="167B192A"/>
    <w:rsid w:val="16BA737C"/>
    <w:rsid w:val="17404D18"/>
    <w:rsid w:val="178D5376"/>
    <w:rsid w:val="179E79D9"/>
    <w:rsid w:val="17FD7EEE"/>
    <w:rsid w:val="180A196B"/>
    <w:rsid w:val="181B0371"/>
    <w:rsid w:val="186A5A33"/>
    <w:rsid w:val="18A93AFC"/>
    <w:rsid w:val="18DA3FE0"/>
    <w:rsid w:val="18DD5A8A"/>
    <w:rsid w:val="195A2D50"/>
    <w:rsid w:val="196B6F54"/>
    <w:rsid w:val="19CD71FA"/>
    <w:rsid w:val="19E605C7"/>
    <w:rsid w:val="1A48253C"/>
    <w:rsid w:val="1A94413A"/>
    <w:rsid w:val="1ABA411B"/>
    <w:rsid w:val="1AC02064"/>
    <w:rsid w:val="1AF776D6"/>
    <w:rsid w:val="1B0B2AA5"/>
    <w:rsid w:val="1B334486"/>
    <w:rsid w:val="1B9068E9"/>
    <w:rsid w:val="1BDF6BC8"/>
    <w:rsid w:val="1C2C3D72"/>
    <w:rsid w:val="1C535707"/>
    <w:rsid w:val="1C580E62"/>
    <w:rsid w:val="1C975E00"/>
    <w:rsid w:val="1D046172"/>
    <w:rsid w:val="1D484219"/>
    <w:rsid w:val="1D4F18C5"/>
    <w:rsid w:val="1D9A1CE4"/>
    <w:rsid w:val="1DD67D6F"/>
    <w:rsid w:val="1E036392"/>
    <w:rsid w:val="1E0C3498"/>
    <w:rsid w:val="1ED16069"/>
    <w:rsid w:val="1ED24185"/>
    <w:rsid w:val="1ED35C04"/>
    <w:rsid w:val="1ED903FD"/>
    <w:rsid w:val="1EE16233"/>
    <w:rsid w:val="1EFB57A6"/>
    <w:rsid w:val="1F372797"/>
    <w:rsid w:val="1F406C39"/>
    <w:rsid w:val="1FB262C1"/>
    <w:rsid w:val="1FD20322"/>
    <w:rsid w:val="1FE92B41"/>
    <w:rsid w:val="1FFEDEEE"/>
    <w:rsid w:val="201E1FEE"/>
    <w:rsid w:val="202E7632"/>
    <w:rsid w:val="20533B33"/>
    <w:rsid w:val="207456E4"/>
    <w:rsid w:val="20A3724F"/>
    <w:rsid w:val="20CB7E98"/>
    <w:rsid w:val="21CC56B8"/>
    <w:rsid w:val="21F711A6"/>
    <w:rsid w:val="22460F43"/>
    <w:rsid w:val="22612BC4"/>
    <w:rsid w:val="2297354C"/>
    <w:rsid w:val="22DD16D2"/>
    <w:rsid w:val="22F7E8FF"/>
    <w:rsid w:val="234C0C7F"/>
    <w:rsid w:val="23950905"/>
    <w:rsid w:val="23A67EEB"/>
    <w:rsid w:val="23F46FD7"/>
    <w:rsid w:val="24283899"/>
    <w:rsid w:val="24436E8F"/>
    <w:rsid w:val="248C4080"/>
    <w:rsid w:val="24C04FDC"/>
    <w:rsid w:val="24FD16C3"/>
    <w:rsid w:val="25143B2D"/>
    <w:rsid w:val="25F533FB"/>
    <w:rsid w:val="26331263"/>
    <w:rsid w:val="263F3713"/>
    <w:rsid w:val="265058AE"/>
    <w:rsid w:val="265F3B15"/>
    <w:rsid w:val="269C2300"/>
    <w:rsid w:val="271534C4"/>
    <w:rsid w:val="271E56C4"/>
    <w:rsid w:val="27391076"/>
    <w:rsid w:val="273B0505"/>
    <w:rsid w:val="277338DD"/>
    <w:rsid w:val="27A6495D"/>
    <w:rsid w:val="27F31AB9"/>
    <w:rsid w:val="27F60C89"/>
    <w:rsid w:val="27FFC5C7"/>
    <w:rsid w:val="282B56B9"/>
    <w:rsid w:val="28371A2F"/>
    <w:rsid w:val="284452E7"/>
    <w:rsid w:val="28523CBE"/>
    <w:rsid w:val="28757938"/>
    <w:rsid w:val="28860508"/>
    <w:rsid w:val="28950ECF"/>
    <w:rsid w:val="291B3F45"/>
    <w:rsid w:val="294B0B24"/>
    <w:rsid w:val="29581F66"/>
    <w:rsid w:val="29942B89"/>
    <w:rsid w:val="2A0E67EA"/>
    <w:rsid w:val="2A14341E"/>
    <w:rsid w:val="2A257690"/>
    <w:rsid w:val="2A817549"/>
    <w:rsid w:val="2AC554D1"/>
    <w:rsid w:val="2ADB2B70"/>
    <w:rsid w:val="2B275DB5"/>
    <w:rsid w:val="2B371B47"/>
    <w:rsid w:val="2B625A5F"/>
    <w:rsid w:val="2BBE5215"/>
    <w:rsid w:val="2BD70482"/>
    <w:rsid w:val="2C2F0835"/>
    <w:rsid w:val="2C9F6FED"/>
    <w:rsid w:val="2CBB4441"/>
    <w:rsid w:val="2CC80ED2"/>
    <w:rsid w:val="2CD1263C"/>
    <w:rsid w:val="2CF37A27"/>
    <w:rsid w:val="2CF74E38"/>
    <w:rsid w:val="2D241E80"/>
    <w:rsid w:val="2D324D1A"/>
    <w:rsid w:val="2D525A3B"/>
    <w:rsid w:val="2D6319D3"/>
    <w:rsid w:val="2D9D27E0"/>
    <w:rsid w:val="2DE812E1"/>
    <w:rsid w:val="2E750BE6"/>
    <w:rsid w:val="2E7B50BC"/>
    <w:rsid w:val="2E982D28"/>
    <w:rsid w:val="2EAE40F8"/>
    <w:rsid w:val="2ED1320F"/>
    <w:rsid w:val="2F040BD9"/>
    <w:rsid w:val="2F3274A5"/>
    <w:rsid w:val="2FBBA5AB"/>
    <w:rsid w:val="2FBF381C"/>
    <w:rsid w:val="2FC260AC"/>
    <w:rsid w:val="2FD91648"/>
    <w:rsid w:val="2FEF2A5C"/>
    <w:rsid w:val="3052247A"/>
    <w:rsid w:val="305D77B8"/>
    <w:rsid w:val="3090670D"/>
    <w:rsid w:val="312B48AF"/>
    <w:rsid w:val="31B5579D"/>
    <w:rsid w:val="32A47AB4"/>
    <w:rsid w:val="32CB27BC"/>
    <w:rsid w:val="33105381"/>
    <w:rsid w:val="336B6A5B"/>
    <w:rsid w:val="337B49B9"/>
    <w:rsid w:val="33BD27DF"/>
    <w:rsid w:val="33EB569F"/>
    <w:rsid w:val="33FA0C54"/>
    <w:rsid w:val="34113BD6"/>
    <w:rsid w:val="34140406"/>
    <w:rsid w:val="342C7375"/>
    <w:rsid w:val="34B42BB5"/>
    <w:rsid w:val="34C73C1C"/>
    <w:rsid w:val="350D6544"/>
    <w:rsid w:val="35EE2E3C"/>
    <w:rsid w:val="36001598"/>
    <w:rsid w:val="360308FA"/>
    <w:rsid w:val="36527A5E"/>
    <w:rsid w:val="36870F62"/>
    <w:rsid w:val="369B1CB2"/>
    <w:rsid w:val="36BF54EC"/>
    <w:rsid w:val="36C17759"/>
    <w:rsid w:val="36DC449D"/>
    <w:rsid w:val="36F56951"/>
    <w:rsid w:val="37E36263"/>
    <w:rsid w:val="37EE368E"/>
    <w:rsid w:val="38554F2F"/>
    <w:rsid w:val="38693545"/>
    <w:rsid w:val="38C96200"/>
    <w:rsid w:val="38D85C62"/>
    <w:rsid w:val="38DD3F57"/>
    <w:rsid w:val="390E6F8C"/>
    <w:rsid w:val="39131F2C"/>
    <w:rsid w:val="39374DDA"/>
    <w:rsid w:val="393C614A"/>
    <w:rsid w:val="39411EEC"/>
    <w:rsid w:val="39935632"/>
    <w:rsid w:val="39E6508D"/>
    <w:rsid w:val="3A3949DD"/>
    <w:rsid w:val="3A4A7C37"/>
    <w:rsid w:val="3A7649A2"/>
    <w:rsid w:val="3A81279A"/>
    <w:rsid w:val="3AE5274E"/>
    <w:rsid w:val="3B072D35"/>
    <w:rsid w:val="3B3301C2"/>
    <w:rsid w:val="3B626037"/>
    <w:rsid w:val="3BD70C1C"/>
    <w:rsid w:val="3C065573"/>
    <w:rsid w:val="3C4B567C"/>
    <w:rsid w:val="3C837FE5"/>
    <w:rsid w:val="3CB15DE8"/>
    <w:rsid w:val="3D1F22E5"/>
    <w:rsid w:val="3D3960CA"/>
    <w:rsid w:val="3D741DDE"/>
    <w:rsid w:val="3D997564"/>
    <w:rsid w:val="3DB744C0"/>
    <w:rsid w:val="3DB8289D"/>
    <w:rsid w:val="3DE87F46"/>
    <w:rsid w:val="3DFC2E05"/>
    <w:rsid w:val="3E0D7049"/>
    <w:rsid w:val="3E144470"/>
    <w:rsid w:val="3E432DCF"/>
    <w:rsid w:val="3E8E1632"/>
    <w:rsid w:val="3F3E2FE9"/>
    <w:rsid w:val="3F5605BF"/>
    <w:rsid w:val="3F646F3E"/>
    <w:rsid w:val="3F7B5870"/>
    <w:rsid w:val="3FAD280D"/>
    <w:rsid w:val="3FAFC9F3"/>
    <w:rsid w:val="3FBD0AA0"/>
    <w:rsid w:val="3FBFE8A3"/>
    <w:rsid w:val="3FBFF11E"/>
    <w:rsid w:val="3FC78042"/>
    <w:rsid w:val="3FCF6EEE"/>
    <w:rsid w:val="3FFA9567"/>
    <w:rsid w:val="3FFBC9EC"/>
    <w:rsid w:val="3FFFEA14"/>
    <w:rsid w:val="400D7690"/>
    <w:rsid w:val="4069560F"/>
    <w:rsid w:val="412070D7"/>
    <w:rsid w:val="41322966"/>
    <w:rsid w:val="41670862"/>
    <w:rsid w:val="41731B45"/>
    <w:rsid w:val="41DC7289"/>
    <w:rsid w:val="41FD2ABB"/>
    <w:rsid w:val="421C165C"/>
    <w:rsid w:val="42811671"/>
    <w:rsid w:val="428B71EF"/>
    <w:rsid w:val="42A2347D"/>
    <w:rsid w:val="43251644"/>
    <w:rsid w:val="43802285"/>
    <w:rsid w:val="43A7F1A6"/>
    <w:rsid w:val="43D2284D"/>
    <w:rsid w:val="43ED42A2"/>
    <w:rsid w:val="44865DC2"/>
    <w:rsid w:val="44986F84"/>
    <w:rsid w:val="44A86EA6"/>
    <w:rsid w:val="44B03869"/>
    <w:rsid w:val="44B958DC"/>
    <w:rsid w:val="44E65F41"/>
    <w:rsid w:val="44FE2B7A"/>
    <w:rsid w:val="45221C05"/>
    <w:rsid w:val="45576E3F"/>
    <w:rsid w:val="455812EC"/>
    <w:rsid w:val="456F5F37"/>
    <w:rsid w:val="45761D23"/>
    <w:rsid w:val="4593493B"/>
    <w:rsid w:val="459B16D3"/>
    <w:rsid w:val="459E4A6E"/>
    <w:rsid w:val="45F31D67"/>
    <w:rsid w:val="45FF29D4"/>
    <w:rsid w:val="462A15BD"/>
    <w:rsid w:val="4633306D"/>
    <w:rsid w:val="46625636"/>
    <w:rsid w:val="46E2098A"/>
    <w:rsid w:val="4712301E"/>
    <w:rsid w:val="47970F04"/>
    <w:rsid w:val="48D56225"/>
    <w:rsid w:val="493C0826"/>
    <w:rsid w:val="49D23684"/>
    <w:rsid w:val="49E41186"/>
    <w:rsid w:val="49F243D5"/>
    <w:rsid w:val="4A3F0AC3"/>
    <w:rsid w:val="4A6E0EB3"/>
    <w:rsid w:val="4AD1435D"/>
    <w:rsid w:val="4AFA2C7B"/>
    <w:rsid w:val="4B0435C5"/>
    <w:rsid w:val="4B58271A"/>
    <w:rsid w:val="4B6B11A9"/>
    <w:rsid w:val="4B9C6B82"/>
    <w:rsid w:val="4BDE4024"/>
    <w:rsid w:val="4C1635B0"/>
    <w:rsid w:val="4C907F6D"/>
    <w:rsid w:val="4CA46E0E"/>
    <w:rsid w:val="4CAE35BE"/>
    <w:rsid w:val="4CFC2039"/>
    <w:rsid w:val="4D101EA3"/>
    <w:rsid w:val="4D3E2370"/>
    <w:rsid w:val="4D6E449B"/>
    <w:rsid w:val="4F0A34DF"/>
    <w:rsid w:val="4F5F5C7E"/>
    <w:rsid w:val="4F7241B1"/>
    <w:rsid w:val="4FCD04DF"/>
    <w:rsid w:val="4FF7181A"/>
    <w:rsid w:val="4FFE309A"/>
    <w:rsid w:val="507D0BBC"/>
    <w:rsid w:val="507E6B2A"/>
    <w:rsid w:val="51290B58"/>
    <w:rsid w:val="51381763"/>
    <w:rsid w:val="51842D6A"/>
    <w:rsid w:val="51960840"/>
    <w:rsid w:val="51D7639A"/>
    <w:rsid w:val="51E2208C"/>
    <w:rsid w:val="5221572C"/>
    <w:rsid w:val="52265F38"/>
    <w:rsid w:val="52291B63"/>
    <w:rsid w:val="52DF3B64"/>
    <w:rsid w:val="52EF2BDF"/>
    <w:rsid w:val="535B753F"/>
    <w:rsid w:val="535F3A8F"/>
    <w:rsid w:val="53B16AD7"/>
    <w:rsid w:val="543748C0"/>
    <w:rsid w:val="54B716A8"/>
    <w:rsid w:val="55516FE9"/>
    <w:rsid w:val="55681707"/>
    <w:rsid w:val="55AC2CD2"/>
    <w:rsid w:val="55B812E3"/>
    <w:rsid w:val="55D82153"/>
    <w:rsid w:val="561A2F05"/>
    <w:rsid w:val="566E5A78"/>
    <w:rsid w:val="56A7003A"/>
    <w:rsid w:val="575D29C4"/>
    <w:rsid w:val="577B4EF8"/>
    <w:rsid w:val="57950BEC"/>
    <w:rsid w:val="579A41D9"/>
    <w:rsid w:val="57BD01C5"/>
    <w:rsid w:val="57BE73BD"/>
    <w:rsid w:val="57C56C55"/>
    <w:rsid w:val="57E13BCA"/>
    <w:rsid w:val="57EAF5E5"/>
    <w:rsid w:val="58334AD1"/>
    <w:rsid w:val="5864421C"/>
    <w:rsid w:val="58F55AD6"/>
    <w:rsid w:val="5901172B"/>
    <w:rsid w:val="59561F19"/>
    <w:rsid w:val="596B1981"/>
    <w:rsid w:val="59821BED"/>
    <w:rsid w:val="59CF4D9E"/>
    <w:rsid w:val="59DE4A58"/>
    <w:rsid w:val="5AB4383C"/>
    <w:rsid w:val="5AB708B6"/>
    <w:rsid w:val="5AED719F"/>
    <w:rsid w:val="5B0A7A07"/>
    <w:rsid w:val="5B1433B1"/>
    <w:rsid w:val="5B291059"/>
    <w:rsid w:val="5B353327"/>
    <w:rsid w:val="5B3C271A"/>
    <w:rsid w:val="5B3F384B"/>
    <w:rsid w:val="5B5F5E1B"/>
    <w:rsid w:val="5B685559"/>
    <w:rsid w:val="5B8F6EDB"/>
    <w:rsid w:val="5BE414C5"/>
    <w:rsid w:val="5BFBC47E"/>
    <w:rsid w:val="5BFBFEEF"/>
    <w:rsid w:val="5BFE6DE9"/>
    <w:rsid w:val="5C1E1F40"/>
    <w:rsid w:val="5C5537BA"/>
    <w:rsid w:val="5C694A22"/>
    <w:rsid w:val="5C7458E1"/>
    <w:rsid w:val="5CBF46AD"/>
    <w:rsid w:val="5CE479D1"/>
    <w:rsid w:val="5CFF3025"/>
    <w:rsid w:val="5D3C5456"/>
    <w:rsid w:val="5D3E2967"/>
    <w:rsid w:val="5D7B4679"/>
    <w:rsid w:val="5D7C3989"/>
    <w:rsid w:val="5DCDBD87"/>
    <w:rsid w:val="5E6D6710"/>
    <w:rsid w:val="5E7C5B9B"/>
    <w:rsid w:val="5EA82B76"/>
    <w:rsid w:val="5EB1D3F4"/>
    <w:rsid w:val="5ECB38AD"/>
    <w:rsid w:val="5EDB5F93"/>
    <w:rsid w:val="5F246AEA"/>
    <w:rsid w:val="5F2F10A5"/>
    <w:rsid w:val="5F3B183F"/>
    <w:rsid w:val="5F5617FE"/>
    <w:rsid w:val="5F562031"/>
    <w:rsid w:val="5F774ACC"/>
    <w:rsid w:val="5F9C373E"/>
    <w:rsid w:val="5FBF7263"/>
    <w:rsid w:val="5FCF84ED"/>
    <w:rsid w:val="5FDFC83C"/>
    <w:rsid w:val="5FF7A0DE"/>
    <w:rsid w:val="60017C7C"/>
    <w:rsid w:val="6020741B"/>
    <w:rsid w:val="60695F4D"/>
    <w:rsid w:val="608914CC"/>
    <w:rsid w:val="6094289E"/>
    <w:rsid w:val="60A725D1"/>
    <w:rsid w:val="60F11867"/>
    <w:rsid w:val="61035425"/>
    <w:rsid w:val="61492D1C"/>
    <w:rsid w:val="615C16D6"/>
    <w:rsid w:val="618A3DC3"/>
    <w:rsid w:val="61C15430"/>
    <w:rsid w:val="61E46B12"/>
    <w:rsid w:val="62102CE3"/>
    <w:rsid w:val="62222B09"/>
    <w:rsid w:val="62311D7E"/>
    <w:rsid w:val="62350D51"/>
    <w:rsid w:val="627C5614"/>
    <w:rsid w:val="62BA758E"/>
    <w:rsid w:val="62BB6119"/>
    <w:rsid w:val="62D11B87"/>
    <w:rsid w:val="630D7F41"/>
    <w:rsid w:val="630F26B0"/>
    <w:rsid w:val="636724EC"/>
    <w:rsid w:val="636C18B0"/>
    <w:rsid w:val="63A71F74"/>
    <w:rsid w:val="63ED0D4F"/>
    <w:rsid w:val="64FE5F84"/>
    <w:rsid w:val="652F1904"/>
    <w:rsid w:val="65835D1E"/>
    <w:rsid w:val="65BF660F"/>
    <w:rsid w:val="65C7404D"/>
    <w:rsid w:val="65F17436"/>
    <w:rsid w:val="66BB8914"/>
    <w:rsid w:val="66C0483B"/>
    <w:rsid w:val="66CC410D"/>
    <w:rsid w:val="66EE54A9"/>
    <w:rsid w:val="67152FB8"/>
    <w:rsid w:val="67551304"/>
    <w:rsid w:val="676254A4"/>
    <w:rsid w:val="678D0D6C"/>
    <w:rsid w:val="67AB4C59"/>
    <w:rsid w:val="67C96B35"/>
    <w:rsid w:val="67D8ED11"/>
    <w:rsid w:val="684306E9"/>
    <w:rsid w:val="68723580"/>
    <w:rsid w:val="68994500"/>
    <w:rsid w:val="6909736E"/>
    <w:rsid w:val="69172000"/>
    <w:rsid w:val="697F1380"/>
    <w:rsid w:val="699A1F8A"/>
    <w:rsid w:val="69A93917"/>
    <w:rsid w:val="69F84725"/>
    <w:rsid w:val="6A4A3BFD"/>
    <w:rsid w:val="6B43739A"/>
    <w:rsid w:val="6BFFA4D9"/>
    <w:rsid w:val="6C196A9A"/>
    <w:rsid w:val="6C590980"/>
    <w:rsid w:val="6C75429C"/>
    <w:rsid w:val="6C7D23DE"/>
    <w:rsid w:val="6C8163CC"/>
    <w:rsid w:val="6C862912"/>
    <w:rsid w:val="6CFA1652"/>
    <w:rsid w:val="6CFD7E08"/>
    <w:rsid w:val="6D0F4A6A"/>
    <w:rsid w:val="6D3D4391"/>
    <w:rsid w:val="6D4F2BB4"/>
    <w:rsid w:val="6D8E68B6"/>
    <w:rsid w:val="6DB91B96"/>
    <w:rsid w:val="6DCD214C"/>
    <w:rsid w:val="6E3C3302"/>
    <w:rsid w:val="6E7E0482"/>
    <w:rsid w:val="6E7F1593"/>
    <w:rsid w:val="6E8B15BA"/>
    <w:rsid w:val="6EC3F98A"/>
    <w:rsid w:val="6EDE010C"/>
    <w:rsid w:val="6EFE7E0F"/>
    <w:rsid w:val="6F5F3DDC"/>
    <w:rsid w:val="6FBF4705"/>
    <w:rsid w:val="6FC06BC3"/>
    <w:rsid w:val="6FC24E02"/>
    <w:rsid w:val="6FCD2B35"/>
    <w:rsid w:val="6FEFDAF3"/>
    <w:rsid w:val="6FF658FB"/>
    <w:rsid w:val="6FFB1FF0"/>
    <w:rsid w:val="6FFEF6BD"/>
    <w:rsid w:val="70161521"/>
    <w:rsid w:val="70756248"/>
    <w:rsid w:val="70983CE4"/>
    <w:rsid w:val="70BB65E4"/>
    <w:rsid w:val="70E817A2"/>
    <w:rsid w:val="70EF71B7"/>
    <w:rsid w:val="70FAFB2A"/>
    <w:rsid w:val="71506ACE"/>
    <w:rsid w:val="716138A0"/>
    <w:rsid w:val="716314ED"/>
    <w:rsid w:val="71753151"/>
    <w:rsid w:val="71867FE1"/>
    <w:rsid w:val="71A73D3E"/>
    <w:rsid w:val="71D4087A"/>
    <w:rsid w:val="71E34413"/>
    <w:rsid w:val="71FE401B"/>
    <w:rsid w:val="72172CF0"/>
    <w:rsid w:val="726A16B0"/>
    <w:rsid w:val="727D4F24"/>
    <w:rsid w:val="72822E9E"/>
    <w:rsid w:val="72A146DD"/>
    <w:rsid w:val="72A70FAA"/>
    <w:rsid w:val="72DD1E82"/>
    <w:rsid w:val="72E66F89"/>
    <w:rsid w:val="72E84BD3"/>
    <w:rsid w:val="73113F43"/>
    <w:rsid w:val="734944D8"/>
    <w:rsid w:val="7357511D"/>
    <w:rsid w:val="737446DD"/>
    <w:rsid w:val="737A3B75"/>
    <w:rsid w:val="737C1264"/>
    <w:rsid w:val="739B12EB"/>
    <w:rsid w:val="73AB6533"/>
    <w:rsid w:val="74620891"/>
    <w:rsid w:val="74D774D1"/>
    <w:rsid w:val="74E42203"/>
    <w:rsid w:val="751F197F"/>
    <w:rsid w:val="75297601"/>
    <w:rsid w:val="752C5839"/>
    <w:rsid w:val="758650B4"/>
    <w:rsid w:val="759E9462"/>
    <w:rsid w:val="75AB7F59"/>
    <w:rsid w:val="75D9457B"/>
    <w:rsid w:val="75E579CC"/>
    <w:rsid w:val="7613520C"/>
    <w:rsid w:val="76301170"/>
    <w:rsid w:val="763E70DC"/>
    <w:rsid w:val="76937428"/>
    <w:rsid w:val="76EB7264"/>
    <w:rsid w:val="76EEE66D"/>
    <w:rsid w:val="76EF82A2"/>
    <w:rsid w:val="76F20DAE"/>
    <w:rsid w:val="76FBFBCD"/>
    <w:rsid w:val="77245415"/>
    <w:rsid w:val="77503BA8"/>
    <w:rsid w:val="77B627D2"/>
    <w:rsid w:val="77BDFB3C"/>
    <w:rsid w:val="77BF2551"/>
    <w:rsid w:val="77CB4ADD"/>
    <w:rsid w:val="77DB2F67"/>
    <w:rsid w:val="77F50D0E"/>
    <w:rsid w:val="77FCCDF3"/>
    <w:rsid w:val="7821727C"/>
    <w:rsid w:val="78243701"/>
    <w:rsid w:val="782E0A91"/>
    <w:rsid w:val="7866291A"/>
    <w:rsid w:val="788E7EA5"/>
    <w:rsid w:val="78F74A7F"/>
    <w:rsid w:val="7922343B"/>
    <w:rsid w:val="7926388B"/>
    <w:rsid w:val="79521C10"/>
    <w:rsid w:val="795E17F1"/>
    <w:rsid w:val="795FF9E4"/>
    <w:rsid w:val="79B25E17"/>
    <w:rsid w:val="79D42C0A"/>
    <w:rsid w:val="79FFF26D"/>
    <w:rsid w:val="7A267238"/>
    <w:rsid w:val="7A30225F"/>
    <w:rsid w:val="7AAE7979"/>
    <w:rsid w:val="7AD5E80B"/>
    <w:rsid w:val="7AE7FD2B"/>
    <w:rsid w:val="7AF3D7EA"/>
    <w:rsid w:val="7AFE98C0"/>
    <w:rsid w:val="7B0A37F3"/>
    <w:rsid w:val="7B2EC99E"/>
    <w:rsid w:val="7B3E4BF5"/>
    <w:rsid w:val="7B676EB1"/>
    <w:rsid w:val="7B93031C"/>
    <w:rsid w:val="7BB3345A"/>
    <w:rsid w:val="7BBE09F0"/>
    <w:rsid w:val="7BCF7C7E"/>
    <w:rsid w:val="7BD61AD5"/>
    <w:rsid w:val="7BF9C739"/>
    <w:rsid w:val="7BFB259B"/>
    <w:rsid w:val="7BFF440A"/>
    <w:rsid w:val="7BFF8FB5"/>
    <w:rsid w:val="7C8549E9"/>
    <w:rsid w:val="7C9E2A4A"/>
    <w:rsid w:val="7CCD70F6"/>
    <w:rsid w:val="7CFC4664"/>
    <w:rsid w:val="7D2C0FB4"/>
    <w:rsid w:val="7D4E5235"/>
    <w:rsid w:val="7D7B61FA"/>
    <w:rsid w:val="7D7D8DD1"/>
    <w:rsid w:val="7D9F8B72"/>
    <w:rsid w:val="7DBBA20B"/>
    <w:rsid w:val="7DC66335"/>
    <w:rsid w:val="7DDEDC0D"/>
    <w:rsid w:val="7DEF7A8A"/>
    <w:rsid w:val="7DF3FD3E"/>
    <w:rsid w:val="7DF7F354"/>
    <w:rsid w:val="7DFB0575"/>
    <w:rsid w:val="7E154BC6"/>
    <w:rsid w:val="7E6B12CB"/>
    <w:rsid w:val="7E7273D9"/>
    <w:rsid w:val="7E7F81E4"/>
    <w:rsid w:val="7E8D051D"/>
    <w:rsid w:val="7EACC565"/>
    <w:rsid w:val="7EB151EC"/>
    <w:rsid w:val="7EBB205B"/>
    <w:rsid w:val="7EBF2D50"/>
    <w:rsid w:val="7ECF1D1B"/>
    <w:rsid w:val="7ED22AB7"/>
    <w:rsid w:val="7ED7E605"/>
    <w:rsid w:val="7EDD74B9"/>
    <w:rsid w:val="7EF62516"/>
    <w:rsid w:val="7EFFE568"/>
    <w:rsid w:val="7F4B6054"/>
    <w:rsid w:val="7F5ABD7A"/>
    <w:rsid w:val="7F5CEBBD"/>
    <w:rsid w:val="7F7D7081"/>
    <w:rsid w:val="7F824F8C"/>
    <w:rsid w:val="7F8C4AD9"/>
    <w:rsid w:val="7FBF1A71"/>
    <w:rsid w:val="7FDFB4E3"/>
    <w:rsid w:val="7FDFE4A1"/>
    <w:rsid w:val="7FEF3380"/>
    <w:rsid w:val="7FFF3A16"/>
    <w:rsid w:val="7FFF5A94"/>
    <w:rsid w:val="83FF91AF"/>
    <w:rsid w:val="8AF62299"/>
    <w:rsid w:val="8D9E5958"/>
    <w:rsid w:val="8FEBAE37"/>
    <w:rsid w:val="8FF8B082"/>
    <w:rsid w:val="9FFC6A98"/>
    <w:rsid w:val="9FFF4B72"/>
    <w:rsid w:val="9FFFED75"/>
    <w:rsid w:val="A4FE2DAB"/>
    <w:rsid w:val="AD3B6A3F"/>
    <w:rsid w:val="AFE10A07"/>
    <w:rsid w:val="AFFE6005"/>
    <w:rsid w:val="B6FC2E9B"/>
    <w:rsid w:val="B7E7B2A0"/>
    <w:rsid w:val="B7EB1F3F"/>
    <w:rsid w:val="B9EB0C7F"/>
    <w:rsid w:val="B9FBD9F7"/>
    <w:rsid w:val="BBD563B5"/>
    <w:rsid w:val="BBFE7B1E"/>
    <w:rsid w:val="BBFF130D"/>
    <w:rsid w:val="BBFFDCD7"/>
    <w:rsid w:val="BCDCE214"/>
    <w:rsid w:val="BDAD1B8A"/>
    <w:rsid w:val="BDB9A1BB"/>
    <w:rsid w:val="BDFFCF40"/>
    <w:rsid w:val="BE7D5B73"/>
    <w:rsid w:val="BEEC8E32"/>
    <w:rsid w:val="BF7E0626"/>
    <w:rsid w:val="C76803D6"/>
    <w:rsid w:val="C77B49A1"/>
    <w:rsid w:val="CB9B34A2"/>
    <w:rsid w:val="CBB3A44B"/>
    <w:rsid w:val="CBDFAE21"/>
    <w:rsid w:val="CF1E2C65"/>
    <w:rsid w:val="CFFECBF1"/>
    <w:rsid w:val="D1D7B40E"/>
    <w:rsid w:val="D267D29C"/>
    <w:rsid w:val="D3ECC95C"/>
    <w:rsid w:val="D3ED3C8A"/>
    <w:rsid w:val="D6C76697"/>
    <w:rsid w:val="D70AFC06"/>
    <w:rsid w:val="D7DD1870"/>
    <w:rsid w:val="D9BFE668"/>
    <w:rsid w:val="D9F7E4F1"/>
    <w:rsid w:val="DA6CDFCE"/>
    <w:rsid w:val="DAFFE3D0"/>
    <w:rsid w:val="DB7F72A7"/>
    <w:rsid w:val="DBFF9A6B"/>
    <w:rsid w:val="DCDBFDC9"/>
    <w:rsid w:val="DD27FCAC"/>
    <w:rsid w:val="DD2D3FF7"/>
    <w:rsid w:val="DDCC86CA"/>
    <w:rsid w:val="DEFD6240"/>
    <w:rsid w:val="DEFF9AA2"/>
    <w:rsid w:val="DF5F6244"/>
    <w:rsid w:val="DFFE046B"/>
    <w:rsid w:val="E5B7349A"/>
    <w:rsid w:val="E5FFA019"/>
    <w:rsid w:val="E6DD0BF9"/>
    <w:rsid w:val="E7D6CC62"/>
    <w:rsid w:val="EBDE771E"/>
    <w:rsid w:val="EC6F8A7D"/>
    <w:rsid w:val="ED574481"/>
    <w:rsid w:val="EDBD7309"/>
    <w:rsid w:val="EDDFEE17"/>
    <w:rsid w:val="EDFDC52D"/>
    <w:rsid w:val="EEDBFCB9"/>
    <w:rsid w:val="EEDF5C73"/>
    <w:rsid w:val="EFB7FA07"/>
    <w:rsid w:val="EFDD9E34"/>
    <w:rsid w:val="EFEC0D03"/>
    <w:rsid w:val="EFF9121F"/>
    <w:rsid w:val="F4FEB764"/>
    <w:rsid w:val="F5DCD828"/>
    <w:rsid w:val="F6FFEE89"/>
    <w:rsid w:val="F77F6848"/>
    <w:rsid w:val="F77FB31B"/>
    <w:rsid w:val="F79FF762"/>
    <w:rsid w:val="F7D8FE1B"/>
    <w:rsid w:val="F7F540A6"/>
    <w:rsid w:val="F7F99798"/>
    <w:rsid w:val="F7FF2F46"/>
    <w:rsid w:val="F7FF624F"/>
    <w:rsid w:val="F8A20F1B"/>
    <w:rsid w:val="F8DF9610"/>
    <w:rsid w:val="F8ED456B"/>
    <w:rsid w:val="F8FC959D"/>
    <w:rsid w:val="F9FE23CE"/>
    <w:rsid w:val="FBED27CB"/>
    <w:rsid w:val="FD77E073"/>
    <w:rsid w:val="FDA3C67D"/>
    <w:rsid w:val="FDBFCCB1"/>
    <w:rsid w:val="FDE76F5F"/>
    <w:rsid w:val="FDF70401"/>
    <w:rsid w:val="FDFBBA80"/>
    <w:rsid w:val="FE9A4642"/>
    <w:rsid w:val="FEF71790"/>
    <w:rsid w:val="FEFEEE24"/>
    <w:rsid w:val="FEFF1801"/>
    <w:rsid w:val="FF256A0D"/>
    <w:rsid w:val="FF825E8E"/>
    <w:rsid w:val="FF9EC63C"/>
    <w:rsid w:val="FF9F7E4F"/>
    <w:rsid w:val="FFAE71A9"/>
    <w:rsid w:val="FFDDD3F3"/>
    <w:rsid w:val="FFDF345C"/>
    <w:rsid w:val="FFDF71A8"/>
    <w:rsid w:val="FFF358D4"/>
    <w:rsid w:val="FFF6C637"/>
    <w:rsid w:val="FFF7C73D"/>
    <w:rsid w:val="FFFF91E4"/>
    <w:rsid w:val="FFFFC2A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1044" w:firstLineChars="200"/>
      <w:jc w:val="both"/>
    </w:pPr>
    <w:rPr>
      <w:rFonts w:ascii="Times New Roman" w:hAnsi="Times New Roman" w:eastAsia="仿宋_GB2312" w:cstheme="minorBidi"/>
      <w:kern w:val="2"/>
      <w:sz w:val="28"/>
      <w:szCs w:val="22"/>
      <w:lang w:val="en-US" w:eastAsia="zh-CN" w:bidi="ar-SA"/>
    </w:rPr>
  </w:style>
  <w:style w:type="paragraph" w:styleId="2">
    <w:name w:val="heading 2"/>
    <w:basedOn w:val="1"/>
    <w:next w:val="1"/>
    <w:unhideWhenUsed/>
    <w:qFormat/>
    <w:uiPriority w:val="9"/>
    <w:pPr>
      <w:keepNext/>
      <w:keepLines/>
      <w:spacing w:before="260" w:after="260" w:line="413" w:lineRule="auto"/>
      <w:outlineLvl w:val="1"/>
    </w:pPr>
    <w:rPr>
      <w:rFonts w:ascii="Arial" w:hAnsi="Arial" w:eastAsia="黑体"/>
      <w:b/>
      <w:sz w:val="32"/>
    </w:rPr>
  </w:style>
  <w:style w:type="paragraph" w:styleId="3">
    <w:name w:val="heading 3"/>
    <w:basedOn w:val="1"/>
    <w:next w:val="1"/>
    <w:qFormat/>
    <w:uiPriority w:val="0"/>
    <w:pPr>
      <w:keepNext/>
      <w:keepLines/>
      <w:numPr>
        <w:ilvl w:val="2"/>
        <w:numId w:val="1"/>
      </w:numPr>
      <w:spacing w:line="560" w:lineRule="exact"/>
      <w:ind w:firstLine="880"/>
      <w:outlineLvl w:val="2"/>
    </w:pPr>
    <w:rPr>
      <w:b/>
      <w:bCs/>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Normal Indent"/>
    <w:basedOn w:val="1"/>
    <w:unhideWhenUsed/>
    <w:qFormat/>
    <w:uiPriority w:val="99"/>
    <w:pPr>
      <w:numPr>
        <w:ilvl w:val="0"/>
        <w:numId w:val="2"/>
      </w:numPr>
      <w:spacing w:line="560" w:lineRule="exact"/>
    </w:pPr>
    <w:rPr>
      <w:rFonts w:ascii="楷体" w:hAnsi="楷体" w:eastAsia="楷体" w:cs="楷体"/>
      <w:szCs w:val="32"/>
    </w:rPr>
  </w:style>
  <w:style w:type="paragraph" w:styleId="5">
    <w:name w:val="annotation text"/>
    <w:basedOn w:val="1"/>
    <w:semiHidden/>
    <w:unhideWhenUsed/>
    <w:qFormat/>
    <w:uiPriority w:val="99"/>
    <w:pPr>
      <w:jc w:val="left"/>
    </w:pPr>
  </w:style>
  <w:style w:type="paragraph" w:styleId="6">
    <w:name w:val="Salutation"/>
    <w:basedOn w:val="1"/>
    <w:next w:val="1"/>
    <w:qFormat/>
    <w:uiPriority w:val="0"/>
  </w:style>
  <w:style w:type="paragraph" w:styleId="7">
    <w:name w:val="Body Text"/>
    <w:basedOn w:val="1"/>
    <w:next w:val="1"/>
    <w:qFormat/>
    <w:uiPriority w:val="0"/>
    <w:pPr>
      <w:spacing w:after="120"/>
    </w:pPr>
    <w:rPr>
      <w:rFonts w:ascii="Calibri" w:hAnsi="Calibri"/>
      <w:kern w:val="0"/>
      <w:szCs w:val="20"/>
    </w:rPr>
  </w:style>
  <w:style w:type="paragraph" w:styleId="8">
    <w:name w:val="Body Text Indent"/>
    <w:basedOn w:val="1"/>
    <w:link w:val="42"/>
    <w:semiHidden/>
    <w:unhideWhenUsed/>
    <w:qFormat/>
    <w:uiPriority w:val="99"/>
    <w:pPr>
      <w:ind w:firstLine="640"/>
    </w:pPr>
    <w:rPr>
      <w:rFonts w:ascii="Calibri" w:hAnsi="Calibri" w:eastAsia="宋体" w:cs="Times New Roman"/>
      <w:sz w:val="32"/>
      <w:szCs w:val="24"/>
    </w:rPr>
  </w:style>
  <w:style w:type="paragraph" w:styleId="9">
    <w:name w:val="toc 3"/>
    <w:basedOn w:val="1"/>
    <w:next w:val="1"/>
    <w:semiHidden/>
    <w:unhideWhenUsed/>
    <w:qFormat/>
    <w:uiPriority w:val="39"/>
    <w:pPr>
      <w:ind w:left="840" w:leftChars="400"/>
    </w:pPr>
  </w:style>
  <w:style w:type="paragraph" w:styleId="10">
    <w:name w:val="Body Text Indent 2"/>
    <w:basedOn w:val="1"/>
    <w:qFormat/>
    <w:uiPriority w:val="0"/>
    <w:pPr>
      <w:ind w:firstLine="645"/>
      <w:outlineLvl w:val="0"/>
    </w:pPr>
    <w:rPr>
      <w:rFonts w:ascii="仿宋_GB2312"/>
      <w:spacing w:val="-4"/>
      <w:sz w:val="32"/>
    </w:rPr>
  </w:style>
  <w:style w:type="paragraph" w:styleId="11">
    <w:name w:val="footer"/>
    <w:basedOn w:val="1"/>
    <w:link w:val="29"/>
    <w:unhideWhenUsed/>
    <w:qFormat/>
    <w:uiPriority w:val="99"/>
    <w:pPr>
      <w:tabs>
        <w:tab w:val="center" w:pos="4153"/>
        <w:tab w:val="right" w:pos="8306"/>
      </w:tabs>
      <w:snapToGrid w:val="0"/>
      <w:jc w:val="left"/>
    </w:pPr>
    <w:rPr>
      <w:sz w:val="18"/>
      <w:szCs w:val="18"/>
    </w:rPr>
  </w:style>
  <w:style w:type="paragraph" w:styleId="12">
    <w:name w:val="header"/>
    <w:basedOn w:val="1"/>
    <w:next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left" w:pos="709"/>
        <w:tab w:val="right" w:leader="dot" w:pos="8296"/>
      </w:tabs>
    </w:pPr>
  </w:style>
  <w:style w:type="paragraph" w:styleId="14">
    <w:name w:val="toc 2"/>
    <w:basedOn w:val="1"/>
    <w:next w:val="1"/>
    <w:unhideWhenUsed/>
    <w:qFormat/>
    <w:uiPriority w:val="39"/>
    <w:pPr>
      <w:ind w:left="420" w:leftChars="200"/>
    </w:pPr>
  </w:style>
  <w:style w:type="paragraph" w:styleId="15">
    <w:name w:val="Normal (Web)"/>
    <w:basedOn w:val="1"/>
    <w:unhideWhenUsed/>
    <w:qFormat/>
    <w:uiPriority w:val="99"/>
    <w:pPr>
      <w:spacing w:before="100" w:beforeAutospacing="1" w:after="100" w:afterAutospacing="1"/>
      <w:jc w:val="left"/>
    </w:pPr>
    <w:rPr>
      <w:rFonts w:cs="Times New Roman"/>
      <w:kern w:val="0"/>
      <w:sz w:val="24"/>
    </w:rPr>
  </w:style>
  <w:style w:type="paragraph" w:styleId="16">
    <w:name w:val="Title"/>
    <w:basedOn w:val="1"/>
    <w:link w:val="41"/>
    <w:qFormat/>
    <w:uiPriority w:val="10"/>
    <w:pPr>
      <w:spacing w:before="240" w:after="60"/>
      <w:jc w:val="center"/>
      <w:outlineLvl w:val="0"/>
    </w:pPr>
    <w:rPr>
      <w:rFonts w:ascii="Arial" w:hAnsi="Arial"/>
      <w:b/>
      <w:sz w:val="32"/>
    </w:rPr>
  </w:style>
  <w:style w:type="paragraph" w:styleId="17">
    <w:name w:val="Body Text First Indent 2"/>
    <w:basedOn w:val="8"/>
    <w:qFormat/>
    <w:uiPriority w:val="0"/>
    <w:pPr>
      <w:ind w:firstLine="420"/>
    </w:p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Emphasis"/>
    <w:basedOn w:val="20"/>
    <w:qFormat/>
    <w:uiPriority w:val="20"/>
    <w:rPr>
      <w:i/>
    </w:rPr>
  </w:style>
  <w:style w:type="character" w:styleId="22">
    <w:name w:val="Hyperlink"/>
    <w:unhideWhenUsed/>
    <w:qFormat/>
    <w:uiPriority w:val="99"/>
    <w:rPr>
      <w:color w:val="4D4D4D"/>
      <w:u w:val="none"/>
    </w:rPr>
  </w:style>
  <w:style w:type="character" w:styleId="23">
    <w:name w:val="annotation reference"/>
    <w:basedOn w:val="20"/>
    <w:semiHidden/>
    <w:unhideWhenUsed/>
    <w:qFormat/>
    <w:uiPriority w:val="99"/>
    <w:rPr>
      <w:sz w:val="21"/>
      <w:szCs w:val="21"/>
    </w:rPr>
  </w:style>
  <w:style w:type="paragraph" w:customStyle="1" w:styleId="24">
    <w:name w:val="Default"/>
    <w:next w:val="25"/>
    <w:qFormat/>
    <w:uiPriority w:val="0"/>
    <w:pPr>
      <w:autoSpaceDE w:val="0"/>
      <w:autoSpaceDN w:val="0"/>
      <w:adjustRightInd w:val="0"/>
    </w:pPr>
    <w:rPr>
      <w:rFonts w:ascii="微软雅黑" w:hAnsi="Calibri" w:eastAsia="微软雅黑" w:cs="微软雅黑"/>
      <w:color w:val="000000"/>
      <w:sz w:val="24"/>
      <w:szCs w:val="24"/>
      <w:lang w:val="en-US" w:eastAsia="zh-CN" w:bidi="ar-SA"/>
    </w:rPr>
  </w:style>
  <w:style w:type="paragraph" w:customStyle="1" w:styleId="25">
    <w:name w:val="_Style 1"/>
    <w:basedOn w:val="1"/>
    <w:next w:val="1"/>
    <w:qFormat/>
    <w:uiPriority w:val="0"/>
    <w:pPr>
      <w:pBdr>
        <w:top w:val="single" w:color="auto" w:sz="6" w:space="1"/>
      </w:pBdr>
      <w:jc w:val="center"/>
    </w:pPr>
    <w:rPr>
      <w:rFonts w:ascii="Arial" w:eastAsia="宋体"/>
      <w:vanish/>
      <w:sz w:val="16"/>
    </w:rPr>
  </w:style>
  <w:style w:type="paragraph" w:customStyle="1" w:styleId="26">
    <w:name w:val="正文文本1"/>
    <w:basedOn w:val="1"/>
    <w:qFormat/>
    <w:uiPriority w:val="0"/>
    <w:pPr>
      <w:spacing w:line="386" w:lineRule="auto"/>
    </w:pPr>
    <w:rPr>
      <w:rFonts w:ascii="楷体" w:hAnsi="楷体" w:eastAsia="楷体" w:cs="楷体"/>
      <w:sz w:val="19"/>
      <w:szCs w:val="19"/>
      <w:lang w:val="zh-CN" w:bidi="zh-CN"/>
    </w:rPr>
  </w:style>
  <w:style w:type="paragraph" w:customStyle="1" w:styleId="27">
    <w:name w:val="常用样式（方正仿宋简）"/>
    <w:basedOn w:val="1"/>
    <w:qFormat/>
    <w:uiPriority w:val="0"/>
    <w:pPr>
      <w:spacing w:line="560" w:lineRule="exact"/>
      <w:ind w:firstLine="640"/>
    </w:pPr>
    <w:rPr>
      <w:rFonts w:eastAsia="仿宋"/>
      <w:sz w:val="32"/>
    </w:rPr>
  </w:style>
  <w:style w:type="character" w:customStyle="1" w:styleId="28">
    <w:name w:val="页眉 字符"/>
    <w:basedOn w:val="20"/>
    <w:link w:val="12"/>
    <w:qFormat/>
    <w:uiPriority w:val="99"/>
    <w:rPr>
      <w:sz w:val="18"/>
      <w:szCs w:val="18"/>
    </w:rPr>
  </w:style>
  <w:style w:type="character" w:customStyle="1" w:styleId="29">
    <w:name w:val="页脚 字符"/>
    <w:basedOn w:val="20"/>
    <w:link w:val="11"/>
    <w:qFormat/>
    <w:uiPriority w:val="99"/>
    <w:rPr>
      <w:sz w:val="18"/>
      <w:szCs w:val="18"/>
    </w:rPr>
  </w:style>
  <w:style w:type="character" w:customStyle="1" w:styleId="30">
    <w:name w:val="font11"/>
    <w:basedOn w:val="20"/>
    <w:qFormat/>
    <w:uiPriority w:val="0"/>
    <w:rPr>
      <w:rFonts w:hint="eastAsia" w:ascii="宋体" w:hAnsi="宋体" w:eastAsia="宋体" w:cs="宋体"/>
      <w:color w:val="000000"/>
      <w:sz w:val="21"/>
      <w:szCs w:val="21"/>
      <w:u w:val="none"/>
    </w:rPr>
  </w:style>
  <w:style w:type="character" w:customStyle="1" w:styleId="31">
    <w:name w:val="font01"/>
    <w:basedOn w:val="20"/>
    <w:qFormat/>
    <w:uiPriority w:val="0"/>
    <w:rPr>
      <w:rFonts w:hint="default" w:ascii="Calibri" w:hAnsi="Calibri" w:cs="Calibri"/>
      <w:color w:val="000000"/>
      <w:sz w:val="21"/>
      <w:szCs w:val="21"/>
      <w:u w:val="none"/>
    </w:rPr>
  </w:style>
  <w:style w:type="character" w:customStyle="1" w:styleId="32">
    <w:name w:val="font71"/>
    <w:basedOn w:val="20"/>
    <w:qFormat/>
    <w:uiPriority w:val="0"/>
    <w:rPr>
      <w:rFonts w:hint="eastAsia" w:ascii="仿宋" w:hAnsi="仿宋" w:eastAsia="仿宋" w:cs="仿宋"/>
      <w:b/>
      <w:color w:val="000000"/>
      <w:sz w:val="24"/>
      <w:szCs w:val="24"/>
      <w:u w:val="none"/>
    </w:rPr>
  </w:style>
  <w:style w:type="character" w:customStyle="1" w:styleId="33">
    <w:name w:val="font51"/>
    <w:basedOn w:val="20"/>
    <w:qFormat/>
    <w:uiPriority w:val="0"/>
    <w:rPr>
      <w:rFonts w:hint="eastAsia" w:ascii="仿宋" w:hAnsi="仿宋" w:eastAsia="仿宋" w:cs="仿宋"/>
      <w:color w:val="000000"/>
      <w:sz w:val="24"/>
      <w:szCs w:val="24"/>
      <w:u w:val="none"/>
    </w:rPr>
  </w:style>
  <w:style w:type="character" w:customStyle="1" w:styleId="34">
    <w:name w:val="font31"/>
    <w:basedOn w:val="20"/>
    <w:qFormat/>
    <w:uiPriority w:val="0"/>
    <w:rPr>
      <w:rFonts w:hint="eastAsia" w:ascii="宋体" w:hAnsi="宋体" w:eastAsia="宋体" w:cs="宋体"/>
      <w:b/>
      <w:color w:val="000000"/>
      <w:sz w:val="22"/>
      <w:szCs w:val="22"/>
      <w:u w:val="none"/>
    </w:rPr>
  </w:style>
  <w:style w:type="character" w:customStyle="1" w:styleId="35">
    <w:name w:val="font21"/>
    <w:basedOn w:val="20"/>
    <w:qFormat/>
    <w:uiPriority w:val="0"/>
    <w:rPr>
      <w:rFonts w:hint="eastAsia" w:ascii="宋体" w:hAnsi="宋体" w:eastAsia="宋体" w:cs="宋体"/>
      <w:color w:val="000000"/>
      <w:sz w:val="20"/>
      <w:szCs w:val="20"/>
      <w:u w:val="none"/>
    </w:rPr>
  </w:style>
  <w:style w:type="character" w:customStyle="1" w:styleId="36">
    <w:name w:val="font41"/>
    <w:basedOn w:val="20"/>
    <w:qFormat/>
    <w:uiPriority w:val="0"/>
    <w:rPr>
      <w:rFonts w:hint="default" w:ascii="Times New Roman" w:hAnsi="Times New Roman" w:cs="Times New Roman"/>
      <w:b/>
      <w:color w:val="000000"/>
      <w:sz w:val="20"/>
      <w:szCs w:val="20"/>
      <w:u w:val="none"/>
    </w:rPr>
  </w:style>
  <w:style w:type="paragraph" w:customStyle="1" w:styleId="37">
    <w:name w:val="WPSOffice手动目录 1"/>
    <w:qFormat/>
    <w:uiPriority w:val="0"/>
    <w:rPr>
      <w:rFonts w:ascii="Times New Roman" w:hAnsi="Times New Roman" w:eastAsia="宋体" w:cs="Times New Roman"/>
      <w:lang w:val="en-US" w:eastAsia="zh-CN" w:bidi="ar-SA"/>
    </w:rPr>
  </w:style>
  <w:style w:type="paragraph" w:customStyle="1" w:styleId="3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39">
    <w:name w:val="表格"/>
    <w:basedOn w:val="1"/>
    <w:qFormat/>
    <w:uiPriority w:val="0"/>
    <w:rPr>
      <w:rFonts w:hint="eastAsia"/>
      <w:kern w:val="0"/>
      <w:sz w:val="24"/>
      <w:szCs w:val="20"/>
    </w:rPr>
  </w:style>
  <w:style w:type="paragraph" w:customStyle="1" w:styleId="40">
    <w:name w:val="页眉或页脚 (2)"/>
    <w:basedOn w:val="1"/>
    <w:qFormat/>
    <w:uiPriority w:val="0"/>
    <w:rPr>
      <w:rFonts w:eastAsia="Times New Roman" w:cs="Times New Roman"/>
      <w:sz w:val="20"/>
      <w:szCs w:val="20"/>
      <w:lang w:val="zh-CN" w:bidi="zh-CN"/>
    </w:rPr>
  </w:style>
  <w:style w:type="character" w:customStyle="1" w:styleId="41">
    <w:name w:val="标题 字符"/>
    <w:basedOn w:val="20"/>
    <w:link w:val="16"/>
    <w:qFormat/>
    <w:uiPriority w:val="0"/>
    <w:rPr>
      <w:rFonts w:ascii="等线 Light" w:hAnsi="等线 Light" w:eastAsia="等线 Light" w:cs="Times New Roman"/>
      <w:b/>
      <w:bCs/>
      <w:kern w:val="2"/>
      <w:sz w:val="32"/>
      <w:szCs w:val="32"/>
    </w:rPr>
  </w:style>
  <w:style w:type="character" w:customStyle="1" w:styleId="42">
    <w:name w:val="正文文本缩进 字符"/>
    <w:basedOn w:val="20"/>
    <w:link w:val="8"/>
    <w:qFormat/>
    <w:uiPriority w:val="0"/>
    <w:rPr>
      <w:kern w:val="2"/>
      <w:sz w:val="32"/>
      <w:szCs w:val="24"/>
    </w:rPr>
  </w:style>
  <w:style w:type="paragraph" w:customStyle="1" w:styleId="43">
    <w:name w:val="修订1"/>
    <w:hidden/>
    <w:semiHidden/>
    <w:qFormat/>
    <w:uiPriority w:val="99"/>
    <w:rPr>
      <w:rFonts w:ascii="Times New Roman" w:hAnsi="Times New Roman" w:eastAsia="仿宋_GB2312" w:cstheme="minorBidi"/>
      <w:kern w:val="2"/>
      <w:sz w:val="28"/>
      <w:szCs w:val="22"/>
      <w:lang w:val="en-US" w:eastAsia="zh-CN" w:bidi="ar-SA"/>
    </w:rPr>
  </w:style>
  <w:style w:type="paragraph" w:customStyle="1" w:styleId="44">
    <w:name w:val="Revision"/>
    <w:hidden/>
    <w:unhideWhenUsed/>
    <w:qFormat/>
    <w:uiPriority w:val="99"/>
    <w:rPr>
      <w:rFonts w:ascii="Times New Roman" w:hAnsi="Times New Roman" w:eastAsia="仿宋_GB2312" w:cstheme="minorBidi"/>
      <w:kern w:val="2"/>
      <w:sz w:val="28"/>
      <w:szCs w:val="22"/>
      <w:lang w:val="en-US" w:eastAsia="zh-CN" w:bidi="ar-SA"/>
    </w:rPr>
  </w:style>
  <w:style w:type="character" w:customStyle="1" w:styleId="45">
    <w:name w:val="15"/>
    <w:basedOn w:val="20"/>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63200527-b44b-4e16-9e5d-d2f03cfff01c</errorID>
      <errorWord>公务</errorWord>
      <group>L1_AI</group>
      <groupName>深度校对</groupName>
      <ability>L2_AI_Grammar</ability>
      <abilityName>语法纠错</abilityName>
      <candidateList>
        <item>公务员</item>
      </candidateList>
      <explain/>
      <paraID>28D4D8C1</paraID>
      <start>41</start>
      <end>44</end>
      <status>modified</status>
      <modifiedWord>公务员</modifiedWord>
      <trackRevisions>false</trackRevisions>
    </reviewItem>
    <reviewItem>
      <errorID>58e2e06e-80c9-420b-a88b-49c4d82bb28b</errorID>
      <errorWord>全面实施</errorWord>
      <group>L1_AI</group>
      <groupName>深度校对</groupName>
      <ability>L2_AI_Word</ability>
      <abilityName>字词纠错</abilityName>
      <candidateList>
        <item>全面推进</item>
      </candidateList>
      <explain/>
      <paraID>3974C46A</paraID>
      <start>108</start>
      <end>112</end>
      <status>modified</status>
      <modifiedWord>全面推进</modifiedWord>
      <trackRevisions>false</trackRevisions>
    </reviewItem>
    <reviewItem>
      <errorID>02166618-fd47-4cb1-878e-e40f1f2735fe</errorID>
      <errorWord>第国</errorWord>
      <group>L1_Word</group>
      <groupName>字词问题</groupName>
      <ability>L2_Typo</ability>
      <abilityName>字词错误</abilityName>
      <candidateList>
        <item>第</item>
      </candidateList>
      <explain/>
      <paraID>37D66CB3</paraID>
      <start>91</start>
      <end>92</end>
      <status>modified</status>
      <modifiedWord>第</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5b5bb2-0a6e-4275-9e05-1c8c2c498e20}">
  <ds:schemaRefs/>
</ds:datastoreItem>
</file>

<file path=docProps/app.xml><?xml version="1.0" encoding="utf-8"?>
<Properties xmlns="http://schemas.openxmlformats.org/officeDocument/2006/extended-properties" xmlns:vt="http://schemas.openxmlformats.org/officeDocument/2006/docPropsVTypes">
  <Company>Microsoft</Company>
  <Pages>16</Pages>
  <Words>7256</Words>
  <Characters>7870</Characters>
  <Lines>1</Lines>
  <Paragraphs>1</Paragraphs>
  <TotalTime>3</TotalTime>
  <ScaleCrop>false</ScaleCrop>
  <LinksUpToDate>false</LinksUpToDate>
  <CharactersWithSpaces>7896</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2020-04-11T15:49:00Z</dcterms:created>
  <dc:creator>ZC</dc:creator>
  <cp:lastModifiedBy>Administrator</cp:lastModifiedBy>
  <cp:lastPrinted>2024-11-08T07:16:00Z</cp:lastPrinted>
  <dcterms:modified xsi:type="dcterms:W3CDTF">2025-12-11T02:50:41Z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0323C17550B84971857CA4630E76FAC8</vt:lpwstr>
  </property>
  <property fmtid="{D5CDD505-2E9C-101B-9397-08002B2CF9AE}" pid="4" name="KSOTemplateDocerSaveRecord">
    <vt:lpwstr>eyJoZGlkIjoiMzlkMzQ2Y2I1ODA5MzZkNzZhYmIyNGZlZjQwYWNlNDMiLCJ1c2VySWQiOiIyNTYxODExOTYifQ==</vt:lpwstr>
  </property>
</Properties>
</file>