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2314"/>
      <w:bookmarkStart w:id="1" w:name="_Toc2952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00A5D3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2B65E91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74AF35E">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04F47E7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46</w:t>
      </w:r>
      <w:r>
        <w:rPr>
          <w:rFonts w:hint="default" w:ascii="Times New Roman" w:hAnsi="Times New Roman" w:cs="Times New Roman"/>
          <w:sz w:val="32"/>
          <w:szCs w:val="32"/>
          <w:highlight w:val="none"/>
        </w:rPr>
        <w:t>号</w:t>
      </w:r>
    </w:p>
    <w:p w14:paraId="0BA52698">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1"/>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2A966663">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泸定县市场监督管理局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9"/>
        <w:keepNext w:val="0"/>
        <w:keepLines w:val="0"/>
        <w:pageBreakBefore w:val="0"/>
        <w:kinsoku/>
        <w:wordWrap/>
        <w:overflowPunct/>
        <w:topLinePunct w:val="0"/>
        <w:autoSpaceDE/>
        <w:autoSpaceDN/>
        <w:bidi w:val="0"/>
        <w:spacing w:after="0" w:line="600" w:lineRule="exact"/>
        <w:ind w:left="0" w:firstLine="560"/>
        <w:rPr>
          <w:rFonts w:hint="eastAsia" w:ascii="方正小标宋简体" w:hAnsi="方正小标宋简体" w:eastAsia="方正小标宋简体" w:cs="方正小标宋简体"/>
          <w:color w:val="auto"/>
          <w:sz w:val="32"/>
          <w:szCs w:val="32"/>
          <w:highlight w:val="none"/>
          <w:lang w:val="fr-FR"/>
        </w:rPr>
      </w:pPr>
    </w:p>
    <w:p w14:paraId="010E11C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default" w:ascii="Times New Roman" w:hAnsi="Times New Roman" w:eastAsia="方正仿宋_GB2312" w:cs="Times New Roman"/>
          <w:color w:val="auto"/>
          <w:sz w:val="32"/>
          <w:szCs w:val="32"/>
          <w:highlight w:val="none"/>
          <w:lang w:val="fr-FR" w:eastAsia="zh-CN"/>
        </w:rPr>
      </w:pPr>
      <w:bookmarkStart w:id="4" w:name="_Toc6252"/>
      <w:bookmarkStart w:id="5" w:name="_Toc26210"/>
      <w:bookmarkStart w:id="6" w:name="_Toc8938"/>
      <w:r>
        <w:rPr>
          <w:rFonts w:hint="default" w:ascii="Times New Roman" w:hAnsi="Times New Roman" w:eastAsia="方正仿宋_GB2312" w:cs="Times New Roman"/>
          <w:color w:val="auto"/>
          <w:sz w:val="32"/>
          <w:szCs w:val="32"/>
          <w:highlight w:val="none"/>
          <w:lang w:val="fr-FR" w:eastAsia="zh-CN"/>
        </w:rPr>
        <w:t>泸定县市场监督管理局：</w:t>
      </w:r>
    </w:p>
    <w:p w14:paraId="50FB6A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泸定县市场监督管理局</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泸定县市场监督管理局</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泸定县市场监督管理局</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799907804"/>
      <w:bookmarkStart w:id="11" w:name="_Toc26009"/>
      <w:bookmarkStart w:id="12" w:name="_Toc15220"/>
      <w:bookmarkStart w:id="13" w:name="_Toc18579"/>
      <w:bookmarkStart w:id="14" w:name="_Toc10147"/>
      <w:bookmarkStart w:id="15" w:name="_Toc12546"/>
      <w:bookmarkStart w:id="16" w:name="_Toc27571"/>
      <w:bookmarkStart w:id="17" w:name="_Toc4351"/>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6549"/>
      <w:bookmarkStart w:id="19" w:name="_Toc109483834"/>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7513"/>
      <w:bookmarkStart w:id="22" w:name="_Toc419097264"/>
      <w:bookmarkStart w:id="23" w:name="_Toc2337"/>
      <w:bookmarkStart w:id="24" w:name="_Toc11769"/>
      <w:bookmarkStart w:id="25" w:name="_Toc19098"/>
      <w:bookmarkStart w:id="26" w:name="_Toc20865"/>
      <w:bookmarkStart w:id="27" w:name="_Toc18535"/>
      <w:bookmarkStart w:id="28" w:name="_Toc24161"/>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泸定县市场监督管理局（以下简称县市场监督管理局）</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，属财政补助（收支统管、全额保障）的一级预算单位，机构性质：机关单位；单位负责人：</w:t>
      </w:r>
      <w:r>
        <w:rPr>
          <w:rFonts w:hint="default" w:ascii="Times New Roman" w:hAnsi="Times New Roman" w:eastAsia="方正仿宋_GB2312" w:cs="Times New Roman"/>
          <w:color w:val="auto"/>
          <w:sz w:val="32"/>
          <w:szCs w:val="32"/>
          <w:highlight w:val="none"/>
          <w:lang w:val="en-US" w:eastAsia="zh-CN"/>
        </w:rPr>
        <w:t>万志峰</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115133223536260765</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四川省泸定县泸桥镇开湘路111号</w:t>
      </w:r>
      <w:r>
        <w:rPr>
          <w:rFonts w:hint="default" w:ascii="Times New Roman" w:hAnsi="Times New Roman" w:eastAsia="方正仿宋_GB2312" w:cs="Times New Roman"/>
          <w:color w:val="auto"/>
          <w:sz w:val="32"/>
          <w:szCs w:val="32"/>
          <w:highlight w:val="none"/>
          <w:lang w:val="fr-FR" w:eastAsia="zh-CN"/>
        </w:rPr>
        <w:t>。</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31223"/>
      <w:bookmarkStart w:id="31" w:name="_Toc17750"/>
      <w:bookmarkStart w:id="32" w:name="_Toc1278"/>
      <w:bookmarkStart w:id="33" w:name="_Toc26703"/>
      <w:bookmarkStart w:id="34" w:name="_Toc28538"/>
      <w:bookmarkStart w:id="35" w:name="_Toc16904"/>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73C6BF1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市场监督管理局内设机构6个，分别为办公室（党政办）、政策法规股（登记注册股、消费者权益保护股）、市场规范管理股、质量监督管理股、食品监督管理股（食安办）、药化监督管理股。派出机构2个，分别为泸桥市场监督管理所、冷碛市场监督管理所。</w:t>
      </w:r>
    </w:p>
    <w:p w14:paraId="2D03837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2.人员概况。截至2024年末，泸定县市场监督管理局在职人员共计31人，其中：行政人员16人，行政工勤人员1人，参照公务员管理人员12人，事业人员2人。</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568184988"/>
      <w:bookmarkStart w:id="37" w:name="_Toc16978"/>
      <w:bookmarkStart w:id="38" w:name="_Toc16740"/>
      <w:bookmarkStart w:id="39" w:name="_Toc21223"/>
      <w:bookmarkStart w:id="40" w:name="_Toc22604"/>
      <w:bookmarkStart w:id="41" w:name="_Toc12241"/>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416B391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42" w:name="_Toc22594"/>
      <w:bookmarkStart w:id="43" w:name="_Toc5982"/>
      <w:bookmarkStart w:id="44" w:name="_Toc1218480988"/>
      <w:bookmarkStart w:id="45" w:name="_Toc15163"/>
      <w:bookmarkStart w:id="46" w:name="_Toc16871"/>
      <w:bookmarkStart w:id="47" w:name="_Toc109483836"/>
      <w:bookmarkStart w:id="48" w:name="_Toc26564"/>
      <w:bookmarkStart w:id="49" w:name="_Toc13707"/>
      <w:bookmarkStart w:id="50" w:name="_Toc14896"/>
      <w:bookmarkStart w:id="51" w:name="_Toc33"/>
      <w:r>
        <w:rPr>
          <w:rFonts w:hint="default" w:ascii="Times New Roman" w:hAnsi="Times New Roman" w:eastAsia="方正仿宋_GB2312" w:cs="Times New Roman"/>
          <w:color w:val="auto"/>
          <w:sz w:val="32"/>
          <w:szCs w:val="32"/>
          <w:highlight w:val="none"/>
          <w:lang w:val="en-US" w:eastAsia="zh-CN"/>
        </w:rPr>
        <w:t xml:space="preserve">1.负责全县市场综合监督管理工作。 </w:t>
      </w:r>
    </w:p>
    <w:p w14:paraId="2A2E0D5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2.负责全县市场主体统一登记注册工作。 </w:t>
      </w:r>
    </w:p>
    <w:p w14:paraId="1B68A46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3.负责开展全县市场监督管理综合执法工作。 </w:t>
      </w:r>
    </w:p>
    <w:p w14:paraId="1D3DA8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4.负责配合开展反垄断执法。 </w:t>
      </w:r>
    </w:p>
    <w:p w14:paraId="38749B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5.负责监督管理全县市场秩序。 </w:t>
      </w:r>
    </w:p>
    <w:p w14:paraId="697D85D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6.负责全县宏观质量管理。 </w:t>
      </w:r>
    </w:p>
    <w:p w14:paraId="0AE1A7E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7.负责全县产品质量安全监督管理。 </w:t>
      </w:r>
    </w:p>
    <w:p w14:paraId="36A228B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8.负责全县特种设备安全监督管理。 </w:t>
      </w:r>
    </w:p>
    <w:p w14:paraId="2701026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9.负责全县食品安全监督管理综合协调。 </w:t>
      </w:r>
    </w:p>
    <w:p w14:paraId="22C3C57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10.负责全县食品安全监督管理。 </w:t>
      </w:r>
    </w:p>
    <w:p w14:paraId="0C05481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11.负责统一管理全县计量工作。 </w:t>
      </w:r>
    </w:p>
    <w:p w14:paraId="72E18A3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12.负责统一管理全县标准化工作。 </w:t>
      </w:r>
    </w:p>
    <w:p w14:paraId="146CEDF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13.负责统一管理全县检验检测工作。 </w:t>
      </w:r>
    </w:p>
    <w:p w14:paraId="63D227C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14.负责统一管理全县认证认可工作。 </w:t>
      </w:r>
    </w:p>
    <w:p w14:paraId="6B95EEB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15.负责市场监督管理科技和信息化建设、新闻宣传。 </w:t>
      </w:r>
    </w:p>
    <w:p w14:paraId="31F9E57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16.负责全县知识产权法规、规划的贯彻实施，负责知识产权的创造、运用、管理、保护和服务工作，负责组织开展专利、商标执法工作。 </w:t>
      </w:r>
    </w:p>
    <w:p w14:paraId="68ECB67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17.负责促进全县民营经济发展。 </w:t>
      </w:r>
    </w:p>
    <w:p w14:paraId="30DD5AB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18.负责全县药品（含中药、民族药，下同）、医疗器械和化妆品安全监督管理。 </w:t>
      </w:r>
    </w:p>
    <w:p w14:paraId="3E9143A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19.负责全县药品、医疗器械和化妆品质量管理。</w:t>
      </w:r>
    </w:p>
    <w:p w14:paraId="20E41C8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20.负责全县药品、医疗器械和化妆品上市后风险管理。</w:t>
      </w:r>
    </w:p>
    <w:p w14:paraId="68A7A41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21.实施执业药师准入制度，承担执业药师注册管理工作。</w:t>
      </w:r>
    </w:p>
    <w:p w14:paraId="5D66CF2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22.负责组织开展药品、医疗器械和化妆品的监督管理。</w:t>
      </w:r>
    </w:p>
    <w:p w14:paraId="11BEBB9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 xml:space="preserve">23.负责职责范围内的安全生产和职业健康、生态环境保护、审批服务便民化等工作。 </w:t>
      </w:r>
    </w:p>
    <w:p w14:paraId="686F5CC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24.完成县委、县政府交办的其他任务。</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auto"/>
          <w:lang w:val="zh-CN"/>
        </w:rPr>
      </w:pPr>
      <w:r>
        <w:rPr>
          <w:rFonts w:hint="default" w:ascii="Times New Roman" w:hAnsi="Times New Roman" w:eastAsia="方正黑体简体" w:cs="Times New Roman"/>
          <w:color w:val="auto"/>
          <w:kern w:val="0"/>
          <w:sz w:val="32"/>
          <w:szCs w:val="32"/>
          <w:highlight w:val="none"/>
          <w:shd w:val="clear" w:color="auto" w:fill="auto"/>
          <w:lang w:val="zh-CN"/>
        </w:rPr>
        <w:t>二、</w:t>
      </w:r>
      <w:r>
        <w:rPr>
          <w:rFonts w:hint="default" w:ascii="Times New Roman" w:hAnsi="Times New Roman" w:eastAsia="方正黑体简体" w:cs="Times New Roman"/>
          <w:color w:val="auto"/>
          <w:kern w:val="0"/>
          <w:sz w:val="32"/>
          <w:szCs w:val="32"/>
          <w:highlight w:val="none"/>
          <w:shd w:val="clear" w:color="auto" w:fill="auto"/>
          <w:lang w:val="en-US" w:eastAsia="zh-CN"/>
        </w:rPr>
        <w:t>部门收支</w:t>
      </w:r>
      <w:r>
        <w:rPr>
          <w:rFonts w:hint="default" w:ascii="Times New Roman" w:hAnsi="Times New Roman" w:eastAsia="方正黑体简体" w:cs="Times New Roman"/>
          <w:color w:val="auto"/>
          <w:kern w:val="0"/>
          <w:sz w:val="32"/>
          <w:szCs w:val="32"/>
          <w:highlight w:val="none"/>
          <w:shd w:val="clear" w:color="auto" w:fill="auto"/>
          <w:lang w:val="zh-CN"/>
        </w:rPr>
        <w:t>情况</w:t>
      </w:r>
      <w:bookmarkEnd w:id="42"/>
      <w:bookmarkEnd w:id="43"/>
      <w:bookmarkEnd w:id="44"/>
      <w:bookmarkEnd w:id="45"/>
      <w:bookmarkEnd w:id="46"/>
      <w:bookmarkEnd w:id="47"/>
      <w:bookmarkEnd w:id="48"/>
      <w:bookmarkEnd w:id="49"/>
      <w:bookmarkEnd w:id="50"/>
      <w:bookmarkEnd w:id="51"/>
      <w:bookmarkStart w:id="52" w:name="_Toc2659"/>
      <w:bookmarkStart w:id="53" w:name="_Toc109483837"/>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color="auto" w:fill="auto"/>
          <w:lang w:val="zh-CN"/>
        </w:rPr>
      </w:pPr>
      <w:bookmarkStart w:id="54" w:name="_Toc1949541301"/>
      <w:bookmarkStart w:id="55" w:name="_Toc15898"/>
      <w:bookmarkStart w:id="56" w:name="_Toc25866"/>
      <w:bookmarkStart w:id="57" w:name="_Toc11105"/>
      <w:bookmarkStart w:id="58" w:name="_Toc32369"/>
      <w:bookmarkStart w:id="59" w:name="_Toc21428"/>
      <w:bookmarkStart w:id="60" w:name="_Toc2374"/>
      <w:bookmarkStart w:id="61" w:name="_Toc29180"/>
      <w:r>
        <w:rPr>
          <w:rFonts w:hint="default" w:ascii="Times New Roman" w:hAnsi="Times New Roman" w:eastAsia="方正楷体简体" w:cs="Times New Roman"/>
          <w:color w:val="auto"/>
          <w:kern w:val="2"/>
          <w:sz w:val="32"/>
          <w:szCs w:val="32"/>
          <w:highlight w:val="none"/>
          <w:shd w:val="clear" w:color="auto" w:fill="auto"/>
          <w:lang w:val="zh-CN"/>
        </w:rPr>
        <w:t>（</w:t>
      </w:r>
      <w:r>
        <w:rPr>
          <w:rFonts w:hint="default" w:ascii="Times New Roman" w:hAnsi="Times New Roman" w:eastAsia="方正楷体简体" w:cs="Times New Roman"/>
          <w:color w:val="auto"/>
          <w:kern w:val="2"/>
          <w:sz w:val="32"/>
          <w:szCs w:val="32"/>
          <w:highlight w:val="none"/>
          <w:shd w:val="clear" w:color="auto" w:fill="auto"/>
          <w:lang w:val="fr-FR"/>
        </w:rPr>
        <w:t>一</w:t>
      </w:r>
      <w:r>
        <w:rPr>
          <w:rFonts w:hint="default" w:ascii="Times New Roman" w:hAnsi="Times New Roman" w:eastAsia="方正楷体简体" w:cs="Times New Roman"/>
          <w:color w:val="auto"/>
          <w:kern w:val="2"/>
          <w:sz w:val="32"/>
          <w:szCs w:val="32"/>
          <w:highlight w:val="none"/>
          <w:shd w:val="clear" w:color="auto" w:fill="auto"/>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63" w:name="_Toc21171"/>
      <w:bookmarkStart w:id="64" w:name="_Toc27782"/>
      <w:bookmarkStart w:id="65" w:name="_Toc17751"/>
      <w:bookmarkStart w:id="66" w:name="_Toc349786989"/>
      <w:bookmarkStart w:id="67" w:name="_Toc19326"/>
      <w:bookmarkStart w:id="68" w:name="_Toc109483838"/>
      <w:bookmarkStart w:id="69" w:name="_Toc27073"/>
      <w:r>
        <w:rPr>
          <w:rFonts w:hint="default" w:ascii="Times New Roman" w:hAnsi="Times New Roman" w:eastAsia="方正仿宋_GB2312" w:cs="Times New Roman"/>
          <w:color w:val="auto"/>
          <w:sz w:val="32"/>
          <w:szCs w:val="32"/>
          <w:highlight w:val="none"/>
          <w:lang w:val="en-US" w:eastAsia="zh-CN"/>
        </w:rPr>
        <w:t>年初预算反映，县市场监督管理局2024年预算收入合计703.35万元，上年结转结余0.00万元，无预算调整。本年收入703.35万元，全部为一般公共预算财政拨款收入。</w:t>
      </w:r>
    </w:p>
    <w:p w14:paraId="0FB3AD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决算报表反映，县市场监督管理局2024年决算收入合计903.78万元，其中：本年收入903.78万元，年初结转和结余0.00万元。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15130"/>
      <w:bookmarkStart w:id="72" w:name="_Toc3060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33F8004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73" w:name="_Toc10837"/>
      <w:bookmarkStart w:id="74" w:name="_Toc18390"/>
      <w:bookmarkStart w:id="75" w:name="_Toc24721"/>
      <w:bookmarkStart w:id="76" w:name="_Toc109483839"/>
      <w:bookmarkStart w:id="77" w:name="_Toc1457008154"/>
      <w:bookmarkStart w:id="78" w:name="_Toc13841"/>
      <w:bookmarkStart w:id="79" w:name="_Toc809"/>
      <w:r>
        <w:rPr>
          <w:rFonts w:hint="default" w:ascii="Times New Roman" w:hAnsi="Times New Roman" w:eastAsia="方正仿宋_GB2312" w:cs="Times New Roman"/>
          <w:color w:val="auto"/>
          <w:sz w:val="32"/>
          <w:szCs w:val="32"/>
          <w:highlight w:val="none"/>
          <w:lang w:val="en-US" w:eastAsia="zh-CN"/>
        </w:rPr>
        <w:t>年初预算反映，县市场监督管理局2024年预算支出合计703.35万元，无年末结转和结余。本年支出中：基本支出678.35万元（人员经费604.76万元、公用经费73.59万元），项目支出25.00万元。</w:t>
      </w:r>
    </w:p>
    <w:p w14:paraId="4C346E4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决算报表反映，县市场监督管理局2024年度决算支出合计903.78万元，均为本年支出，无年末结转和结余。本年支出中：基本支出714.05万元（人员经费656.10万元、公用经费57.95万元），项目支出189.72万元。</w:t>
      </w:r>
    </w:p>
    <w:p w14:paraId="03B600DB">
      <w:pPr>
        <w:keepNext w:val="0"/>
        <w:keepLines w:val="0"/>
        <w:pageBreakBefore w:val="0"/>
        <w:widowControl w:val="0"/>
        <w:kinsoku/>
        <w:wordWrap/>
        <w:overflowPunct/>
        <w:topLinePunct w:val="0"/>
        <w:bidi w:val="0"/>
        <w:spacing w:line="560" w:lineRule="exact"/>
        <w:ind w:firstLine="640" w:firstLineChars="200"/>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决算报表反映，2024年县市场监督管理局年末无结余分配，无年末结转结余。</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0974"/>
      <w:bookmarkStart w:id="81" w:name="_Toc7705"/>
      <w:bookmarkStart w:id="82" w:name="_Toc16353"/>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22633"/>
      <w:bookmarkStart w:id="84" w:name="_Toc28011"/>
      <w:bookmarkStart w:id="85" w:name="_Toc29501"/>
      <w:bookmarkStart w:id="86" w:name="_Toc3573"/>
      <w:bookmarkStart w:id="87" w:name="_Toc1418"/>
      <w:bookmarkStart w:id="88" w:name="_Toc19300"/>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681AB07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89" w:name="_Toc4650"/>
      <w:bookmarkStart w:id="90" w:name="_Toc30825"/>
      <w:bookmarkStart w:id="91" w:name="_Toc132"/>
      <w:bookmarkStart w:id="92" w:name="_Toc11959"/>
      <w:bookmarkStart w:id="93" w:name="_Toc6926"/>
      <w:bookmarkStart w:id="94" w:name="_Toc24652"/>
      <w:r>
        <w:rPr>
          <w:rFonts w:hint="default" w:ascii="Times New Roman" w:hAnsi="Times New Roman" w:eastAsia="方正仿宋_GB2312" w:cs="Times New Roman"/>
          <w:color w:val="auto"/>
          <w:sz w:val="32"/>
          <w:szCs w:val="32"/>
          <w:highlight w:val="none"/>
          <w:lang w:val="en-US" w:eastAsia="zh-CN"/>
        </w:rPr>
        <w:t>一是强基固本、党建领航，进一步打好基础、带好队伍；二是围绕中心、优化服务，进一步简政放权、优化服务；三是盯紧安全、牢守底线，进一步加强风险集中领域监管；四是严抓细管、维护秩序，进一步推动事中事后监管；五是用心用情、服务民生，进一步对接党政重点工作。</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5" w:name="_Toc24081"/>
      <w:bookmarkStart w:id="96" w:name="_Toc6491"/>
      <w:bookmarkStart w:id="97" w:name="_Toc17536"/>
      <w:r>
        <w:rPr>
          <w:rFonts w:hint="default" w:ascii="Times New Roman" w:hAnsi="Times New Roman" w:eastAsia="方正仿宋_GB2312" w:cs="Times New Roman"/>
          <w:color w:val="auto"/>
          <w:sz w:val="32"/>
          <w:szCs w:val="32"/>
          <w:highlight w:val="none"/>
          <w:lang w:val="en-US" w:eastAsia="zh-CN"/>
        </w:rPr>
        <w:t>县市场监督管理局2024年认真落实中央、省、州纪委全会部署安排，完成了以下工作任务：</w:t>
      </w:r>
    </w:p>
    <w:p w14:paraId="3B9CF57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98" w:name="_Toc21154"/>
      <w:bookmarkStart w:id="99" w:name="_Toc13068"/>
      <w:bookmarkStart w:id="100" w:name="_Toc32189"/>
      <w:r>
        <w:rPr>
          <w:rFonts w:hint="default" w:ascii="Times New Roman" w:hAnsi="Times New Roman" w:eastAsia="方正仿宋_GB2312" w:cs="Times New Roman"/>
          <w:color w:val="auto"/>
          <w:sz w:val="32"/>
          <w:szCs w:val="32"/>
          <w:highlight w:val="none"/>
          <w:lang w:val="en-US" w:eastAsia="zh-CN"/>
        </w:rPr>
        <w:t>1.食品安全。一是持续推进防疫常态化工作，补齐防疫短板，强化冷链食品管控，守住防疫底线。二是重点与全面工作相结合，抓好学校、农村重点区域食品监管，强化“双随机、一公开”监管，严格推进食品经营者信用监管。三是严厉打击违法违规行为。坚决打击“两非一超”领域违法行为，严惩走私肉及其制品，规范市场经营行为，稳定市场秩序。</w:t>
      </w:r>
    </w:p>
    <w:p w14:paraId="7B376EE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药品安全。一是不断提升监管人员专业素质和综合能力，加强对关键环节、关键问题的监管，坚持教惩结合原则，规范市场秩序。二是持续推进避孕套、角膜接触镜、无菌和植入性医疗器械专项整治，不断净化市场环境，有力维护消费者及患者用药安全。三是常态化推进防疫物资监管，严格落实“四类药品”登记，外防输入，坚决筑牢防疫屏障。</w:t>
      </w:r>
    </w:p>
    <w:p w14:paraId="1A7CF1B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市场秩序监管。进一步加强泸定市场秩序规范管理，营造良好的消费环境，解决市场中存在的突出问题，提升行业整体形象和服务质量，促进行业持续健康发展，继续推行线下七天无条件退货制度；进一步完善并推进制售假冒伪劣产品三倍赔偿和处罚制度、旅游市场秩序奖励和赔付基金管理办法等制度。</w:t>
      </w:r>
    </w:p>
    <w:p w14:paraId="38A6CBE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4.消费维权。持续推进线下七天无理由退货，协调设立赔偿先付点。</w:t>
      </w:r>
    </w:p>
    <w:p w14:paraId="34D73C3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5.市域治理。开展打击整治养老诈骗专项工作；持续开展“长江禁渔˙打非断链”行动、广告和价格监管、知识产权保护、</w:t>
      </w:r>
      <w:r>
        <w:rPr>
          <w:rFonts w:hint="eastAsia" w:ascii="Times New Roman" w:hAnsi="Times New Roman" w:eastAsia="方正仿宋_GB2312" w:cs="Times New Roman"/>
          <w:color w:val="auto"/>
          <w:sz w:val="32"/>
          <w:szCs w:val="32"/>
          <w:highlight w:val="none"/>
          <w:lang w:val="en-US" w:eastAsia="zh-CN"/>
        </w:rPr>
        <w:t>“扫黄打非”</w:t>
      </w:r>
      <w:r>
        <w:rPr>
          <w:rFonts w:hint="default" w:ascii="Times New Roman" w:hAnsi="Times New Roman" w:eastAsia="方正仿宋_GB2312" w:cs="Times New Roman"/>
          <w:color w:val="auto"/>
          <w:sz w:val="32"/>
          <w:szCs w:val="32"/>
          <w:highlight w:val="none"/>
          <w:lang w:val="en-US" w:eastAsia="zh-CN"/>
        </w:rPr>
        <w:t>、扫黑除恶专项斗争等工作。</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11694"/>
      <w:bookmarkStart w:id="102" w:name="_Toc29571"/>
      <w:bookmarkStart w:id="103" w:name="_Toc24619"/>
      <w:bookmarkStart w:id="104" w:name="_Toc7521"/>
      <w:bookmarkStart w:id="105" w:name="_Toc24977"/>
      <w:bookmarkStart w:id="106" w:name="_Toc28828"/>
      <w:bookmarkStart w:id="107" w:name="_Toc8903"/>
      <w:bookmarkStart w:id="108" w:name="_Toc428273082"/>
      <w:bookmarkStart w:id="109" w:name="_Toc27305"/>
      <w:bookmarkStart w:id="110" w:name="_Toc4199"/>
      <w:bookmarkStart w:id="111" w:name="_Toc109483840"/>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县市场监督管理局</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bookmarkStart w:id="112" w:name="_Toc4385"/>
      <w:bookmarkStart w:id="113" w:name="_Toc24380"/>
      <w:bookmarkStart w:id="114" w:name="_Toc23900"/>
      <w:bookmarkStart w:id="115" w:name="_Toc3794"/>
      <w:bookmarkStart w:id="116" w:name="_Toc30977"/>
      <w:bookmarkStart w:id="117" w:name="_Toc16416"/>
      <w:r>
        <w:rPr>
          <w:rFonts w:hint="default" w:ascii="Times New Roman" w:hAnsi="Times New Roman" w:eastAsia="方正仿宋_GB2312" w:cs="Times New Roman"/>
          <w:color w:val="auto"/>
          <w:sz w:val="32"/>
          <w:szCs w:val="32"/>
          <w:highlight w:val="none"/>
          <w:lang w:val="zh-CN" w:eastAsia="zh-CN"/>
        </w:rPr>
        <w:t>（</w:t>
      </w:r>
      <w:r>
        <w:rPr>
          <w:rFonts w:hint="default" w:ascii="Times New Roman" w:hAnsi="Times New Roman" w:eastAsia="方正仿宋_GB2312" w:cs="Times New Roman"/>
          <w:color w:val="auto"/>
          <w:sz w:val="32"/>
          <w:szCs w:val="32"/>
          <w:highlight w:val="none"/>
          <w:lang w:val="en-US" w:eastAsia="zh-CN"/>
        </w:rPr>
        <w:t>二）</w:t>
      </w:r>
      <w:bookmarkEnd w:id="107"/>
      <w:bookmarkEnd w:id="108"/>
      <w:r>
        <w:rPr>
          <w:rFonts w:hint="default" w:ascii="Times New Roman" w:hAnsi="Times New Roman" w:eastAsia="方正仿宋_GB2312" w:cs="Times New Roman"/>
          <w:color w:val="auto"/>
          <w:sz w:val="32"/>
          <w:szCs w:val="32"/>
          <w:highlight w:val="none"/>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县市场监督管理局牢固树立依法监管、服务发展的理念，紧紧围绕县委“12345”工作思路，积极履行市场监管职责。县市场监督管理局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按照设定的评价指标体系，通过对县市场监督管理局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4年度县市场监督管理局部门整体支出绩效评价指标分值100.00分，得分88.99分。详见下表：</w:t>
      </w:r>
    </w:p>
    <w:p w14:paraId="586E1AED">
      <w:pPr>
        <w:keepNext w:val="0"/>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县市场监督管理局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9"/>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82"/>
        <w:gridCol w:w="2292"/>
        <w:gridCol w:w="1318"/>
        <w:gridCol w:w="622"/>
        <w:gridCol w:w="959"/>
        <w:gridCol w:w="838"/>
      </w:tblGrid>
      <w:tr w14:paraId="785D5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71C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14707"/>
            <w:bookmarkStart w:id="120" w:name="_Toc4242"/>
            <w:bookmarkStart w:id="121" w:name="_Toc16394"/>
            <w:bookmarkStart w:id="122" w:name="_Toc1687911260"/>
            <w:bookmarkStart w:id="123" w:name="_Toc109483841"/>
            <w:bookmarkStart w:id="124" w:name="_Toc26985"/>
            <w:bookmarkStart w:id="125" w:name="_Toc24818"/>
            <w:bookmarkStart w:id="126" w:name="_Toc31945"/>
            <w:bookmarkStart w:id="127" w:name="_Toc28266"/>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1A1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DE5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DA0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E23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7DE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6E56B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B8C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9403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4F1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85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364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411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7</w:t>
            </w:r>
          </w:p>
        </w:tc>
      </w:tr>
      <w:tr w14:paraId="06947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4D2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034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048A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390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F8C6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115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63EAC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45E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FE65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36E8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F94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11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5AF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4529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93A8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09E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813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FDE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31C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CA7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54126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9E9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34E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135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5A2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6F1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24F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26673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6FC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F92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1A4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00C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BAD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0.83</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2EE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4.17</w:t>
            </w:r>
          </w:p>
        </w:tc>
      </w:tr>
      <w:tr w14:paraId="37E58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D9CC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5E0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9DD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56B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45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1.58</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6C1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18.42</w:t>
            </w:r>
          </w:p>
        </w:tc>
      </w:tr>
      <w:tr w14:paraId="1B5B9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73F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FAA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C32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D6F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B6D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3.6</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23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26.4</w:t>
            </w:r>
          </w:p>
        </w:tc>
      </w:tr>
      <w:tr w14:paraId="6A2B9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A62C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2BC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56D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761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66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4E8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3375D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686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B99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81F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00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586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D8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33EF2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D841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7F67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CFF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4C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29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A09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4DE6D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970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21F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357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0D77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31D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12D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115B3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7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31C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F06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E65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11.01</w:t>
            </w:r>
          </w:p>
        </w:tc>
        <w:tc>
          <w:tcPr>
            <w:tcW w:w="4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231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88.99</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县市场监督管理局</w:t>
      </w:r>
      <w:r>
        <w:rPr>
          <w:rFonts w:hint="default" w:ascii="Times New Roman" w:hAnsi="Times New Roman" w:eastAsia="方正仿宋_GB2312" w:cs="Times New Roman"/>
          <w:color w:val="auto"/>
          <w:sz w:val="32"/>
          <w:szCs w:val="32"/>
          <w:highlight w:val="none"/>
          <w:lang w:val="en-US" w:eastAsia="zh"/>
        </w:rPr>
        <w:t>认真落实中央、省、州纪委全会部署安排，</w:t>
      </w:r>
      <w:r>
        <w:rPr>
          <w:rFonts w:hint="default" w:ascii="Times New Roman" w:hAnsi="Times New Roman" w:eastAsia="方正仿宋_GB2312" w:cs="Times New Roman"/>
          <w:color w:val="auto"/>
          <w:sz w:val="32"/>
          <w:szCs w:val="32"/>
          <w:highlight w:val="none"/>
          <w:lang w:val="en-US" w:eastAsia="zh-CN"/>
        </w:rPr>
        <w:t>牢固树立依法监管、服务发展的理念，紧紧围绕县委“12345”工作思路，积极履行市场监管职责。通过评价组对县市场监督管理局进行事后评价，最终县市场监督管理局绩效等级为“良”。秉承科学公正、统筹兼顾、激励约束和公开透明</w:t>
      </w:r>
      <w:r>
        <w:rPr>
          <w:rFonts w:hint="eastAsia" w:ascii="Times New Roman" w:hAnsi="Times New Roman" w:eastAsia="方正仿宋_GB2312" w:cs="Times New Roman"/>
          <w:color w:val="auto"/>
          <w:sz w:val="32"/>
          <w:szCs w:val="32"/>
          <w:highlight w:val="none"/>
          <w:lang w:val="en-US" w:eastAsia="zh-CN"/>
        </w:rPr>
        <w:t>的财政</w:t>
      </w:r>
      <w:r>
        <w:rPr>
          <w:rFonts w:hint="default" w:ascii="Times New Roman" w:hAnsi="Times New Roman" w:eastAsia="方正仿宋_GB2312" w:cs="Times New Roman"/>
          <w:color w:val="auto"/>
          <w:sz w:val="32"/>
          <w:szCs w:val="32"/>
          <w:highlight w:val="none"/>
          <w:lang w:val="en-US" w:eastAsia="zh-CN"/>
        </w:rPr>
        <w:t>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建议泸定县财政局针对部门预算绩效管理，进一步要求县市场监督管理局完善绩效目标编制、建立预算绩效挂钩机制、加强年初预算编制准确性。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6100"/>
      <w:bookmarkStart w:id="129" w:name="_Toc11390"/>
      <w:bookmarkStart w:id="130" w:name="_Toc26977"/>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6BF4B43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市场监督管理局在泸定县人民政府门户网站公开的2024年度部门预算和绩效目标，制定了年度部门及项目整体支出绩效目标，绩效目标涵盖数量、质量、时效、效益等指标，绩效目标随预算已上报人大完成审核，部门整体项目绩效目标经绩效管理工作组审议，已将部门绩效目标纳入集体决策范围。根据现场评价情况，泸定县市场监督管理局《部门（单位）整体支出绩效目标申报表》目标要素齐全，但存在整体目标不够细化，绩效目标设置不明确、不完整等问题。</w:t>
      </w:r>
    </w:p>
    <w:p w14:paraId="4392A5A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本项分值为10.00分，扣3.00分，得分为7.00分。</w:t>
      </w:r>
    </w:p>
    <w:p w14:paraId="051439E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692F37B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市场监督管理局提供的2024年度年初预算项目绩效目标申报表及项目完成资料，县市场监督管理局整体涉及6个数量指标，1个成本指标。根据现场评价情况，实际完成6个数量指标，完成率100%；实际完成1个质量指标，完成率100%。</w:t>
      </w:r>
    </w:p>
    <w:p w14:paraId="35DC9D7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本项分值为5.00分，扣0.00分，得分为5.00分。</w:t>
      </w:r>
    </w:p>
    <w:p w14:paraId="07A848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3A7E1C0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县市场监督管理局1—6月月预算数827.16万元，实际执行数423.23万元，进度为51.17%；1-9月预算数941.21万元，实际执行数706.35万元，进度为75.05%；1-11月预算数946.99万元，实际执行数839.36万元，进度为88.63%。</w:t>
      </w:r>
    </w:p>
    <w:p w14:paraId="2DB99F2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上述三个阶段中，根据可执行指标执行情况表被评价单位1-6月、1-9月、1-11月实际支出进度均已达到目标进度。</w:t>
      </w:r>
    </w:p>
    <w:p w14:paraId="51F3DF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22956C4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6C6EECA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2024年县市场监督管理局预算项目12个，根据被评价单位提供的可执行指标执行情况表，预算调整项目6个，其中6个均随预算调整同步完成绩效目标调整。</w:t>
      </w:r>
    </w:p>
    <w:p w14:paraId="67B9BB7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756E4F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3CFB31F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财政局未对县信访局开展重点绩效监控，县市场监督管理局自行开展了绩效运行监控，并出具了《泸定县市场监督管理局2024年度部门绩效运行监控分析报告》，主要发现存在个别项目支付进度缓慢的问题。县市场监督管理局出具了《泸定县市场监督管理局关于2024年度部门绩效运行监控分析整改报告》对发现的问题及时进行了整改。</w:t>
      </w:r>
    </w:p>
    <w:p w14:paraId="3F0CF77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28F3F60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（3）完成效率</w:t>
      </w:r>
    </w:p>
    <w:p w14:paraId="6AD947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二级指标“完成效率”下设一个三级指标为：预算结余率。</w:t>
      </w:r>
    </w:p>
    <w:p w14:paraId="73B5FA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根据县市场监督管理局2024年度决算报表与可执行指标执行情况表被评价单位2024年度预算项目共计12个，部门预算项目资金结余率小于10%有10个，大于10%有2个。</w:t>
      </w:r>
    </w:p>
    <w:p w14:paraId="4A928B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本项分值为5.00分，扣0.83，得分为4.17分。</w:t>
      </w:r>
    </w:p>
    <w:p w14:paraId="38BE5ED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泸定县2024年预算项目共计4个，涉及预算资金25.00万元，评价组抽取项目2个，抽取项目预算资金18.81万元；抽取率为75.00%。抽取项目为：食品快检车使用及农产品抽检经费、消费者权益保护工作经费。评价组抽取项目的绩效评价指标体系均采用《2025年泸定县部门整体支出绩效评价指标体系》。经评价小组复核评分，抽查的预算项目平均得分92.12分。</w:t>
      </w:r>
    </w:p>
    <w:p w14:paraId="4ADF518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本项分值为20.00分，扣1.58分，得分为18.42分。</w:t>
      </w:r>
    </w:p>
    <w:p w14:paraId="3B1C687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3.专项预算绩效管理情况</w:t>
      </w:r>
    </w:p>
    <w:p w14:paraId="19A5BE0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（1）整体完成</w:t>
      </w:r>
    </w:p>
    <w:p w14:paraId="1B9DC6F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二级指标“整体完成”下设一个三级指标为：完成率。</w:t>
      </w:r>
    </w:p>
    <w:p w14:paraId="70C311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市场监督管理局专项预算项目8个，涉及预算资金178.18万元，评价组抽取项目样本2个，抽取项目预算资金73.87万元，抽取率为41.46%。抽取项目为：药品监督专项资金项目、省级市场监管经费项目。抽查的项目中，绩效评价指标体系均采用《泸定县2025年部门预算项目绩效评价指标体系》。经评价小组复核评分，抽查的预算项目得分88分。</w:t>
      </w:r>
    </w:p>
    <w:p w14:paraId="7C50EB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本项分值为30.00分，扣3.60分，得分为26.40分。</w:t>
      </w:r>
    </w:p>
    <w:p w14:paraId="6B552CA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4.绩效结果应用</w:t>
      </w:r>
    </w:p>
    <w:p w14:paraId="0AF25A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10E8C4C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截至评价日，县市场监督管理局制定《预算管理业务内控建设制度》，在制度文件中将绩效管理情况纳入内部考核，但绩效管理结果未与预算挂钩。</w:t>
      </w:r>
    </w:p>
    <w:p w14:paraId="26F62B8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市场监督管理局于2024年3月26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149F0DF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①2024年度，2024年县市场监督管理局未收到绩效目标核查、绩效重点监控和重点绩效评价等方面整改意见，无需整改。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②2024年度，县市场监督管理局在规定时间内向财政部门反馈绩效结果应用报告，报告内容翔实、问题整改到位、结果应用充分。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市场监督管理局2024年部门整体支出绩效自评得分84分（不包括“自评质量”指标分值，满分为94分），根据现场评价情况，评价组对县市场监督管理局的考评得分82.99分（不包括“自评质量”指标分值，满分为94分），自评差异率1.22%，低于10.00%。</w:t>
      </w:r>
    </w:p>
    <w:p w14:paraId="62CC150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30515"/>
      <w:bookmarkStart w:id="132" w:name="_Toc25603"/>
      <w:bookmarkStart w:id="133" w:name="_Toc21218"/>
      <w:bookmarkStart w:id="134" w:name="_Toc4350"/>
      <w:bookmarkStart w:id="135" w:name="_Toc30339"/>
      <w:bookmarkStart w:id="136" w:name="_Toc823448808"/>
      <w:bookmarkStart w:id="137" w:name="_Toc14032"/>
      <w:bookmarkStart w:id="138" w:name="_Toc5060"/>
      <w:bookmarkStart w:id="139" w:name="_Toc248033833"/>
      <w:bookmarkStart w:id="140" w:name="_Toc7306"/>
      <w:bookmarkStart w:id="141" w:name="_Toc19973"/>
      <w:bookmarkStart w:id="142"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1E5F6583">
      <w:pPr>
        <w:keepNext w:val="0"/>
        <w:keepLines w:val="0"/>
        <w:pageBreakBefore w:val="0"/>
        <w:widowControl w:val="0"/>
        <w:kinsoku/>
        <w:wordWrap/>
        <w:overflowPunct/>
        <w:topLinePunct w:val="0"/>
        <w:bidi w:val="0"/>
        <w:snapToGrid/>
        <w:spacing w:line="560" w:lineRule="exact"/>
        <w:ind w:leftChars="0" w:right="0" w:firstLine="640" w:firstLineChars="200"/>
        <w:textAlignment w:val="auto"/>
        <w:rPr>
          <w:rFonts w:hint="default" w:ascii="Times New Roman" w:hAnsi="Times New Roman" w:eastAsia="方正楷体简体" w:cs="Times New Roman"/>
          <w:b w:val="0"/>
          <w:bCs w:val="0"/>
          <w:sz w:val="32"/>
          <w:szCs w:val="32"/>
        </w:rPr>
      </w:pPr>
      <w:bookmarkStart w:id="143" w:name="_Toc771997543"/>
      <w:bookmarkStart w:id="144" w:name="_Toc10426"/>
      <w:bookmarkStart w:id="145" w:name="_Toc15651"/>
      <w:bookmarkStart w:id="146" w:name="_Toc3240"/>
      <w:bookmarkStart w:id="147" w:name="_Toc22968"/>
      <w:bookmarkStart w:id="148" w:name="_Toc31629"/>
      <w:bookmarkStart w:id="149" w:name="_Toc464104487"/>
      <w:r>
        <w:rPr>
          <w:rFonts w:hint="default" w:ascii="Times New Roman" w:hAnsi="Times New Roman" w:eastAsia="方正楷体简体" w:cs="Times New Roman"/>
          <w:b w:val="0"/>
          <w:bCs w:val="0"/>
          <w:sz w:val="32"/>
          <w:szCs w:val="32"/>
        </w:rPr>
        <w:t>（一）绩效目标编制和上报不准确</w:t>
      </w:r>
    </w:p>
    <w:p w14:paraId="7B373FB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市场监督管理局2024年部门综合绩效目标与个别预算项目绩效目标均不同程度存在编制不规范，指标设置不够科学准确、具体明确等问题，导致绩效目标科学性、合理性不够强，不便于考核评价。具体情况表现为：</w:t>
      </w:r>
    </w:p>
    <w:p w14:paraId="409C505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1.部门整体绩效目标</w:t>
      </w:r>
    </w:p>
    <w:p w14:paraId="117580B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市场监督管理局《部门（单位）整体支出绩效目标申报表》目标要素齐全，但存在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值设置与三级指标不匹配，如数量指标中的“召开民营企业大会”其指标值为“=1年”，与指标不匹配，指标值可设置为召开多少次。三是指标设置冗余，未细化量化，如社会效益指标中“构建便捷、公正、高效的消费维权机制，全面提升消费环境、确保商品和服务质量得到有效保障、消费者合法权益得到有效保障，消费者安全感”，该指标设置冗余，未细化量化，不便于考核，可修改为“构建公平公正的消费环境”，其指标值可设置为“提高”。四是成本指标设置不够完整，该经济成本指标仅设置了一项三级指标“三公”经费其指标值为“≤30万元”；未设置整体部门经济成本指标情况，建议补充部门各项开支经济成本指标，细化量化成本指标。</w:t>
      </w:r>
    </w:p>
    <w:p w14:paraId="6C6637F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045341E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市场监督管理局预算12个项目，各项目均编制了绩效目标申报表，但存在指标设置不准确的情况。具体情况为：指标设置不准确，如：“中央、省级、应急药品资金项目”中的质量指标为“药品监管宣传面”其指标值为定性指标“提升”，该指标值设置不准确，应设置为“药品监管宣传工作完成率”其指标值为“≥98%”。</w:t>
      </w:r>
    </w:p>
    <w:p w14:paraId="1AC61EA2">
      <w:pPr>
        <w:keepNext w:val="0"/>
        <w:keepLines w:val="0"/>
        <w:pageBreakBefore w:val="0"/>
        <w:widowControl w:val="0"/>
        <w:numPr>
          <w:ilvl w:val="0"/>
          <w:numId w:val="0"/>
        </w:numPr>
        <w:kinsoku/>
        <w:wordWrap/>
        <w:overflowPunct/>
        <w:topLinePunct w:val="0"/>
        <w:bidi w:val="0"/>
        <w:snapToGrid/>
        <w:spacing w:line="560" w:lineRule="exact"/>
        <w:ind w:right="0" w:rightChars="0" w:firstLine="640" w:firstLineChars="200"/>
        <w:textAlignment w:val="auto"/>
        <w:rPr>
          <w:rFonts w:hint="default" w:ascii="Times New Roman" w:hAnsi="Times New Roman" w:eastAsia="方正楷体简体" w:cs="Times New Roman"/>
          <w:b w:val="0"/>
          <w:bCs w:val="0"/>
          <w:sz w:val="32"/>
          <w:szCs w:val="32"/>
          <w:lang w:val="en-US" w:eastAsia="zh-CN"/>
        </w:rPr>
      </w:pPr>
      <w:bookmarkStart w:id="150" w:name="_Toc29227"/>
      <w:bookmarkStart w:id="151" w:name="_Toc5324"/>
      <w:bookmarkStart w:id="152" w:name="_Toc22775"/>
      <w:r>
        <w:rPr>
          <w:rFonts w:hint="default" w:ascii="Times New Roman" w:hAnsi="Times New Roman" w:eastAsia="方正楷体简体" w:cs="Times New Roman"/>
          <w:b w:val="0"/>
          <w:bCs w:val="0"/>
          <w:sz w:val="32"/>
          <w:szCs w:val="32"/>
          <w:lang w:val="en-US" w:eastAsia="zh-CN"/>
        </w:rPr>
        <w:t>（二）项目预算结余率较高</w:t>
      </w:r>
    </w:p>
    <w:p w14:paraId="1ACF19F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根据县市场监督管理局2024年度决算报表与可执行指标执行情况表被评价单位 2024年度预算项目共计12个，部门预算项目资金结余率小于10%有10个，大于10%有2个。预算结余率为6.62%。</w:t>
      </w:r>
    </w:p>
    <w:p w14:paraId="36C222EB">
      <w:pPr>
        <w:keepNext w:val="0"/>
        <w:keepLines w:val="0"/>
        <w:pageBreakBefore w:val="0"/>
        <w:widowControl w:val="0"/>
        <w:numPr>
          <w:ilvl w:val="0"/>
          <w:numId w:val="0"/>
        </w:numPr>
        <w:kinsoku/>
        <w:wordWrap/>
        <w:overflowPunct/>
        <w:topLinePunct w:val="0"/>
        <w:bidi w:val="0"/>
        <w:snapToGrid/>
        <w:spacing w:line="560" w:lineRule="exact"/>
        <w:ind w:right="0" w:rightChars="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val="en-US" w:eastAsia="zh-CN"/>
        </w:rPr>
        <w:t>（三）预算绩效管理制度机制不够健全完善</w:t>
      </w:r>
    </w:p>
    <w:p w14:paraId="1A6E09F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截至评价日，县市场监督管理局制定了《预算管理业务内控建设制度》，年终对单位人员进行了内部绩效考核且结果与预算挂钩，但制度内容中未建立对内设机构和下属单位预算绩效挂钩的机制。</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p w14:paraId="164C1013">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（一）规范项目绩效目标设置</w:t>
      </w:r>
    </w:p>
    <w:p w14:paraId="3D54519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bookmarkEnd w:id="141"/>
    <w:bookmarkEnd w:id="142"/>
    <w:p w14:paraId="442ACBF4">
      <w:pPr>
        <w:keepNext w:val="0"/>
        <w:keepLines w:val="0"/>
        <w:pageBreakBefore w:val="0"/>
        <w:widowControl w:val="0"/>
        <w:kinsoku/>
        <w:wordWrap/>
        <w:overflowPunct/>
        <w:topLinePunct w:val="0"/>
        <w:bidi w:val="0"/>
        <w:snapToGrid/>
        <w:spacing w:line="560" w:lineRule="exact"/>
        <w:ind w:leftChars="0" w:right="0" w:firstLine="640" w:firstLineChars="200"/>
        <w:textAlignment w:val="auto"/>
        <w:rPr>
          <w:rFonts w:hint="default" w:ascii="Times New Roman" w:hAnsi="Times New Roman" w:eastAsia="方正楷体简体" w:cs="Times New Roman"/>
          <w:b w:val="0"/>
          <w:bCs w:val="0"/>
          <w:sz w:val="32"/>
          <w:szCs w:val="32"/>
          <w:lang w:val="en-US" w:eastAsia="zh-CN"/>
        </w:rPr>
      </w:pP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二</w:t>
      </w:r>
      <w:r>
        <w:rPr>
          <w:rFonts w:hint="default" w:ascii="Times New Roman" w:hAnsi="Times New Roman" w:eastAsia="方正楷体简体" w:cs="Times New Roman"/>
          <w:b w:val="0"/>
          <w:bCs w:val="0"/>
          <w:sz w:val="32"/>
          <w:szCs w:val="32"/>
          <w:lang w:eastAsia="zh-CN"/>
        </w:rPr>
        <w:t>）</w:t>
      </w:r>
      <w:r>
        <w:rPr>
          <w:rFonts w:hint="default" w:ascii="Times New Roman" w:hAnsi="Times New Roman" w:eastAsia="方正楷体简体" w:cs="Times New Roman"/>
          <w:b w:val="0"/>
          <w:bCs w:val="0"/>
          <w:sz w:val="32"/>
          <w:szCs w:val="32"/>
          <w:lang w:val="en-US" w:eastAsia="zh-CN"/>
        </w:rPr>
        <w:t>提高预算执行率</w:t>
      </w:r>
    </w:p>
    <w:p w14:paraId="7C723FE7">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0FF03112">
      <w:pPr>
        <w:keepNext w:val="0"/>
        <w:keepLines w:val="0"/>
        <w:pageBreakBefore w:val="0"/>
        <w:widowControl w:val="0"/>
        <w:kinsoku/>
        <w:wordWrap/>
        <w:overflowPunct/>
        <w:topLinePunct w:val="0"/>
        <w:autoSpaceDE w:val="0"/>
        <w:autoSpaceDN w:val="0"/>
        <w:bidi w:val="0"/>
        <w:adjustRightInd w:val="0"/>
        <w:snapToGrid/>
        <w:spacing w:line="560" w:lineRule="exact"/>
        <w:ind w:leftChars="0"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（三）健全完善预算绩效管理制度建设</w:t>
      </w:r>
    </w:p>
    <w:p w14:paraId="1AC36343">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586CA78E">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p>
    <w:p w14:paraId="6FC6A30D">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right="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泸定县市场监督管理局部门整体支出绩效评价指标体系表（评分表）</w:t>
      </w:r>
    </w:p>
    <w:p w14:paraId="7E1714C9">
      <w:pPr>
        <w:rPr>
          <w:rFonts w:hint="default" w:ascii="Times New Roman" w:hAnsi="Times New Roman" w:cs="Times New Roman"/>
          <w:sz w:val="32"/>
          <w:szCs w:val="32"/>
          <w:highlight w:val="none"/>
          <w:lang w:val="en-US" w:eastAsia="zh-CN"/>
        </w:rPr>
      </w:pP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790E2B52">
      <w:pPr>
        <w:spacing w:line="600" w:lineRule="exact"/>
        <w:ind w:firstLine="640"/>
        <w:jc w:val="right"/>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sz w:val="32"/>
          <w:szCs w:val="32"/>
          <w:highlight w:val="none"/>
        </w:rPr>
        <w:t>　　　　　　　　　　　2025年11月11日</w:t>
      </w:r>
      <w:bookmarkStart w:id="153" w:name="_GoBack"/>
      <w:bookmarkEnd w:id="153"/>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42EB64A7-560F-40AD-91D0-E9848276D15E}"/>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094DCF3D-D9B1-48C8-8C8F-797825136883}"/>
  </w:font>
  <w:font w:name="方正黑体简体">
    <w:panose1 w:val="03000509000000000000"/>
    <w:charset w:val="86"/>
    <w:family w:val="auto"/>
    <w:pitch w:val="default"/>
    <w:sig w:usb0="00000001" w:usb1="080E0000" w:usb2="00000000" w:usb3="00000000" w:csb0="00040000" w:csb1="00000000"/>
    <w:embedRegular r:id="rId3" w:fontKey="{3A673466-5985-4C46-9693-F27730E5F498}"/>
  </w:font>
  <w:font w:name="方正楷体简体">
    <w:panose1 w:val="03000509000000000000"/>
    <w:charset w:val="86"/>
    <w:family w:val="auto"/>
    <w:pitch w:val="default"/>
    <w:sig w:usb0="00000001" w:usb1="080E0000" w:usb2="00000000" w:usb3="00000000" w:csb0="00040000" w:csb1="00000000"/>
    <w:embedRegular r:id="rId4" w:fontKey="{9B278F6E-8152-4DD0-B80B-CB241142333D}"/>
  </w:font>
  <w:font w:name="方正小标宋简体">
    <w:panose1 w:val="03000509000000000000"/>
    <w:charset w:val="86"/>
    <w:family w:val="auto"/>
    <w:pitch w:val="default"/>
    <w:sig w:usb0="00000001" w:usb1="080E0000" w:usb2="00000000" w:usb3="00000000" w:csb0="00040000" w:csb1="00000000"/>
    <w:embedRegular r:id="rId5" w:fontKey="{CA0CE50E-FA87-493D-BB40-B73DDEF8BA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2"/>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2"/>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62E52"/>
    <w:rsid w:val="03BD26AA"/>
    <w:rsid w:val="03C46413"/>
    <w:rsid w:val="03F043C9"/>
    <w:rsid w:val="03F5560D"/>
    <w:rsid w:val="05370DC3"/>
    <w:rsid w:val="05704583"/>
    <w:rsid w:val="05A07E9D"/>
    <w:rsid w:val="05AE5131"/>
    <w:rsid w:val="05DC421B"/>
    <w:rsid w:val="069B1F26"/>
    <w:rsid w:val="06E2185D"/>
    <w:rsid w:val="071C5217"/>
    <w:rsid w:val="074574B7"/>
    <w:rsid w:val="077F711D"/>
    <w:rsid w:val="0815093A"/>
    <w:rsid w:val="08280844"/>
    <w:rsid w:val="08321414"/>
    <w:rsid w:val="08BC09C7"/>
    <w:rsid w:val="08CA0DBA"/>
    <w:rsid w:val="0AA10A64"/>
    <w:rsid w:val="0AAA2B3A"/>
    <w:rsid w:val="0BD10723"/>
    <w:rsid w:val="0C0A3890"/>
    <w:rsid w:val="0C82214A"/>
    <w:rsid w:val="0CC90B55"/>
    <w:rsid w:val="0CF63E15"/>
    <w:rsid w:val="0D4639D6"/>
    <w:rsid w:val="0D7C008D"/>
    <w:rsid w:val="0DA06897"/>
    <w:rsid w:val="0DF462ED"/>
    <w:rsid w:val="0DF90060"/>
    <w:rsid w:val="0E19564B"/>
    <w:rsid w:val="0E3E5A73"/>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704469"/>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6EC151D"/>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C02064"/>
    <w:rsid w:val="1AF776D6"/>
    <w:rsid w:val="1B0B2AA5"/>
    <w:rsid w:val="1B334486"/>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CC56B8"/>
    <w:rsid w:val="21F711A6"/>
    <w:rsid w:val="22460F43"/>
    <w:rsid w:val="22612BC4"/>
    <w:rsid w:val="2297354C"/>
    <w:rsid w:val="22DD16D2"/>
    <w:rsid w:val="22F7E8FF"/>
    <w:rsid w:val="234C0C7F"/>
    <w:rsid w:val="23A67EEB"/>
    <w:rsid w:val="23F46FD7"/>
    <w:rsid w:val="24283899"/>
    <w:rsid w:val="242A734D"/>
    <w:rsid w:val="24436E8F"/>
    <w:rsid w:val="248C4080"/>
    <w:rsid w:val="24C04FDC"/>
    <w:rsid w:val="24FD16C3"/>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625A5F"/>
    <w:rsid w:val="2BBE5215"/>
    <w:rsid w:val="2BD70482"/>
    <w:rsid w:val="2C1E552A"/>
    <w:rsid w:val="2C2F0835"/>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C23F3A"/>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7835F3"/>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6235E"/>
    <w:rsid w:val="3BD70C1C"/>
    <w:rsid w:val="3BE87824"/>
    <w:rsid w:val="3C065573"/>
    <w:rsid w:val="3C4B567C"/>
    <w:rsid w:val="3C837FE5"/>
    <w:rsid w:val="3CB15DE8"/>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13DC1"/>
    <w:rsid w:val="4593493B"/>
    <w:rsid w:val="459B16D3"/>
    <w:rsid w:val="459E4A6E"/>
    <w:rsid w:val="45F31D67"/>
    <w:rsid w:val="45FF29D4"/>
    <w:rsid w:val="462A15BD"/>
    <w:rsid w:val="4633306D"/>
    <w:rsid w:val="46625636"/>
    <w:rsid w:val="46E2098A"/>
    <w:rsid w:val="4712301E"/>
    <w:rsid w:val="47970F04"/>
    <w:rsid w:val="48D56225"/>
    <w:rsid w:val="493C0826"/>
    <w:rsid w:val="495C6882"/>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EF2BDF"/>
    <w:rsid w:val="535B753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ED719F"/>
    <w:rsid w:val="5B0A7A07"/>
    <w:rsid w:val="5B1433B1"/>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3B183F"/>
    <w:rsid w:val="5F5617FE"/>
    <w:rsid w:val="5F562031"/>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6A16B0"/>
    <w:rsid w:val="727D4F24"/>
    <w:rsid w:val="72822E9E"/>
    <w:rsid w:val="72A146DD"/>
    <w:rsid w:val="72A70FAA"/>
    <w:rsid w:val="72DD1E82"/>
    <w:rsid w:val="72E66F89"/>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F50D0E"/>
    <w:rsid w:val="77FCCDF3"/>
    <w:rsid w:val="7821727C"/>
    <w:rsid w:val="78243701"/>
    <w:rsid w:val="782E0A91"/>
    <w:rsid w:val="7866291A"/>
    <w:rsid w:val="788E7EA5"/>
    <w:rsid w:val="78F74A7F"/>
    <w:rsid w:val="7922343B"/>
    <w:rsid w:val="7926388B"/>
    <w:rsid w:val="79521C10"/>
    <w:rsid w:val="795E17F1"/>
    <w:rsid w:val="795FF9E4"/>
    <w:rsid w:val="79D42C0A"/>
    <w:rsid w:val="79FFF26D"/>
    <w:rsid w:val="7A142583"/>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next w:val="9"/>
    <w:link w:val="44"/>
    <w:semiHidden/>
    <w:unhideWhenUsed/>
    <w:qFormat/>
    <w:uiPriority w:val="99"/>
    <w:pPr>
      <w:ind w:firstLine="640"/>
    </w:pPr>
    <w:rPr>
      <w:rFonts w:ascii="Calibri" w:hAnsi="Calibri" w:eastAsia="宋体" w:cs="Times New Roman"/>
      <w:sz w:val="32"/>
      <w:szCs w:val="24"/>
    </w:rPr>
  </w:style>
  <w:style w:type="paragraph" w:styleId="9">
    <w:name w:val="Body Text First Indent 2"/>
    <w:basedOn w:val="8"/>
    <w:qFormat/>
    <w:uiPriority w:val="0"/>
    <w:pPr>
      <w:ind w:firstLine="420"/>
    </w:pPr>
  </w:style>
  <w:style w:type="paragraph" w:styleId="10">
    <w:name w:val="toc 3"/>
    <w:basedOn w:val="1"/>
    <w:next w:val="1"/>
    <w:semiHidden/>
    <w:unhideWhenUsed/>
    <w:qFormat/>
    <w:uiPriority w:val="39"/>
    <w:pPr>
      <w:ind w:left="840" w:leftChars="400"/>
    </w:pPr>
  </w:style>
  <w:style w:type="paragraph" w:styleId="11">
    <w:name w:val="Body Text Indent 2"/>
    <w:basedOn w:val="1"/>
    <w:qFormat/>
    <w:uiPriority w:val="0"/>
    <w:pPr>
      <w:ind w:firstLine="645"/>
      <w:outlineLvl w:val="0"/>
    </w:pPr>
    <w:rPr>
      <w:rFonts w:ascii="仿宋_GB2312"/>
      <w:spacing w:val="-4"/>
      <w:sz w:val="32"/>
    </w:rPr>
  </w:style>
  <w:style w:type="paragraph" w:styleId="12">
    <w:name w:val="footer"/>
    <w:basedOn w:val="1"/>
    <w:link w:val="31"/>
    <w:unhideWhenUsed/>
    <w:qFormat/>
    <w:uiPriority w:val="99"/>
    <w:pPr>
      <w:tabs>
        <w:tab w:val="center" w:pos="4153"/>
        <w:tab w:val="right" w:pos="8306"/>
      </w:tabs>
      <w:snapToGrid w:val="0"/>
      <w:jc w:val="left"/>
    </w:pPr>
    <w:rPr>
      <w:sz w:val="18"/>
      <w:szCs w:val="18"/>
    </w:rPr>
  </w:style>
  <w:style w:type="paragraph" w:styleId="13">
    <w:name w:val="header"/>
    <w:basedOn w:val="1"/>
    <w:next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left" w:pos="709"/>
        <w:tab w:val="right" w:leader="dot" w:pos="8296"/>
      </w:tabs>
    </w:pPr>
  </w:style>
  <w:style w:type="paragraph" w:styleId="15">
    <w:name w:val="footnote text"/>
    <w:basedOn w:val="1"/>
    <w:next w:val="9"/>
    <w:semiHidden/>
    <w:qFormat/>
    <w:uiPriority w:val="0"/>
    <w:pPr>
      <w:snapToGrid w:val="0"/>
      <w:jc w:val="left"/>
    </w:pPr>
    <w:rPr>
      <w:sz w:val="18"/>
      <w:szCs w:val="18"/>
    </w:rPr>
  </w:style>
  <w:style w:type="paragraph" w:styleId="16">
    <w:name w:val="toc 2"/>
    <w:basedOn w:val="1"/>
    <w:next w:val="1"/>
    <w:unhideWhenUsed/>
    <w:qFormat/>
    <w:uiPriority w:val="39"/>
    <w:pPr>
      <w:ind w:left="420" w:leftChars="200"/>
    </w:pPr>
  </w:style>
  <w:style w:type="paragraph" w:styleId="17">
    <w:name w:val="Normal (Web)"/>
    <w:basedOn w:val="1"/>
    <w:unhideWhenUsed/>
    <w:qFormat/>
    <w:uiPriority w:val="99"/>
    <w:pPr>
      <w:spacing w:before="100" w:beforeAutospacing="1" w:after="100" w:afterAutospacing="1"/>
      <w:jc w:val="left"/>
    </w:pPr>
    <w:rPr>
      <w:rFonts w:cs="Times New Roman"/>
      <w:kern w:val="0"/>
      <w:sz w:val="24"/>
    </w:rPr>
  </w:style>
  <w:style w:type="paragraph" w:styleId="18">
    <w:name w:val="Title"/>
    <w:basedOn w:val="1"/>
    <w:link w:val="43"/>
    <w:qFormat/>
    <w:uiPriority w:val="10"/>
    <w:pPr>
      <w:spacing w:before="240" w:after="60"/>
      <w:jc w:val="center"/>
      <w:outlineLvl w:val="0"/>
    </w:pPr>
    <w:rPr>
      <w:rFonts w:ascii="Arial" w:hAnsi="Arial"/>
      <w:b/>
      <w:sz w:val="32"/>
    </w:rPr>
  </w:style>
  <w:style w:type="table" w:styleId="20">
    <w:name w:val="Table Grid"/>
    <w:basedOn w:val="1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Emphasis"/>
    <w:basedOn w:val="21"/>
    <w:qFormat/>
    <w:uiPriority w:val="20"/>
    <w:rPr>
      <w:i/>
    </w:rPr>
  </w:style>
  <w:style w:type="character" w:styleId="24">
    <w:name w:val="Hyperlink"/>
    <w:unhideWhenUsed/>
    <w:qFormat/>
    <w:uiPriority w:val="99"/>
    <w:rPr>
      <w:color w:val="4D4D4D"/>
      <w:u w:val="none"/>
    </w:rPr>
  </w:style>
  <w:style w:type="character" w:styleId="25">
    <w:name w:val="annotation reference"/>
    <w:basedOn w:val="21"/>
    <w:semiHidden/>
    <w:unhideWhenUsed/>
    <w:qFormat/>
    <w:uiPriority w:val="99"/>
    <w:rPr>
      <w:sz w:val="21"/>
      <w:szCs w:val="21"/>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Default"/>
    <w:next w:val="28"/>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8">
    <w:name w:val="_Style 1"/>
    <w:basedOn w:val="1"/>
    <w:next w:val="1"/>
    <w:qFormat/>
    <w:uiPriority w:val="0"/>
    <w:pPr>
      <w:pBdr>
        <w:top w:val="single" w:color="auto" w:sz="6" w:space="1"/>
      </w:pBdr>
      <w:jc w:val="center"/>
    </w:pPr>
    <w:rPr>
      <w:rFonts w:ascii="Arial" w:eastAsia="宋体"/>
      <w:vanish/>
      <w:sz w:val="16"/>
    </w:rPr>
  </w:style>
  <w:style w:type="paragraph" w:customStyle="1" w:styleId="29">
    <w:name w:val="常用样式（方正仿宋简）"/>
    <w:basedOn w:val="1"/>
    <w:qFormat/>
    <w:uiPriority w:val="0"/>
    <w:pPr>
      <w:spacing w:line="560" w:lineRule="exact"/>
      <w:ind w:firstLine="640"/>
    </w:pPr>
    <w:rPr>
      <w:rFonts w:eastAsia="仿宋"/>
      <w:sz w:val="32"/>
    </w:rPr>
  </w:style>
  <w:style w:type="character" w:customStyle="1" w:styleId="30">
    <w:name w:val="页眉 字符"/>
    <w:basedOn w:val="21"/>
    <w:link w:val="13"/>
    <w:qFormat/>
    <w:uiPriority w:val="99"/>
    <w:rPr>
      <w:sz w:val="18"/>
      <w:szCs w:val="18"/>
    </w:rPr>
  </w:style>
  <w:style w:type="character" w:customStyle="1" w:styleId="31">
    <w:name w:val="页脚 字符"/>
    <w:basedOn w:val="21"/>
    <w:link w:val="12"/>
    <w:qFormat/>
    <w:uiPriority w:val="99"/>
    <w:rPr>
      <w:sz w:val="18"/>
      <w:szCs w:val="18"/>
    </w:rPr>
  </w:style>
  <w:style w:type="character" w:customStyle="1" w:styleId="32">
    <w:name w:val="font11"/>
    <w:basedOn w:val="21"/>
    <w:qFormat/>
    <w:uiPriority w:val="0"/>
    <w:rPr>
      <w:rFonts w:hint="eastAsia" w:ascii="宋体" w:hAnsi="宋体" w:eastAsia="宋体" w:cs="宋体"/>
      <w:color w:val="000000"/>
      <w:sz w:val="21"/>
      <w:szCs w:val="21"/>
      <w:u w:val="none"/>
    </w:rPr>
  </w:style>
  <w:style w:type="character" w:customStyle="1" w:styleId="33">
    <w:name w:val="font01"/>
    <w:basedOn w:val="21"/>
    <w:qFormat/>
    <w:uiPriority w:val="0"/>
    <w:rPr>
      <w:rFonts w:hint="default" w:ascii="Calibri" w:hAnsi="Calibri" w:cs="Calibri"/>
      <w:color w:val="000000"/>
      <w:sz w:val="21"/>
      <w:szCs w:val="21"/>
      <w:u w:val="none"/>
    </w:rPr>
  </w:style>
  <w:style w:type="character" w:customStyle="1" w:styleId="34">
    <w:name w:val="font71"/>
    <w:basedOn w:val="21"/>
    <w:qFormat/>
    <w:uiPriority w:val="0"/>
    <w:rPr>
      <w:rFonts w:hint="eastAsia" w:ascii="仿宋" w:hAnsi="仿宋" w:eastAsia="仿宋" w:cs="仿宋"/>
      <w:b/>
      <w:color w:val="000000"/>
      <w:sz w:val="24"/>
      <w:szCs w:val="24"/>
      <w:u w:val="none"/>
    </w:rPr>
  </w:style>
  <w:style w:type="character" w:customStyle="1" w:styleId="35">
    <w:name w:val="font51"/>
    <w:basedOn w:val="21"/>
    <w:qFormat/>
    <w:uiPriority w:val="0"/>
    <w:rPr>
      <w:rFonts w:hint="eastAsia" w:ascii="仿宋" w:hAnsi="仿宋" w:eastAsia="仿宋" w:cs="仿宋"/>
      <w:color w:val="000000"/>
      <w:sz w:val="24"/>
      <w:szCs w:val="24"/>
      <w:u w:val="none"/>
    </w:rPr>
  </w:style>
  <w:style w:type="character" w:customStyle="1" w:styleId="36">
    <w:name w:val="font31"/>
    <w:basedOn w:val="21"/>
    <w:qFormat/>
    <w:uiPriority w:val="0"/>
    <w:rPr>
      <w:rFonts w:hint="eastAsia" w:ascii="宋体" w:hAnsi="宋体" w:eastAsia="宋体" w:cs="宋体"/>
      <w:b/>
      <w:color w:val="000000"/>
      <w:sz w:val="22"/>
      <w:szCs w:val="22"/>
      <w:u w:val="none"/>
    </w:rPr>
  </w:style>
  <w:style w:type="character" w:customStyle="1" w:styleId="37">
    <w:name w:val="font21"/>
    <w:basedOn w:val="21"/>
    <w:qFormat/>
    <w:uiPriority w:val="0"/>
    <w:rPr>
      <w:rFonts w:hint="eastAsia" w:ascii="宋体" w:hAnsi="宋体" w:eastAsia="宋体" w:cs="宋体"/>
      <w:color w:val="000000"/>
      <w:sz w:val="20"/>
      <w:szCs w:val="20"/>
      <w:u w:val="none"/>
    </w:rPr>
  </w:style>
  <w:style w:type="character" w:customStyle="1" w:styleId="38">
    <w:name w:val="font41"/>
    <w:basedOn w:val="21"/>
    <w:qFormat/>
    <w:uiPriority w:val="0"/>
    <w:rPr>
      <w:rFonts w:hint="default" w:ascii="Times New Roman" w:hAnsi="Times New Roman" w:cs="Times New Roman"/>
      <w:b/>
      <w:color w:val="000000"/>
      <w:sz w:val="20"/>
      <w:szCs w:val="20"/>
      <w:u w:val="none"/>
    </w:rPr>
  </w:style>
  <w:style w:type="paragraph" w:customStyle="1" w:styleId="39">
    <w:name w:val="WPSOffice手动目录 1"/>
    <w:qFormat/>
    <w:uiPriority w:val="0"/>
    <w:rPr>
      <w:rFonts w:ascii="Times New Roman" w:hAnsi="Times New Roman" w:eastAsia="宋体" w:cs="Times New Roman"/>
      <w:lang w:val="en-US" w:eastAsia="zh-CN" w:bidi="ar-SA"/>
    </w:rPr>
  </w:style>
  <w:style w:type="paragraph" w:customStyle="1" w:styleId="4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1">
    <w:name w:val="表格"/>
    <w:basedOn w:val="1"/>
    <w:qFormat/>
    <w:uiPriority w:val="0"/>
    <w:rPr>
      <w:rFonts w:hint="eastAsia"/>
      <w:kern w:val="0"/>
      <w:sz w:val="24"/>
      <w:szCs w:val="20"/>
    </w:rPr>
  </w:style>
  <w:style w:type="paragraph" w:customStyle="1" w:styleId="42">
    <w:name w:val="页眉或页脚 (2)"/>
    <w:basedOn w:val="1"/>
    <w:qFormat/>
    <w:uiPriority w:val="0"/>
    <w:rPr>
      <w:rFonts w:eastAsia="Times New Roman" w:cs="Times New Roman"/>
      <w:sz w:val="20"/>
      <w:szCs w:val="20"/>
      <w:lang w:val="zh-CN" w:bidi="zh-CN"/>
    </w:rPr>
  </w:style>
  <w:style w:type="character" w:customStyle="1" w:styleId="43">
    <w:name w:val="标题 字符"/>
    <w:basedOn w:val="21"/>
    <w:link w:val="18"/>
    <w:qFormat/>
    <w:uiPriority w:val="0"/>
    <w:rPr>
      <w:rFonts w:ascii="等线 Light" w:hAnsi="等线 Light" w:eastAsia="等线 Light" w:cs="Times New Roman"/>
      <w:b/>
      <w:bCs/>
      <w:kern w:val="2"/>
      <w:sz w:val="32"/>
      <w:szCs w:val="32"/>
    </w:rPr>
  </w:style>
  <w:style w:type="character" w:customStyle="1" w:styleId="44">
    <w:name w:val="正文文本缩进 字符"/>
    <w:basedOn w:val="21"/>
    <w:link w:val="8"/>
    <w:qFormat/>
    <w:uiPriority w:val="0"/>
    <w:rPr>
      <w:kern w:val="2"/>
      <w:sz w:val="32"/>
      <w:szCs w:val="24"/>
    </w:rPr>
  </w:style>
  <w:style w:type="paragraph" w:customStyle="1" w:styleId="45">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6">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7">
    <w:name w:val="15"/>
    <w:basedOn w:val="2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7bd20e5a-0cb1-4e85-a6d5-3be45c111329</errorID>
      <errorWord>扫黄打非</errorWord>
      <group>L1_Political</group>
      <groupName>政治性问题</groupName>
      <ability>L2_Keyword</ability>
      <abilityName>固定表述</abilityName>
      <candidateList>
        <item>“扫黄打非”</item>
      </candidateList>
      <explain>注意检查当前固定表述标点是否使用规范。</explain>
      <paraID>34D73C31</paraID>
      <start>55</start>
      <end>61</end>
      <status>modified</status>
      <modifiedWord>“扫黄打非”</modifiedWord>
      <trackRevisions>false</trackRevisions>
    </reviewItem>
    <reviewItem>
      <errorID>e58c97b5-d707-4d36-a337-ac8a2cd4e892</errorID>
      <errorWord>财政</errorWord>
      <group>L1_AI</group>
      <groupName>深度校对</groupName>
      <ability>L2_AI_Grammar</ability>
      <abilityName>语法纠错</abilityName>
      <candidateList>
        <item>的财政</item>
      </candidateList>
      <explain/>
      <paraID>3974C46A</paraID>
      <start>134</start>
      <end>137</end>
      <status>modified</status>
      <modifiedWord>的财政</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79b503-6331-4fb9-896f-efe9d8d81a5e}">
  <ds:schemaRefs/>
</ds:datastoreItem>
</file>

<file path=docProps/app.xml><?xml version="1.0" encoding="utf-8"?>
<Properties xmlns="http://schemas.openxmlformats.org/officeDocument/2006/extended-properties" xmlns:vt="http://schemas.openxmlformats.org/officeDocument/2006/docPropsVTypes">
  <Company>Microsoft</Company>
  <Pages>15</Pages>
  <Words>6837</Words>
  <Characters>7485</Characters>
  <Lines>1</Lines>
  <Paragraphs>1</Paragraphs>
  <TotalTime>3</TotalTime>
  <ScaleCrop>false</ScaleCrop>
  <LinksUpToDate>false</LinksUpToDate>
  <CharactersWithSpaces>7522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