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B4FD2C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802A4C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479B9C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FB4C6F8">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泸财绩〔2025〕3</w:t>
      </w:r>
      <w:r>
        <w:rPr>
          <w:rFonts w:hint="default" w:ascii="Times New Roman" w:hAnsi="Times New Roman" w:cs="Times New Roman"/>
          <w:sz w:val="32"/>
          <w:szCs w:val="32"/>
          <w:highlight w:val="none"/>
          <w:lang w:val="en-US" w:eastAsia="zh-CN"/>
        </w:rPr>
        <w:t>2</w:t>
      </w:r>
      <w:r>
        <w:rPr>
          <w:rFonts w:hint="default" w:ascii="Times New Roman" w:hAnsi="Times New Roman" w:cs="Times New Roman"/>
          <w:sz w:val="32"/>
          <w:szCs w:val="32"/>
          <w:highlight w:val="none"/>
        </w:rPr>
        <w:t>号</w:t>
      </w:r>
    </w:p>
    <w:p w14:paraId="73FC186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仿宋" w:cs="Times New Roman"/>
          <w:color w:val="333333"/>
          <w:kern w:val="0"/>
          <w:sz w:val="32"/>
          <w:szCs w:val="32"/>
          <w:highlight w:val="none"/>
        </w:rPr>
      </w:pPr>
    </w:p>
    <w:p w14:paraId="5A997C9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仿宋" w:cs="Times New Roman"/>
          <w:color w:val="333333"/>
          <w:kern w:val="0"/>
          <w:sz w:val="32"/>
          <w:szCs w:val="32"/>
          <w:highlight w:val="none"/>
        </w:rPr>
      </w:pP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bookmarkStart w:id="3" w:name="_Toc27398"/>
      <w:r>
        <w:rPr>
          <w:rFonts w:hint="eastAsia" w:ascii="方正小标宋简体" w:hAnsi="方正小标宋简体" w:eastAsia="方正小标宋简体" w:cs="方正小标宋简体"/>
          <w:color w:val="auto"/>
          <w:sz w:val="44"/>
          <w:szCs w:val="44"/>
          <w:highlight w:val="none"/>
          <w:lang w:eastAsia="zh-CN"/>
        </w:rPr>
        <w:t>中国人民政治协商会议泸定县委员会办公室</w:t>
      </w: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611585B0">
      <w:pPr>
        <w:pStyle w:val="17"/>
        <w:keepNext w:val="0"/>
        <w:keepLines w:val="0"/>
        <w:pageBreakBefore w:val="0"/>
        <w:kinsoku/>
        <w:wordWrap/>
        <w:overflowPunct/>
        <w:topLinePunct w:val="0"/>
        <w:autoSpaceDE/>
        <w:autoSpaceDN/>
        <w:bidi w:val="0"/>
        <w:spacing w:after="0" w:line="600" w:lineRule="exact"/>
        <w:ind w:left="0" w:leftChars="0" w:firstLine="0" w:firstLineChars="0"/>
        <w:rPr>
          <w:rFonts w:hint="default" w:ascii="Times New Roman" w:hAnsi="Times New Roman" w:eastAsia="仿宋" w:cs="Times New Roman"/>
          <w:color w:val="auto"/>
          <w:sz w:val="32"/>
          <w:szCs w:val="32"/>
          <w:highlight w:val="none"/>
          <w:lang w:val="fr-FR"/>
        </w:rPr>
      </w:pPr>
      <w:bookmarkStart w:id="154" w:name="_GoBack"/>
      <w:bookmarkEnd w:id="154"/>
    </w:p>
    <w:p w14:paraId="6A4E7C7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2312" w:cs="Times New Roman"/>
          <w:color w:val="auto"/>
          <w:sz w:val="32"/>
          <w:szCs w:val="32"/>
          <w:highlight w:val="none"/>
          <w:lang w:val="fr-FR" w:eastAsia="zh-CN"/>
        </w:rPr>
      </w:pPr>
      <w:bookmarkStart w:id="4" w:name="_Toc26210"/>
      <w:bookmarkStart w:id="5" w:name="_Toc8938"/>
      <w:bookmarkStart w:id="6" w:name="_Toc6252"/>
      <w:r>
        <w:rPr>
          <w:rFonts w:hint="default" w:ascii="Times New Roman" w:hAnsi="Times New Roman" w:eastAsia="方正仿宋_GB2312" w:cs="Times New Roman"/>
          <w:color w:val="auto"/>
          <w:sz w:val="32"/>
          <w:szCs w:val="32"/>
          <w:highlight w:val="none"/>
          <w:lang w:val="fr-FR" w:eastAsia="zh-CN"/>
        </w:rPr>
        <w:t>中国人民政治协商会议泸定县委员会办公室：</w:t>
      </w:r>
    </w:p>
    <w:p w14:paraId="50FB6A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color w:val="auto"/>
          <w:sz w:val="32"/>
          <w:szCs w:val="32"/>
          <w:highlight w:val="none"/>
          <w:lang w:val="en-US" w:eastAsia="zh-CN"/>
        </w:rPr>
        <w:t>根据《泸定县财政局关于开展2025年度部门整体绩效评价工作的通知》（泸财〔2025〕67号）要求，由我局工作人员和第三方机构专业人员组成绩效评价组，对</w:t>
      </w:r>
      <w:r>
        <w:rPr>
          <w:rFonts w:hint="default" w:ascii="Times New Roman" w:hAnsi="Times New Roman" w:eastAsia="方正仿宋_GB2312" w:cs="Times New Roman"/>
          <w:color w:val="auto"/>
          <w:sz w:val="32"/>
          <w:szCs w:val="32"/>
          <w:highlight w:val="none"/>
          <w:lang w:val="fr-FR" w:eastAsia="zh-CN"/>
        </w:rPr>
        <w:t>中国人民政治协商会议泸定县委员会办公室</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4年度</w:t>
      </w:r>
      <w:r>
        <w:rPr>
          <w:rFonts w:hint="default" w:ascii="Times New Roman" w:hAnsi="Times New Roman" w:eastAsia="方正仿宋_GB2312" w:cs="Times New Roman"/>
          <w:color w:val="auto"/>
          <w:sz w:val="32"/>
          <w:szCs w:val="32"/>
          <w:highlight w:val="none"/>
        </w:rPr>
        <w:t>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中国人民政治协商会议泸定县委员会办公室</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中国人民政治协商会议泸定县委员会办公室</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26009"/>
      <w:bookmarkStart w:id="11" w:name="_Toc799907804"/>
      <w:bookmarkStart w:id="12" w:name="_Toc10147"/>
      <w:bookmarkStart w:id="13" w:name="_Toc18579"/>
      <w:bookmarkStart w:id="14" w:name="_Toc12546"/>
      <w:bookmarkStart w:id="15" w:name="_Toc27571"/>
      <w:bookmarkStart w:id="16" w:name="_Toc15220"/>
      <w:bookmarkStart w:id="17" w:name="_Toc4351"/>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09483834"/>
      <w:bookmarkStart w:id="19" w:name="_Toc30550"/>
      <w:bookmarkStart w:id="20" w:name="_Toc16549"/>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419097264"/>
      <w:bookmarkStart w:id="22" w:name="_Toc7513"/>
      <w:bookmarkStart w:id="23" w:name="_Toc18535"/>
      <w:bookmarkStart w:id="24" w:name="_Toc19098"/>
      <w:bookmarkStart w:id="25" w:name="_Toc11769"/>
      <w:bookmarkStart w:id="26" w:name="_Toc2337"/>
      <w:bookmarkStart w:id="27" w:name="_Toc24161"/>
      <w:bookmarkStart w:id="28" w:name="_Toc20865"/>
      <w:r>
        <w:rPr>
          <w:rFonts w:hint="default" w:ascii="Times New Roman" w:hAnsi="Times New Roman" w:eastAsia="方正楷体简体" w:cs="Times New Roman"/>
          <w:color w:val="auto"/>
          <w:kern w:val="2"/>
          <w:sz w:val="32"/>
          <w:szCs w:val="32"/>
          <w:highlight w:val="none"/>
          <w:shd w:val="clear"/>
          <w:lang w:val="zh-CN" w:eastAsia="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中国人民政治协商会议泸定县委员会办公室（以下简称泸定县政协办公室）</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w:t>
      </w:r>
      <w:r>
        <w:rPr>
          <w:rFonts w:hint="default" w:ascii="Times New Roman" w:hAnsi="Times New Roman" w:eastAsia="方正仿宋_GB2312" w:cs="Times New Roman"/>
          <w:color w:val="auto"/>
          <w:sz w:val="32"/>
          <w:szCs w:val="32"/>
          <w:highlight w:val="none"/>
          <w:lang w:val="en-US" w:eastAsia="zh-CN"/>
        </w:rPr>
        <w:t>行政单位</w:t>
      </w:r>
      <w:r>
        <w:rPr>
          <w:rFonts w:hint="default" w:ascii="Times New Roman" w:hAnsi="Times New Roman" w:eastAsia="方正仿宋_GB2312" w:cs="Times New Roman"/>
          <w:color w:val="auto"/>
          <w:sz w:val="32"/>
          <w:szCs w:val="32"/>
          <w:highlight w:val="none"/>
          <w:lang w:val="fr-FR" w:eastAsia="zh-CN"/>
        </w:rPr>
        <w:t>；单位负责人：</w:t>
      </w:r>
      <w:r>
        <w:rPr>
          <w:rFonts w:hint="default" w:ascii="Times New Roman" w:hAnsi="Times New Roman" w:eastAsia="方正仿宋_GB2312" w:cs="Times New Roman"/>
          <w:color w:val="auto"/>
          <w:sz w:val="32"/>
          <w:szCs w:val="32"/>
          <w:highlight w:val="none"/>
          <w:lang w:val="en-US" w:eastAsia="zh-CN"/>
        </w:rPr>
        <w:t>刘之路</w:t>
      </w:r>
      <w:r>
        <w:rPr>
          <w:rFonts w:hint="default" w:ascii="Times New Roman" w:hAnsi="Times New Roman" w:eastAsia="方正仿宋_GB2312" w:cs="Times New Roman"/>
          <w:color w:val="auto"/>
          <w:sz w:val="32"/>
          <w:szCs w:val="32"/>
          <w:highlight w:val="none"/>
          <w:lang w:val="fr-FR" w:eastAsia="zh-CN"/>
        </w:rPr>
        <w:t>；统一社会信用代码：</w:t>
      </w:r>
      <w:r>
        <w:rPr>
          <w:rFonts w:hint="default" w:ascii="Times New Roman" w:hAnsi="Times New Roman" w:eastAsia="方正仿宋_GB2312" w:cs="Times New Roman"/>
          <w:color w:val="auto"/>
          <w:sz w:val="32"/>
          <w:szCs w:val="32"/>
          <w:highlight w:val="none"/>
          <w:lang w:val="en-US" w:eastAsia="zh-CN"/>
        </w:rPr>
        <w:t>11513322008978046H</w:t>
      </w:r>
      <w:r>
        <w:rPr>
          <w:rFonts w:hint="default" w:ascii="Times New Roman" w:hAnsi="Times New Roman" w:eastAsia="方正仿宋_GB2312" w:cs="Times New Roman"/>
          <w:color w:val="auto"/>
          <w:sz w:val="32"/>
          <w:szCs w:val="32"/>
          <w:highlight w:val="none"/>
          <w:lang w:val="fr-FR" w:eastAsia="zh-CN"/>
        </w:rPr>
        <w:t>；单位所在地：</w:t>
      </w:r>
      <w:r>
        <w:rPr>
          <w:rFonts w:hint="default" w:ascii="Times New Roman" w:hAnsi="Times New Roman" w:eastAsia="方正仿宋_GB2312" w:cs="Times New Roman"/>
          <w:color w:val="auto"/>
          <w:sz w:val="32"/>
          <w:szCs w:val="32"/>
          <w:highlight w:val="none"/>
          <w:lang w:val="en-US" w:eastAsia="zh-CN"/>
        </w:rPr>
        <w:t>四川省甘孜藏族自治州泸桥镇红军路324号。</w:t>
      </w:r>
    </w:p>
    <w:p w14:paraId="5FA54F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278"/>
      <w:bookmarkStart w:id="31" w:name="_Toc17750"/>
      <w:bookmarkStart w:id="32" w:name="_Toc31223"/>
      <w:bookmarkStart w:id="33" w:name="_Toc16904"/>
      <w:bookmarkStart w:id="34" w:name="_Toc26703"/>
      <w:bookmarkStart w:id="35" w:name="_Toc28538"/>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4B6C714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1.内设机构。中国人民政治协商会议泸定县委员会办公室属于行政单位，本单位无下属二级单位。泸定县政协机关设6个正科级机构，分别为：县</w:t>
      </w:r>
      <w:bookmarkStart w:id="36" w:name="OLE_LINK1"/>
      <w:r>
        <w:rPr>
          <w:rFonts w:hint="default" w:ascii="Times New Roman" w:hAnsi="Times New Roman" w:eastAsia="方正仿宋_GB2312" w:cs="Times New Roman"/>
          <w:color w:val="auto"/>
          <w:sz w:val="32"/>
          <w:szCs w:val="32"/>
          <w:highlight w:val="none"/>
          <w:lang w:val="en-US" w:eastAsia="zh-CN"/>
        </w:rPr>
        <w:t>政协办公室、提案法制委员会、经济科技委员会、民族宗教委员会、文教医卫和群团委员会、文史资料和学习委员会</w:t>
      </w:r>
      <w:bookmarkEnd w:id="36"/>
      <w:r>
        <w:rPr>
          <w:rFonts w:hint="default" w:ascii="Times New Roman" w:hAnsi="Times New Roman" w:eastAsia="方正仿宋_GB2312" w:cs="Times New Roman"/>
          <w:color w:val="auto"/>
          <w:sz w:val="32"/>
          <w:szCs w:val="32"/>
          <w:highlight w:val="none"/>
          <w:lang w:val="en-US" w:eastAsia="zh-CN"/>
        </w:rPr>
        <w:t>。</w:t>
      </w:r>
    </w:p>
    <w:p w14:paraId="66E3D95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2.人员概况。泸定县政协办公室核定机关事业编制14名（不含县政协主席、副主席单列行政编制5名和调研员单列行政编制2名）。机关工勤5名。截至2024年12月31日在职人员28人（其中公务员23人，工勤5人）。</w:t>
      </w:r>
    </w:p>
    <w:p w14:paraId="2171EDF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7" w:name="_Toc568184988"/>
      <w:bookmarkStart w:id="38" w:name="_Toc16978"/>
      <w:bookmarkStart w:id="39" w:name="_Toc12241"/>
      <w:bookmarkStart w:id="40" w:name="_Toc22604"/>
      <w:bookmarkStart w:id="41" w:name="_Toc21223"/>
      <w:bookmarkStart w:id="42" w:name="_Toc16740"/>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7"/>
      <w:bookmarkEnd w:id="38"/>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9"/>
      <w:bookmarkEnd w:id="40"/>
      <w:bookmarkEnd w:id="41"/>
      <w:bookmarkEnd w:id="42"/>
    </w:p>
    <w:p w14:paraId="00AF144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43" w:name="_Toc13707"/>
      <w:bookmarkStart w:id="44" w:name="_Toc1218480988"/>
      <w:bookmarkStart w:id="45" w:name="_Toc26564"/>
      <w:bookmarkStart w:id="46" w:name="_Toc109483836"/>
      <w:bookmarkStart w:id="47" w:name="_Toc15163"/>
      <w:bookmarkStart w:id="48" w:name="_Toc5982"/>
      <w:bookmarkStart w:id="49" w:name="_Toc22594"/>
      <w:bookmarkStart w:id="50" w:name="_Toc14896"/>
      <w:bookmarkStart w:id="51" w:name="_Toc16871"/>
      <w:bookmarkStart w:id="52" w:name="_Toc33"/>
      <w:r>
        <w:rPr>
          <w:rFonts w:hint="default" w:ascii="Times New Roman" w:hAnsi="Times New Roman" w:eastAsia="方正仿宋_GB2312" w:cs="Times New Roman"/>
          <w:color w:val="auto"/>
          <w:sz w:val="32"/>
          <w:szCs w:val="32"/>
          <w:highlight w:val="none"/>
          <w:lang w:val="en-US" w:eastAsia="zh-CN"/>
        </w:rPr>
        <w:t>1.政治协商：对国家和地方的大政方针以及政治、经济、文化和社会生活中的重要问题在决策之前进行协商和就决策执行过程中的重要问题进行协商。</w:t>
      </w:r>
    </w:p>
    <w:p w14:paraId="6351A96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2.民主监督：对国家宪法、法律和法规的实施，重大方针政策的贯彻执行、国家机关及其工作人员的工作，通过建议和批评进行监督。</w:t>
      </w:r>
    </w:p>
    <w:p w14:paraId="4E82D3B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参政议政：对政治、经济、文化和社会生活中的重要问题以及人民群众普遍关心的问题，开展调查研究，反映社情民意，进行协商讨论。通过调研报告、提案、建议案或其他形式，向县委和其他国家机关提出意见和建议。</w:t>
      </w:r>
    </w:p>
    <w:p w14:paraId="069C75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zh-CN"/>
        </w:rPr>
      </w:pPr>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3"/>
      <w:bookmarkEnd w:id="44"/>
      <w:bookmarkEnd w:id="45"/>
      <w:bookmarkEnd w:id="46"/>
      <w:bookmarkEnd w:id="47"/>
      <w:bookmarkEnd w:id="48"/>
      <w:bookmarkEnd w:id="49"/>
      <w:bookmarkEnd w:id="50"/>
      <w:bookmarkEnd w:id="51"/>
      <w:bookmarkEnd w:id="52"/>
      <w:bookmarkStart w:id="53" w:name="_Toc109483837"/>
      <w:bookmarkStart w:id="54" w:name="_Toc2659"/>
    </w:p>
    <w:bookmarkEnd w:id="53"/>
    <w:bookmarkEnd w:id="54"/>
    <w:p w14:paraId="24BA0D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55" w:name="_Toc1949541301"/>
      <w:bookmarkStart w:id="56" w:name="_Toc32369"/>
      <w:bookmarkStart w:id="57" w:name="_Toc15898"/>
      <w:bookmarkStart w:id="58" w:name="_Toc11105"/>
      <w:bookmarkStart w:id="59" w:name="_Toc2374"/>
      <w:bookmarkStart w:id="60" w:name="_Toc25866"/>
      <w:bookmarkStart w:id="61" w:name="_Toc29180"/>
      <w:bookmarkStart w:id="62" w:name="_Toc21428"/>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5"/>
      <w:bookmarkEnd w:id="56"/>
      <w:bookmarkEnd w:id="57"/>
      <w:bookmarkEnd w:id="58"/>
      <w:bookmarkEnd w:id="59"/>
      <w:bookmarkEnd w:id="60"/>
      <w:bookmarkEnd w:id="61"/>
      <w:bookmarkEnd w:id="62"/>
      <w:bookmarkStart w:id="63" w:name="_Toc19132"/>
    </w:p>
    <w:bookmarkEnd w:id="63"/>
    <w:p w14:paraId="3B37BEF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64" w:name="_Toc27782"/>
      <w:bookmarkStart w:id="65" w:name="_Toc109483838"/>
      <w:bookmarkStart w:id="66" w:name="_Toc27073"/>
      <w:bookmarkStart w:id="67" w:name="_Toc349786989"/>
      <w:bookmarkStart w:id="68" w:name="_Toc19326"/>
      <w:bookmarkStart w:id="69" w:name="_Toc21171"/>
      <w:bookmarkStart w:id="70" w:name="_Toc17751"/>
      <w:r>
        <w:rPr>
          <w:rFonts w:hint="default" w:ascii="Times New Roman" w:hAnsi="Times New Roman" w:eastAsia="方正仿宋_GB2312" w:cs="Times New Roman"/>
          <w:color w:val="auto"/>
          <w:sz w:val="32"/>
          <w:szCs w:val="32"/>
          <w:highlight w:val="none"/>
          <w:lang w:val="en-US" w:eastAsia="zh-CN"/>
        </w:rPr>
        <w:t>年初预算反映，泸定县政协办公室2024年预算收入合计980.38万元，上年结转结余0.00万元，无预算调整。本年收入980.38万元，全部为一般公共预算财政拨款收入。</w:t>
      </w:r>
    </w:p>
    <w:p w14:paraId="0FB3AD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决算报表反映，泸定县政协办公室2024年决算收入合计994.99万元，其中：本年收入994.99万元，年初结转和结余0.00万元。</w:t>
      </w:r>
    </w:p>
    <w:p w14:paraId="53A358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71" w:name="_Toc16309"/>
      <w:bookmarkStart w:id="72" w:name="_Toc30600"/>
      <w:bookmarkStart w:id="73" w:name="_Toc15130"/>
      <w:r>
        <w:rPr>
          <w:rFonts w:hint="default" w:ascii="Times New Roman" w:hAnsi="Times New Roman" w:eastAsia="方正楷体简体" w:cs="Times New Roman"/>
          <w:color w:val="auto"/>
          <w:kern w:val="2"/>
          <w:sz w:val="32"/>
          <w:szCs w:val="32"/>
          <w:highlight w:val="none"/>
          <w:shd w:val="clear"/>
          <w:lang w:val="zh-CN"/>
        </w:rPr>
        <w:t>（二）支出情况</w:t>
      </w:r>
      <w:bookmarkEnd w:id="64"/>
      <w:bookmarkEnd w:id="65"/>
      <w:bookmarkEnd w:id="66"/>
      <w:bookmarkEnd w:id="67"/>
      <w:bookmarkEnd w:id="68"/>
      <w:bookmarkEnd w:id="69"/>
      <w:bookmarkEnd w:id="70"/>
      <w:bookmarkEnd w:id="71"/>
      <w:bookmarkEnd w:id="72"/>
      <w:bookmarkEnd w:id="73"/>
    </w:p>
    <w:p w14:paraId="4A8E245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74" w:name="_Toc10837"/>
      <w:bookmarkStart w:id="75" w:name="_Toc18390"/>
      <w:bookmarkStart w:id="76" w:name="_Toc24721"/>
      <w:bookmarkStart w:id="77" w:name="_Toc809"/>
      <w:bookmarkStart w:id="78" w:name="_Toc109483839"/>
      <w:bookmarkStart w:id="79" w:name="_Toc13841"/>
      <w:bookmarkStart w:id="80" w:name="_Toc1457008154"/>
      <w:r>
        <w:rPr>
          <w:rFonts w:hint="default" w:ascii="Times New Roman" w:hAnsi="Times New Roman" w:eastAsia="方正仿宋_GB2312" w:cs="Times New Roman"/>
          <w:color w:val="auto"/>
          <w:sz w:val="32"/>
          <w:szCs w:val="32"/>
          <w:highlight w:val="none"/>
          <w:lang w:val="en-US" w:eastAsia="zh-CN"/>
        </w:rPr>
        <w:t>年初预算反映，泸定县政协办公室2024年预算支出合计980.38万元，无年末结转和结余。本年支出中：基本支出839.38万元（人员经费720.58万元、公用经费118.80万元），项目支出141.00万元。</w:t>
      </w:r>
    </w:p>
    <w:p w14:paraId="09E05E6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决算报表反映，泸定县政协办公室2024年决算支出合计994.99万元，均为本年支出，无年末结转和结余。本年支出中：基本支出863.95万元（人员经费750.65万元、公用经费113.30万元），项目支出131.04万元。</w:t>
      </w:r>
    </w:p>
    <w:p w14:paraId="03B600DB">
      <w:pPr>
        <w:keepNext w:val="0"/>
        <w:keepLines w:val="0"/>
        <w:pageBreakBefore w:val="0"/>
        <w:widowControl w:val="0"/>
        <w:kinsoku/>
        <w:wordWrap/>
        <w:overflowPunct/>
        <w:topLinePunct w:val="0"/>
        <w:bidi w:val="0"/>
        <w:spacing w:line="560" w:lineRule="exact"/>
        <w:ind w:firstLine="640" w:firstLineChars="200"/>
        <w:jc w:val="both"/>
        <w:textAlignment w:val="auto"/>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决算报表反映，泸定县政协办公室2024年末无结余分配和结转结余。</w:t>
      </w:r>
    </w:p>
    <w:p w14:paraId="4BC19A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1" w:name="_Toc10974"/>
      <w:bookmarkStart w:id="82" w:name="_Toc16353"/>
      <w:bookmarkStart w:id="83" w:name="_Toc7705"/>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4"/>
      <w:bookmarkEnd w:id="75"/>
      <w:bookmarkEnd w:id="76"/>
      <w:bookmarkEnd w:id="81"/>
      <w:bookmarkEnd w:id="82"/>
      <w:bookmarkEnd w:id="83"/>
    </w:p>
    <w:p w14:paraId="5552689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4" w:name="_Toc29501"/>
      <w:bookmarkStart w:id="85" w:name="_Toc22633"/>
      <w:bookmarkStart w:id="86" w:name="_Toc28011"/>
      <w:bookmarkStart w:id="87" w:name="_Toc19300"/>
      <w:bookmarkStart w:id="88" w:name="_Toc3573"/>
      <w:bookmarkStart w:id="89" w:name="_Toc1418"/>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4"/>
      <w:bookmarkEnd w:id="85"/>
      <w:bookmarkEnd w:id="86"/>
      <w:bookmarkEnd w:id="87"/>
      <w:bookmarkEnd w:id="88"/>
      <w:bookmarkEnd w:id="89"/>
    </w:p>
    <w:p w14:paraId="2E50F65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90" w:name="_Toc4650"/>
      <w:bookmarkStart w:id="91" w:name="_Toc30825"/>
      <w:bookmarkStart w:id="92" w:name="_Toc6926"/>
      <w:bookmarkStart w:id="93" w:name="_Toc11959"/>
      <w:bookmarkStart w:id="94" w:name="_Toc132"/>
      <w:bookmarkStart w:id="95" w:name="_Toc24652"/>
      <w:r>
        <w:rPr>
          <w:rFonts w:hint="default" w:ascii="Times New Roman" w:hAnsi="Times New Roman" w:eastAsia="方正仿宋_GB2312" w:cs="Times New Roman"/>
          <w:color w:val="auto"/>
          <w:sz w:val="32"/>
          <w:szCs w:val="32"/>
          <w:highlight w:val="none"/>
          <w:lang w:val="en-US" w:eastAsia="zh-CN"/>
        </w:rPr>
        <w:t>贯穿“有事来协商”“一条主线”，把握民主和团结“两大主题”，立足政治协商、民主监督、参政议政“三大职能”，创新实施党建强基、理论健脑、协商求同、监督发力、团结聚智、履职强能“六大工程”，围绕中心大局，把握重点、真诚协商、务实建言，积极履职，着力发挥社会主义协商民主重要渠道及专门协商机构的优势和作用，为建设红色美丽、宜居幸福社会主义现代化新泸定贡献政协智慧和力量。</w:t>
      </w:r>
    </w:p>
    <w:p w14:paraId="332148A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90"/>
      <w:bookmarkEnd w:id="91"/>
      <w:bookmarkEnd w:id="92"/>
      <w:bookmarkEnd w:id="93"/>
      <w:bookmarkEnd w:id="94"/>
      <w:bookmarkEnd w:id="95"/>
    </w:p>
    <w:p w14:paraId="54A408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96" w:name="_Toc17536"/>
      <w:bookmarkStart w:id="97" w:name="_Toc6491"/>
      <w:bookmarkStart w:id="98" w:name="_Toc24081"/>
      <w:r>
        <w:rPr>
          <w:rFonts w:hint="default" w:ascii="Times New Roman" w:hAnsi="Times New Roman" w:eastAsia="方正仿宋_GB2312" w:cs="Times New Roman"/>
          <w:color w:val="auto"/>
          <w:sz w:val="32"/>
          <w:szCs w:val="32"/>
          <w:highlight w:val="none"/>
          <w:lang w:val="en-US" w:eastAsia="zh-CN"/>
        </w:rPr>
        <w:t>泸定县政协办公室2024年认真落实中央、省、州纪委全会部署安排，完成了以下工作任务：</w:t>
      </w:r>
    </w:p>
    <w:p w14:paraId="3FAAE74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99" w:name="_Toc32189"/>
      <w:bookmarkStart w:id="100" w:name="_Toc21154"/>
      <w:bookmarkStart w:id="101" w:name="_Toc13068"/>
      <w:r>
        <w:rPr>
          <w:rFonts w:hint="default" w:ascii="Times New Roman" w:hAnsi="Times New Roman" w:eastAsia="方正仿宋_GB2312" w:cs="Times New Roman"/>
          <w:color w:val="auto"/>
          <w:sz w:val="32"/>
          <w:szCs w:val="32"/>
          <w:highlight w:val="none"/>
          <w:lang w:val="en-US" w:eastAsia="zh-CN"/>
        </w:rPr>
        <w:t>1.加强民主监督工作。围绕县委中心要求对重点项目建设和产业发展开展民主监督，服务县委、县政府中心工作。</w:t>
      </w:r>
    </w:p>
    <w:p w14:paraId="0A343E5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创新监督发力，严格保障提案办理质量。坚持以质为帅，加强提案策划，增加集体提案比重，促进提案质量提升；做好督办重点提案的组织服务工作，切实增强提案办理实效；加大对重点提案及办理效果的宣传力度。</w:t>
      </w:r>
    </w:p>
    <w:p w14:paraId="1D360A2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3.开展收集整理编撰红色文化、历史民俗文化工作。充分发掘、收集、整理文史资料，发挥文史资料记录历史、传承文明、服务社会的重要作用。</w:t>
      </w:r>
    </w:p>
    <w:p w14:paraId="70F46F9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4.保障政协全委会、常委会及各类会议顺利圆满召开。做好各项会议的后勤保障工作。</w:t>
      </w:r>
    </w:p>
    <w:p w14:paraId="0115492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做好政协委员各种视察考察调研工作。加强委员视察考察调研工作的统筹，做好县政协视察、考察、调研活动的组织、协调、服务工作，改进调研工作，提高议政建言质量，加强议政建言成果转化运用和反馈工作。</w:t>
      </w:r>
    </w:p>
    <w:p w14:paraId="40739DD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6.村史资料收集编撰。从2022年9月开始实施，到2025年完成全县7个乡镇76个村村史编撰任务。其中2022年12月—2023年12月完成6个示范村和24个行政村的村史收集编撰以及3个村史馆建设。</w:t>
      </w:r>
    </w:p>
    <w:p w14:paraId="234D53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7"/>
      <w:bookmarkEnd w:id="78"/>
      <w:bookmarkEnd w:id="79"/>
      <w:bookmarkEnd w:id="80"/>
      <w:bookmarkEnd w:id="96"/>
      <w:bookmarkEnd w:id="97"/>
      <w:bookmarkEnd w:id="98"/>
      <w:bookmarkEnd w:id="99"/>
      <w:bookmarkEnd w:id="100"/>
      <w:bookmarkEnd w:id="101"/>
    </w:p>
    <w:p w14:paraId="5A75D54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2" w:name="_Toc11694"/>
      <w:bookmarkStart w:id="103" w:name="_Toc24977"/>
      <w:bookmarkStart w:id="104" w:name="_Toc29571"/>
      <w:bookmarkStart w:id="105" w:name="_Toc28828"/>
      <w:bookmarkStart w:id="106" w:name="_Toc24619"/>
      <w:bookmarkStart w:id="107" w:name="_Toc7521"/>
      <w:bookmarkStart w:id="108" w:name="_Toc8903"/>
      <w:bookmarkStart w:id="109" w:name="_Toc428273082"/>
      <w:bookmarkStart w:id="110" w:name="_Toc27305"/>
      <w:bookmarkStart w:id="111" w:name="_Toc109483840"/>
      <w:bookmarkStart w:id="112" w:name="_Toc4199"/>
      <w:r>
        <w:rPr>
          <w:rFonts w:hint="default" w:ascii="Times New Roman" w:hAnsi="Times New Roman" w:eastAsia="方正楷体简体" w:cs="Times New Roman"/>
          <w:color w:val="auto"/>
          <w:kern w:val="2"/>
          <w:sz w:val="32"/>
          <w:szCs w:val="32"/>
          <w:highlight w:val="none"/>
          <w:shd w:val="clear"/>
          <w:lang w:val="zh-CN" w:eastAsia="zh-CN"/>
        </w:rPr>
        <w:t>（一）绩效评价实施过程</w:t>
      </w:r>
      <w:bookmarkEnd w:id="102"/>
      <w:bookmarkEnd w:id="103"/>
      <w:bookmarkEnd w:id="104"/>
      <w:bookmarkEnd w:id="105"/>
      <w:bookmarkEnd w:id="106"/>
      <w:bookmarkEnd w:id="107"/>
    </w:p>
    <w:p w14:paraId="3E043EB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泸定县政协办公室</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color="auto" w:fill="auto"/>
          <w:lang w:val="en-US" w:eastAsia="zh-CN"/>
        </w:rPr>
      </w:pPr>
      <w:bookmarkStart w:id="113" w:name="_Toc23900"/>
      <w:bookmarkStart w:id="114" w:name="_Toc30977"/>
      <w:bookmarkStart w:id="115" w:name="_Toc16416"/>
      <w:bookmarkStart w:id="116" w:name="_Toc3794"/>
      <w:bookmarkStart w:id="117" w:name="_Toc24380"/>
      <w:bookmarkStart w:id="118" w:name="_Toc4385"/>
      <w:r>
        <w:rPr>
          <w:rFonts w:hint="default" w:ascii="Times New Roman" w:hAnsi="Times New Roman" w:eastAsia="方正楷体简体" w:cs="Times New Roman"/>
          <w:color w:val="auto"/>
          <w:kern w:val="2"/>
          <w:sz w:val="32"/>
          <w:szCs w:val="32"/>
          <w:highlight w:val="none"/>
          <w:shd w:val="clear" w:color="auto" w:fill="auto"/>
          <w:lang w:val="zh-CN" w:eastAsia="zh-CN"/>
        </w:rPr>
        <w:t>（</w:t>
      </w:r>
      <w:r>
        <w:rPr>
          <w:rFonts w:hint="default" w:ascii="Times New Roman" w:hAnsi="Times New Roman" w:eastAsia="方正楷体简体" w:cs="Times New Roman"/>
          <w:color w:val="auto"/>
          <w:kern w:val="2"/>
          <w:sz w:val="32"/>
          <w:szCs w:val="32"/>
          <w:highlight w:val="none"/>
          <w:shd w:val="clear" w:color="auto" w:fill="auto"/>
          <w:lang w:val="en-US" w:eastAsia="zh-CN"/>
        </w:rPr>
        <w:t>二）</w:t>
      </w:r>
      <w:bookmarkEnd w:id="108"/>
      <w:bookmarkEnd w:id="109"/>
      <w:r>
        <w:rPr>
          <w:rFonts w:hint="default" w:ascii="Times New Roman" w:hAnsi="Times New Roman" w:eastAsia="方正楷体简体" w:cs="Times New Roman"/>
          <w:color w:val="auto"/>
          <w:kern w:val="2"/>
          <w:sz w:val="32"/>
          <w:szCs w:val="32"/>
          <w:highlight w:val="none"/>
          <w:shd w:val="clear" w:color="auto" w:fill="auto"/>
          <w:lang w:val="en-US" w:eastAsia="zh-CN"/>
        </w:rPr>
        <w:t>评价结论</w:t>
      </w:r>
      <w:bookmarkEnd w:id="113"/>
      <w:bookmarkEnd w:id="114"/>
      <w:bookmarkEnd w:id="115"/>
      <w:bookmarkEnd w:id="116"/>
      <w:bookmarkEnd w:id="117"/>
      <w:bookmarkEnd w:id="118"/>
    </w:p>
    <w:bookmarkEnd w:id="110"/>
    <w:bookmarkEnd w:id="111"/>
    <w:bookmarkEnd w:id="112"/>
    <w:p w14:paraId="11D0484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泸定县政协办公室以习近平新时代中国特色社会主义思想为指导，深入贯彻落实中共二十大、二十届二中全会精神和习近平总书记对四川工作系列重要指示精神，全面贯彻落实省委十二届四次全会重大决策和州委十二届六次全会、县委十四届五次全会重要部署，坚定县委“12345”工作思路，牢牢把握团结和民主两大主题，深入践行全过程人民民主，坚持建言资政和凝聚共识双向发力，认真履行政治协商、民主监督、参政议政职能，认真做好思想引导、汇聚力量、议政建言、服务大局各项工作，奋力谱写建设红色美丽、宜居幸福社会主义现代化新泸定新篇章。泸定县政协办公室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按照设定的评价指标体系，通过对泸定县政协办公室</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4年度泸定县政协办公室部门整体支出绩效评价指标分值100.00分，得分91.93分。详见下表：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泸定县政协办公室</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24"/>
        <w:gridCol w:w="2328"/>
        <w:gridCol w:w="1339"/>
        <w:gridCol w:w="642"/>
        <w:gridCol w:w="833"/>
        <w:gridCol w:w="847"/>
      </w:tblGrid>
      <w:tr w14:paraId="618D7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9A0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9" w:name="_Toc4242"/>
            <w:bookmarkStart w:id="120" w:name="_Toc13729"/>
            <w:bookmarkStart w:id="121" w:name="_Toc14707"/>
            <w:bookmarkStart w:id="122" w:name="_Toc26985"/>
            <w:bookmarkStart w:id="123" w:name="_Toc109483841"/>
            <w:bookmarkStart w:id="124" w:name="_Toc1687911260"/>
            <w:bookmarkStart w:id="125" w:name="_Toc16394"/>
            <w:bookmarkStart w:id="126" w:name="_Toc28266"/>
            <w:bookmarkStart w:id="127" w:name="_Toc31945"/>
            <w:bookmarkStart w:id="128" w:name="_Toc24818"/>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8A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15C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A54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7DE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DBD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4C70D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9F9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6DE3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F97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5DC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AEE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77A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663E1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DFC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74C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550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6FE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196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97C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53D8D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8A8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59FC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4A6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CF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7E9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9D6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26D63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E88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D95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752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515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67B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D6B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04B88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FBB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1C4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B59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119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F6B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5E7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5B7BB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A34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2C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A4D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76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120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107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7E15F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996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E1A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81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EB5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lang w:val="en-US"/>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031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1.07</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297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18.93</w:t>
            </w:r>
          </w:p>
        </w:tc>
      </w:tr>
      <w:tr w14:paraId="45CC0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AC4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BEF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99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D66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lang w:val="en-US"/>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0C9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C91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lang w:val="en-US"/>
              </w:rPr>
            </w:pPr>
            <w:r>
              <w:rPr>
                <w:rFonts w:hint="default" w:ascii="Times New Roman" w:hAnsi="Times New Roman" w:eastAsia="方正仿宋_GB2312" w:cs="Times New Roman"/>
                <w:i w:val="0"/>
                <w:iCs w:val="0"/>
                <w:color w:val="000000"/>
                <w:kern w:val="0"/>
                <w:sz w:val="20"/>
                <w:szCs w:val="20"/>
                <w:u w:val="none"/>
                <w:lang w:val="en-US" w:eastAsia="zh-CN" w:bidi="ar"/>
              </w:rPr>
              <w:t>27</w:t>
            </w:r>
          </w:p>
        </w:tc>
      </w:tr>
      <w:tr w14:paraId="00E4A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FEA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DA8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B6E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52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0E3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CEF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025FF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B29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6E1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B36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F10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958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AB3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64659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EC7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AD5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809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363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9D2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3D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15863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2E8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351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BD9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996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D43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82C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6A69C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63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E3D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val="0"/>
                <w:bCs w:val="0"/>
                <w:i w:val="0"/>
                <w:iCs w:val="0"/>
                <w:color w:val="000000"/>
                <w:sz w:val="20"/>
                <w:szCs w:val="20"/>
                <w:u w:val="none"/>
              </w:rPr>
            </w:pPr>
            <w:r>
              <w:rPr>
                <w:rFonts w:hint="default" w:ascii="Times New Roman" w:hAnsi="Times New Roman" w:eastAsia="方正仿宋_GB2312" w:cs="Times New Roman"/>
                <w:b w:val="0"/>
                <w:bCs w:val="0"/>
                <w:i w:val="0"/>
                <w:iCs w:val="0"/>
                <w:color w:val="000000"/>
                <w:kern w:val="0"/>
                <w:sz w:val="20"/>
                <w:szCs w:val="20"/>
                <w:u w:val="none"/>
                <w:lang w:val="en-US" w:eastAsia="zh-CN" w:bidi="ar"/>
              </w:rPr>
              <w:t>合计</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E16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val="0"/>
                <w:bCs w:val="0"/>
                <w:i w:val="0"/>
                <w:iCs w:val="0"/>
                <w:color w:val="000000"/>
                <w:sz w:val="20"/>
                <w:szCs w:val="20"/>
                <w:u w:val="none"/>
              </w:rPr>
            </w:pPr>
            <w:r>
              <w:rPr>
                <w:rFonts w:hint="default" w:ascii="Times New Roman" w:hAnsi="Times New Roman" w:eastAsia="方正仿宋_GB2312" w:cs="Times New Roman"/>
                <w:b w:val="0"/>
                <w:bCs w:val="0"/>
                <w:i w:val="0"/>
                <w:iCs w:val="0"/>
                <w:color w:val="000000"/>
                <w:kern w:val="0"/>
                <w:sz w:val="20"/>
                <w:szCs w:val="20"/>
                <w:u w:val="none"/>
                <w:lang w:val="en-US" w:eastAsia="zh-CN" w:bidi="ar"/>
              </w:rPr>
              <w:t>100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B73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val="0"/>
                <w:bCs w:val="0"/>
                <w:i w:val="0"/>
                <w:iCs w:val="0"/>
                <w:color w:val="000000"/>
                <w:sz w:val="20"/>
                <w:szCs w:val="20"/>
                <w:u w:val="none"/>
              </w:rPr>
            </w:pPr>
            <w:r>
              <w:rPr>
                <w:rFonts w:hint="default" w:ascii="Times New Roman" w:hAnsi="Times New Roman" w:eastAsia="方正仿宋_GB2312" w:cs="Times New Roman"/>
                <w:b w:val="0"/>
                <w:bCs w:val="0"/>
                <w:i w:val="0"/>
                <w:iCs w:val="0"/>
                <w:color w:val="000000"/>
                <w:kern w:val="0"/>
                <w:sz w:val="20"/>
                <w:szCs w:val="20"/>
                <w:u w:val="none"/>
                <w:lang w:val="en-US" w:eastAsia="zh-CN" w:bidi="ar"/>
              </w:rPr>
              <w:t>8.07</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AA7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val="0"/>
                <w:bCs w:val="0"/>
                <w:i w:val="0"/>
                <w:iCs w:val="0"/>
                <w:color w:val="000000"/>
                <w:sz w:val="20"/>
                <w:szCs w:val="20"/>
                <w:u w:val="none"/>
              </w:rPr>
            </w:pPr>
            <w:r>
              <w:rPr>
                <w:rFonts w:hint="default" w:ascii="Times New Roman" w:hAnsi="Times New Roman" w:eastAsia="方正仿宋_GB2312" w:cs="Times New Roman"/>
                <w:b w:val="0"/>
                <w:bCs w:val="0"/>
                <w:i w:val="0"/>
                <w:iCs w:val="0"/>
                <w:color w:val="000000"/>
                <w:kern w:val="0"/>
                <w:sz w:val="20"/>
                <w:szCs w:val="20"/>
                <w:u w:val="none"/>
                <w:lang w:val="en-US" w:eastAsia="zh-CN" w:bidi="ar"/>
              </w:rPr>
              <w:t>91.93</w:t>
            </w:r>
          </w:p>
        </w:tc>
      </w:tr>
    </w:tbl>
    <w:p w14:paraId="7CAEDB5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9"/>
      <w:bookmarkEnd w:id="120"/>
      <w:bookmarkEnd w:id="121"/>
    </w:p>
    <w:p w14:paraId="3974C46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泸定县政协办公室履职效能较好，对获得的专项资金进行了专账核算，确保专款专用，并加强对项目资金的管理、使用、审计和监督，最大限度地发挥项目资金使用效益；全面实施绩效预算管理，高度重视绩效预算管理在目标绩效管理工作中的重大意义，推进全面实施绩效预算管理进程</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通过评价组对泸定县政协办公室进行事后评价，最终泸定县政协办公室绩效等级为“优”。秉承科学公正、统筹兼顾、激励约束和公开透明的财政绩效原则，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建议泸定县财政局针对部门预算绩效管理，进一步要求泸定县政协办公室完善绩效目标编制、提高绩效自评质量、加强年初预算编制的准确性。</w:t>
      </w:r>
    </w:p>
    <w:p w14:paraId="0651BF7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9" w:name="_Toc26977"/>
      <w:bookmarkStart w:id="130" w:name="_Toc6100"/>
      <w:bookmarkStart w:id="131" w:name="_Toc11390"/>
      <w:r>
        <w:rPr>
          <w:rFonts w:hint="default" w:ascii="Times New Roman" w:hAnsi="Times New Roman" w:eastAsia="方正楷体简体" w:cs="Times New Roman"/>
          <w:color w:val="auto"/>
          <w:kern w:val="2"/>
          <w:sz w:val="32"/>
          <w:szCs w:val="32"/>
          <w:highlight w:val="none"/>
          <w:shd w:val="clear"/>
          <w:lang w:val="en-US" w:eastAsia="zh-CN"/>
        </w:rPr>
        <w:t>（四）</w:t>
      </w:r>
      <w:bookmarkEnd w:id="122"/>
      <w:bookmarkEnd w:id="123"/>
      <w:bookmarkEnd w:id="124"/>
      <w:bookmarkEnd w:id="125"/>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6"/>
      <w:bookmarkEnd w:id="127"/>
      <w:bookmarkEnd w:id="128"/>
      <w:bookmarkEnd w:id="129"/>
      <w:bookmarkEnd w:id="130"/>
      <w:bookmarkEnd w:id="131"/>
    </w:p>
    <w:p w14:paraId="6BF6F19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泸定县政协办公室在泸定县人民政府门户网站公开的2024年度部门预算和绩效目标，制定了年度部门及项目整体支出绩效目标，绩效目标涵盖数量、质量、时效、效益等指标，绩效目标随预算已上报人大完成审核，但未对部门整体项目进行集体决策，未将部门绩效目标纳入集体决策范围。根据现场评价情况，中国人民政治协商会议泸定县委员会办公室《部门（单位）整体支出绩效目标申报表》目标要素齐全，但存在整体目标不够细化，绩效目标设置不明确等问题。</w:t>
      </w:r>
    </w:p>
    <w:p w14:paraId="4392A5A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本项分值为10.00分，扣4.00分，得分为6.00分。</w:t>
      </w:r>
    </w:p>
    <w:p w14:paraId="051439E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353C29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泸定县政协办公室提供的2024年度年初预算项目绩效目标申报表及项目完成资料，泸定县政协办公室整体涉及4个数量指标，1个成本指标。根据现场评价情况，实际完成4个数量指标，完成率100%；实际完成1个成本指标，完成率100%。</w:t>
      </w:r>
    </w:p>
    <w:p w14:paraId="35DC9D7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本项分值为10.00分，扣0.00分，得分为10.00分。</w:t>
      </w:r>
    </w:p>
    <w:p w14:paraId="07A848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785E786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政协泸定县委员会办公室1-6月预算数1015.88万元，实际执行数543.93万元，进度为53.54%；1-9月预算数1015.88万元，实际执行数761.04万元，进度为74.91%；1-11月预算数1015.88万元，实际执行数906.85万元，进度为89.27%。</w:t>
      </w:r>
    </w:p>
    <w:p w14:paraId="457A3D6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上述三个阶段中，根据可执行指标执行情况表被评价单位1-6月、1-9月、1-11月实际支出进度均已达到目标进度。</w:t>
      </w:r>
    </w:p>
    <w:p w14:paraId="51F3DF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本项分值为8.00分，扣0.00分，得分为8.00分。</w:t>
      </w:r>
    </w:p>
    <w:p w14:paraId="22956C4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7C6E56A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2024年泸定县政协办公室预算项目5个，根据被评价单位提供的可执行指标执行情况表，预算调整项目1个，其中1个均随预算调整同步完成绩效目标调整。</w:t>
      </w:r>
    </w:p>
    <w:p w14:paraId="67B9BB7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p w14:paraId="2756E4F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2024年财政局未对泸定县政协办公室开展重点绩效监控，泸定县政协办公室自行开展了绩效运行监控，未发现绩效相关问题。</w:t>
      </w:r>
    </w:p>
    <w:p w14:paraId="3F0CF77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p w14:paraId="28F3F60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（3）完成结果</w:t>
      </w:r>
    </w:p>
    <w:p w14:paraId="6AD9472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二级指标“完成结果”下设一个三级指标为：预算结余率。</w:t>
      </w:r>
    </w:p>
    <w:p w14:paraId="73B5FA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根据泸定县政协办公室2024年度决算报表与可执行指标执行情况表被评价单位2024年度预算项目共计5个，部门预算项目资金结余率小于10%有5个，大于10%有0个。</w:t>
      </w:r>
    </w:p>
    <w:p w14:paraId="4A928B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本项分值为10.00分，扣0.00分，得分为10.00分。</w:t>
      </w:r>
    </w:p>
    <w:p w14:paraId="38BE5ED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政协办公室部门预算项目共5个，涉及预算资金138.50万元，评价组抽取项目2个，抽取项目预算资金104.00万元；抽取率为75.09%。抽取项目为：村史建设项目、保障委室工作经费项目。评价组抽取项目的绩效评价指标体系均采用《2025年泸定县部门整体支出绩效评价指标体系》。经评价小组复核评分，抽查的预算项目平均得分96.43分。</w:t>
      </w:r>
    </w:p>
    <w:p w14:paraId="4ADF518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本项分值为30.00分，扣1.07分，得分为28.93分。</w:t>
      </w:r>
    </w:p>
    <w:p w14:paraId="6B552CA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3.绩效结果应用</w:t>
      </w:r>
    </w:p>
    <w:p w14:paraId="0AF25A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7AFCC4A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截至评价日，泸定县政协办公室制定了《财务管理制度》包含了经费预算管理，但未制定《预算绩效管理制度》，单位绩效管理情况未纳入内部考核体系且内部绩效结果未与预算挂钩。</w:t>
      </w:r>
    </w:p>
    <w:p w14:paraId="26F62B8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本项分值为4.00分，扣3.00分，得分为1.00分。</w:t>
      </w:r>
    </w:p>
    <w:p w14:paraId="3DFC40C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74A12D0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泸定县政协办公室于2024年4月1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二级指标“整改反馈”下设二个三级指标为：问题整改、应用反馈。</w:t>
      </w:r>
    </w:p>
    <w:p w14:paraId="53A4A77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①2024年度，泸定县政协办公室未收到绩效目标核查、绩效重点监控和重点绩效评价等方面整改意见，无需整改。</w:t>
      </w:r>
    </w:p>
    <w:p w14:paraId="0E6FAB3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②2024年度，泸定县政协办公室在规定时间内向财政部门反馈绩效结果应用报告，报告内容翔实、问题整改到位、结果应用充分。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泸定县政协办公室2024年部门整体支出绩效自评得分89分（不包括“自评质量”指标分值，满分为94分），根据现场评价情况，评价组对泸定县政协办公室的考评得分85.93分（不包括“自评质量”指标分值，满分为94分），自评差异率3.57%，低于10.00%。</w:t>
      </w:r>
    </w:p>
    <w:p w14:paraId="62CC150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32" w:name="_Toc7306"/>
      <w:bookmarkStart w:id="133" w:name="_Toc25603"/>
      <w:bookmarkStart w:id="134" w:name="_Toc21218"/>
      <w:bookmarkStart w:id="135" w:name="_Toc823448808"/>
      <w:bookmarkStart w:id="136" w:name="_Toc14032"/>
      <w:bookmarkStart w:id="137" w:name="_Toc30515"/>
      <w:bookmarkStart w:id="138" w:name="_Toc30339"/>
      <w:bookmarkStart w:id="139" w:name="_Toc4350"/>
      <w:bookmarkStart w:id="140" w:name="_Toc248033833"/>
      <w:bookmarkStart w:id="141" w:name="_Toc5060"/>
      <w:bookmarkStart w:id="142" w:name="_Toc19973"/>
      <w:bookmarkStart w:id="143" w:name="_Toc8336"/>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2"/>
      <w:bookmarkEnd w:id="133"/>
      <w:bookmarkEnd w:id="134"/>
      <w:bookmarkEnd w:id="135"/>
      <w:bookmarkEnd w:id="136"/>
      <w:bookmarkEnd w:id="137"/>
      <w:bookmarkEnd w:id="138"/>
      <w:bookmarkEnd w:id="139"/>
      <w:bookmarkEnd w:id="140"/>
      <w:bookmarkEnd w:id="141"/>
    </w:p>
    <w:p w14:paraId="79E0C316">
      <w:pPr>
        <w:keepNext w:val="0"/>
        <w:keepLines w:val="0"/>
        <w:pageBreakBefore w:val="0"/>
        <w:widowControl w:val="0"/>
        <w:kinsoku/>
        <w:wordWrap/>
        <w:overflowPunct/>
        <w:topLinePunct w:val="0"/>
        <w:bidi w:val="0"/>
        <w:snapToGrid w:val="0"/>
        <w:spacing w:line="560" w:lineRule="exact"/>
        <w:ind w:right="0" w:firstLine="640" w:firstLineChars="200"/>
        <w:jc w:val="both"/>
        <w:textAlignment w:val="auto"/>
        <w:rPr>
          <w:rFonts w:hint="default" w:ascii="Times New Roman" w:hAnsi="Times New Roman" w:eastAsia="方正楷体简体" w:cs="Times New Roman"/>
          <w:b w:val="0"/>
          <w:bCs w:val="0"/>
          <w:sz w:val="32"/>
          <w:szCs w:val="32"/>
        </w:rPr>
      </w:pPr>
      <w:bookmarkStart w:id="144" w:name="_Toc10426"/>
      <w:bookmarkStart w:id="145" w:name="_Toc22968"/>
      <w:bookmarkStart w:id="146" w:name="_Toc15651"/>
      <w:bookmarkStart w:id="147" w:name="_Toc31629"/>
      <w:bookmarkStart w:id="148" w:name="_Toc464104487"/>
      <w:bookmarkStart w:id="149" w:name="_Toc5324"/>
      <w:bookmarkStart w:id="150" w:name="_Toc29227"/>
      <w:bookmarkStart w:id="151" w:name="_Toc22775"/>
      <w:bookmarkStart w:id="152" w:name="_Toc771997543"/>
      <w:bookmarkStart w:id="153" w:name="_Toc3240"/>
      <w:r>
        <w:rPr>
          <w:rFonts w:hint="default" w:ascii="Times New Roman" w:hAnsi="Times New Roman" w:eastAsia="方正楷体简体" w:cs="Times New Roman"/>
          <w:b w:val="0"/>
          <w:bCs w:val="0"/>
          <w:sz w:val="32"/>
          <w:szCs w:val="32"/>
        </w:rPr>
        <w:t>（一）绩效目标编制和上报不准确</w:t>
      </w:r>
    </w:p>
    <w:p w14:paraId="294FFBF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泸定县政协办公室2024年部门综合绩效目标与个别预算项目绩效目标均不同程度存在编制不规范，指标设置不够科学准确、具体明确等问题，导致绩效目标科学性、合理性不够强，不便于考核评价。具体情况表现为：</w:t>
      </w:r>
    </w:p>
    <w:p w14:paraId="7A6772A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现场评价情况，泸定县政协办公室《部门（单位）整体支出绩效目标申报表》目标要素齐全，但存在整体目标不够细化，绩效目标设置不明确等问题，具体情况：一是整体绩效目标不够细化，绩效目标申报表中年度总体目标主要聚焦于定性描述，未与数量指标质量指标挂钩，缺乏具体的数量，建议在年度目标中加入主要任务或大额资金项目的可量化指标。二是指标值设置不明确，不便于考核，如社会效益指标中的“促进政协事业发展”其指标值为“定性”，该指标值设置不够明确，应设置具体的指标值。</w:t>
      </w:r>
    </w:p>
    <w:p w14:paraId="09918E6D">
      <w:pPr>
        <w:keepNext w:val="0"/>
        <w:keepLines w:val="0"/>
        <w:pageBreakBefore w:val="0"/>
        <w:widowControl w:val="0"/>
        <w:numPr>
          <w:ilvl w:val="0"/>
          <w:numId w:val="0"/>
        </w:numPr>
        <w:tabs>
          <w:tab w:val="left" w:pos="479"/>
        </w:tabs>
        <w:kinsoku/>
        <w:wordWrap/>
        <w:overflowPunct/>
        <w:topLinePunct w:val="0"/>
        <w:bidi w:val="0"/>
        <w:snapToGrid w:val="0"/>
        <w:spacing w:line="560" w:lineRule="exact"/>
        <w:ind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（二）部门绩效目标制定未纳入本部门集体决策范围</w:t>
      </w:r>
    </w:p>
    <w:p w14:paraId="3F615C1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 w:cs="Times New Roman"/>
          <w:bCs/>
          <w:kern w:val="2"/>
          <w:sz w:val="32"/>
          <w:szCs w:val="32"/>
          <w:lang w:val="en-US" w:eastAsia="zh-CN" w:bidi="ar-SA"/>
        </w:rPr>
      </w:pPr>
      <w:r>
        <w:rPr>
          <w:rFonts w:hint="default" w:ascii="Times New Roman" w:hAnsi="Times New Roman" w:eastAsia="方正仿宋_GB2312" w:cs="Times New Roman"/>
          <w:color w:val="auto"/>
          <w:sz w:val="32"/>
          <w:szCs w:val="32"/>
          <w:highlight w:val="none"/>
          <w:lang w:val="en-US" w:eastAsia="zh-CN"/>
        </w:rPr>
        <w:t>2024年，泸定县政协办公室已编报《部门（单位）整体支出绩效目标申报表》，绩效目标随预算已上报人大完成审核，但未对部门整体项目进行集体决策，未将部门绩效目标纳入集体决策范围。</w:t>
      </w:r>
    </w:p>
    <w:p w14:paraId="2E181C32">
      <w:pPr>
        <w:keepNext w:val="0"/>
        <w:keepLines w:val="0"/>
        <w:pageBreakBefore w:val="0"/>
        <w:widowControl w:val="0"/>
        <w:numPr>
          <w:ilvl w:val="0"/>
          <w:numId w:val="3"/>
        </w:numPr>
        <w:kinsoku/>
        <w:wordWrap/>
        <w:overflowPunct/>
        <w:topLinePunct w:val="0"/>
        <w:bidi w:val="0"/>
        <w:snapToGrid w:val="0"/>
        <w:spacing w:line="560" w:lineRule="exact"/>
        <w:ind w:left="0" w:leftChars="0" w:right="0" w:rightChars="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预算绩效管理制度机制不够健全完善</w:t>
      </w:r>
    </w:p>
    <w:p w14:paraId="7215BD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截至评价日，泸定县政协办公室制定了《政协泸定县委员会办公室财务管理办法》包含了预算支出、决算支出方面制度，但单位绩效管理情况未纳入内部考核体系且内部绩效结果未与预算挂钩。</w:t>
      </w:r>
    </w:p>
    <w:p w14:paraId="4EFDC16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4"/>
      <w:bookmarkEnd w:id="145"/>
      <w:bookmarkEnd w:id="146"/>
      <w:bookmarkEnd w:id="147"/>
      <w:bookmarkEnd w:id="148"/>
      <w:bookmarkEnd w:id="149"/>
      <w:bookmarkEnd w:id="150"/>
      <w:bookmarkEnd w:id="151"/>
      <w:bookmarkEnd w:id="152"/>
      <w:bookmarkEnd w:id="153"/>
    </w:p>
    <w:bookmarkEnd w:id="142"/>
    <w:bookmarkEnd w:id="143"/>
    <w:p w14:paraId="23B05365">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（一）规范项目绩效目标设置</w:t>
      </w:r>
    </w:p>
    <w:p w14:paraId="37729C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33DDEE29">
      <w:pPr>
        <w:keepNext w:val="0"/>
        <w:keepLines w:val="0"/>
        <w:pageBreakBefore w:val="0"/>
        <w:widowControl w:val="0"/>
        <w:numPr>
          <w:ilvl w:val="0"/>
          <w:numId w:val="0"/>
        </w:numPr>
        <w:tabs>
          <w:tab w:val="left" w:pos="479"/>
        </w:tabs>
        <w:kinsoku/>
        <w:wordWrap/>
        <w:overflowPunct/>
        <w:topLinePunct w:val="0"/>
        <w:autoSpaceDE/>
        <w:autoSpaceDN/>
        <w:bidi w:val="0"/>
        <w:adjustRightInd/>
        <w:snapToGrid w:val="0"/>
        <w:spacing w:line="560" w:lineRule="exact"/>
        <w:ind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kern w:val="2"/>
          <w:sz w:val="32"/>
          <w:szCs w:val="32"/>
          <w:lang w:val="en-US" w:eastAsia="zh-CN" w:bidi="ar-SA"/>
        </w:rPr>
        <w:t>（二）绩</w:t>
      </w:r>
      <w:r>
        <w:rPr>
          <w:rFonts w:hint="default" w:ascii="Times New Roman" w:hAnsi="Times New Roman" w:eastAsia="方正楷体简体" w:cs="Times New Roman"/>
          <w:sz w:val="32"/>
          <w:szCs w:val="32"/>
          <w:lang w:val="en-US" w:eastAsia="zh-CN"/>
        </w:rPr>
        <w:t>效目标制定纳入部门集体决策范围</w:t>
      </w:r>
    </w:p>
    <w:p w14:paraId="1F43F24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0B6FA130">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（三）健全完善预算绩效管理制度建设</w:t>
      </w:r>
    </w:p>
    <w:p w14:paraId="583CF8B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p w14:paraId="4DA24E0A">
      <w:pPr>
        <w:keepNext w:val="0"/>
        <w:keepLines w:val="0"/>
        <w:pageBreakBefore w:val="0"/>
        <w:kinsoku/>
        <w:wordWrap/>
        <w:overflowPunct/>
        <w:topLinePunct w:val="0"/>
        <w:autoSpaceDE/>
        <w:autoSpaceDN/>
        <w:bidi w:val="0"/>
        <w:spacing w:line="600" w:lineRule="exact"/>
        <w:ind w:left="0" w:leftChars="0" w:firstLine="0" w:firstLineChars="0"/>
        <w:outlineLvl w:val="1"/>
        <w:rPr>
          <w:rFonts w:hint="default" w:ascii="Times New Roman" w:hAnsi="Times New Roman" w:eastAsia="仿宋" w:cs="Times New Roman"/>
          <w:kern w:val="2"/>
          <w:sz w:val="32"/>
          <w:szCs w:val="32"/>
          <w:lang w:val="en-US" w:eastAsia="zh-CN" w:bidi="ar-SA"/>
        </w:rPr>
      </w:pPr>
    </w:p>
    <w:p w14:paraId="6FC6A30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中国人民政治协商会议泸定县委员会办公室部门整体支出绩效评价指标体系表（评分表）</w:t>
      </w:r>
    </w:p>
    <w:p w14:paraId="7E1714C9">
      <w:pPr>
        <w:rPr>
          <w:rFonts w:hint="default" w:ascii="Times New Roman" w:hAnsi="Times New Roman" w:cs="Times New Roman"/>
          <w:sz w:val="32"/>
          <w:szCs w:val="32"/>
          <w:highlight w:val="none"/>
          <w:lang w:val="en-US" w:eastAsia="zh-CN"/>
        </w:rPr>
      </w:pPr>
    </w:p>
    <w:p w14:paraId="43444507">
      <w:pPr>
        <w:rPr>
          <w:rFonts w:hint="default" w:ascii="Times New Roman" w:hAnsi="Times New Roman" w:cs="Times New Roman"/>
          <w:sz w:val="32"/>
          <w:szCs w:val="32"/>
          <w:highlight w:val="none"/>
          <w:lang w:val="en-US" w:eastAsia="zh-CN"/>
        </w:rPr>
      </w:pPr>
    </w:p>
    <w:p w14:paraId="43D595D4">
      <w:pPr>
        <w:rPr>
          <w:rFonts w:hint="default" w:ascii="Times New Roman" w:hAnsi="Times New Roman" w:cs="Times New Roman"/>
          <w:sz w:val="32"/>
          <w:szCs w:val="32"/>
          <w:highlight w:val="none"/>
          <w:lang w:val="en-US" w:eastAsia="zh-CN"/>
        </w:rPr>
      </w:pP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567E22FB">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　　　　　　　　　　　2025年11月11日</w:t>
      </w:r>
    </w:p>
    <w:p w14:paraId="713DA454">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sz w:val="32"/>
          <w:szCs w:val="32"/>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974EADB9-5E5D-4C01-9166-7819838EEB0E}"/>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6B86DD9E-343E-440B-8AE2-40026DE51C17}"/>
  </w:font>
  <w:font w:name="方正黑体简体">
    <w:panose1 w:val="03000509000000000000"/>
    <w:charset w:val="86"/>
    <w:family w:val="auto"/>
    <w:pitch w:val="default"/>
    <w:sig w:usb0="00000001" w:usb1="080E0000" w:usb2="00000000" w:usb3="00000000" w:csb0="00040000" w:csb1="00000000"/>
    <w:embedRegular r:id="rId3" w:fontKey="{6BBD60B1-4770-4503-843A-4E9446AF6F32}"/>
  </w:font>
  <w:font w:name="方正楷体简体">
    <w:panose1 w:val="03000509000000000000"/>
    <w:charset w:val="86"/>
    <w:family w:val="auto"/>
    <w:pitch w:val="default"/>
    <w:sig w:usb0="00000001" w:usb1="080E0000" w:usb2="00000000" w:usb3="00000000" w:csb0="00040000" w:csb1="00000000"/>
    <w:embedRegular r:id="rId4" w:fontKey="{70723026-F509-4BAA-B4A1-5E6B515A7EDE}"/>
  </w:font>
  <w:font w:name="方正小标宋简体">
    <w:panose1 w:val="03000509000000000000"/>
    <w:charset w:val="86"/>
    <w:family w:val="auto"/>
    <w:pitch w:val="default"/>
    <w:sig w:usb0="00000001" w:usb1="080E0000" w:usb2="00000000" w:usb3="00000000" w:csb0="00040000" w:csb1="00000000"/>
    <w:embedRegular r:id="rId5" w:fontKey="{8DCD59FD-D862-40FD-8A04-69778C438A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26AD0"/>
    <w:multiLevelType w:val="singleLevel"/>
    <w:tmpl w:val="23826AD0"/>
    <w:lvl w:ilvl="0" w:tentative="0">
      <w:start w:val="3"/>
      <w:numFmt w:val="chineseCounting"/>
      <w:suff w:val="nothing"/>
      <w:lvlText w:val="（%1）"/>
      <w:lvlJc w:val="left"/>
      <w:rPr>
        <w:rFonts w:hint="eastAsia"/>
      </w:rPr>
    </w:lvl>
  </w:abstractNum>
  <w:abstractNum w:abstractNumId="1">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2">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83B50"/>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CF6804"/>
    <w:rsid w:val="00D10437"/>
    <w:rsid w:val="00D33BD1"/>
    <w:rsid w:val="00EB673D"/>
    <w:rsid w:val="00EE1A30"/>
    <w:rsid w:val="00EE3529"/>
    <w:rsid w:val="00F80E20"/>
    <w:rsid w:val="00FF076D"/>
    <w:rsid w:val="015B3238"/>
    <w:rsid w:val="0174274A"/>
    <w:rsid w:val="01AE1362"/>
    <w:rsid w:val="0209008E"/>
    <w:rsid w:val="0221101D"/>
    <w:rsid w:val="028212C5"/>
    <w:rsid w:val="02A14C7A"/>
    <w:rsid w:val="02B56978"/>
    <w:rsid w:val="031D77B8"/>
    <w:rsid w:val="03435D32"/>
    <w:rsid w:val="034B0AC6"/>
    <w:rsid w:val="03BD26AA"/>
    <w:rsid w:val="03C46413"/>
    <w:rsid w:val="03F043C9"/>
    <w:rsid w:val="03F5560D"/>
    <w:rsid w:val="05370DC3"/>
    <w:rsid w:val="05704583"/>
    <w:rsid w:val="05AE5131"/>
    <w:rsid w:val="05DC421B"/>
    <w:rsid w:val="069B1F26"/>
    <w:rsid w:val="06BC63F1"/>
    <w:rsid w:val="06E2185D"/>
    <w:rsid w:val="071C5217"/>
    <w:rsid w:val="074574B7"/>
    <w:rsid w:val="077F711D"/>
    <w:rsid w:val="0815093A"/>
    <w:rsid w:val="08280844"/>
    <w:rsid w:val="08321414"/>
    <w:rsid w:val="08BC09C7"/>
    <w:rsid w:val="08CA0DBA"/>
    <w:rsid w:val="0A002BCE"/>
    <w:rsid w:val="0A5847B8"/>
    <w:rsid w:val="0AA10A64"/>
    <w:rsid w:val="0AAA2B3A"/>
    <w:rsid w:val="0BD10723"/>
    <w:rsid w:val="0C0A3890"/>
    <w:rsid w:val="0C82214A"/>
    <w:rsid w:val="0CC90B55"/>
    <w:rsid w:val="0CF63E15"/>
    <w:rsid w:val="0D4639D6"/>
    <w:rsid w:val="0D7C008D"/>
    <w:rsid w:val="0DA06897"/>
    <w:rsid w:val="0DF462ED"/>
    <w:rsid w:val="0DF90060"/>
    <w:rsid w:val="0E19564B"/>
    <w:rsid w:val="0E3E5A73"/>
    <w:rsid w:val="0E3F552E"/>
    <w:rsid w:val="0E522B49"/>
    <w:rsid w:val="0E5E23AA"/>
    <w:rsid w:val="0E6050D4"/>
    <w:rsid w:val="0E666B82"/>
    <w:rsid w:val="0E7F3C56"/>
    <w:rsid w:val="0EE4486D"/>
    <w:rsid w:val="0EF40828"/>
    <w:rsid w:val="0EF610D2"/>
    <w:rsid w:val="0EF97BEC"/>
    <w:rsid w:val="0F207817"/>
    <w:rsid w:val="0F24115F"/>
    <w:rsid w:val="0F7D48CD"/>
    <w:rsid w:val="0F895427"/>
    <w:rsid w:val="0FA36556"/>
    <w:rsid w:val="100F5919"/>
    <w:rsid w:val="10607EBA"/>
    <w:rsid w:val="10857989"/>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C02064"/>
    <w:rsid w:val="1AF776D6"/>
    <w:rsid w:val="1B0B2AA5"/>
    <w:rsid w:val="1B334486"/>
    <w:rsid w:val="1B9068E9"/>
    <w:rsid w:val="1BDF6BC8"/>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574579"/>
    <w:rsid w:val="207456E4"/>
    <w:rsid w:val="20A3724F"/>
    <w:rsid w:val="20CB7E98"/>
    <w:rsid w:val="21CC56B8"/>
    <w:rsid w:val="21F711A6"/>
    <w:rsid w:val="22460F43"/>
    <w:rsid w:val="225E04BF"/>
    <w:rsid w:val="22612BC4"/>
    <w:rsid w:val="2297354C"/>
    <w:rsid w:val="22DD16D2"/>
    <w:rsid w:val="22F7E8FF"/>
    <w:rsid w:val="234C0C7F"/>
    <w:rsid w:val="23950905"/>
    <w:rsid w:val="23A67EEB"/>
    <w:rsid w:val="23F46FD7"/>
    <w:rsid w:val="24283899"/>
    <w:rsid w:val="24436E8F"/>
    <w:rsid w:val="248C4080"/>
    <w:rsid w:val="24C04FDC"/>
    <w:rsid w:val="24FD16C3"/>
    <w:rsid w:val="25143B2D"/>
    <w:rsid w:val="25B907CB"/>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8DD3F57"/>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741DDE"/>
    <w:rsid w:val="3D997564"/>
    <w:rsid w:val="3DB744C0"/>
    <w:rsid w:val="3DB8289D"/>
    <w:rsid w:val="3DE87F46"/>
    <w:rsid w:val="3DFC2E05"/>
    <w:rsid w:val="3E0D7049"/>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0B531F8"/>
    <w:rsid w:val="412070D7"/>
    <w:rsid w:val="41322966"/>
    <w:rsid w:val="41670862"/>
    <w:rsid w:val="41731B45"/>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F31D67"/>
    <w:rsid w:val="45FF29D4"/>
    <w:rsid w:val="46014D9B"/>
    <w:rsid w:val="462A15BD"/>
    <w:rsid w:val="4633306D"/>
    <w:rsid w:val="46625636"/>
    <w:rsid w:val="46E2098A"/>
    <w:rsid w:val="4712301E"/>
    <w:rsid w:val="47970F04"/>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3E2370"/>
    <w:rsid w:val="4D6E449B"/>
    <w:rsid w:val="4F0A34DF"/>
    <w:rsid w:val="4F5F5C7E"/>
    <w:rsid w:val="4F7241B1"/>
    <w:rsid w:val="4FCD04DF"/>
    <w:rsid w:val="4FF7181A"/>
    <w:rsid w:val="4FFE309A"/>
    <w:rsid w:val="507D0BBC"/>
    <w:rsid w:val="507E6B2A"/>
    <w:rsid w:val="51290B58"/>
    <w:rsid w:val="51381763"/>
    <w:rsid w:val="51842D6A"/>
    <w:rsid w:val="51960840"/>
    <w:rsid w:val="51D7639A"/>
    <w:rsid w:val="51E2208C"/>
    <w:rsid w:val="5221572C"/>
    <w:rsid w:val="52265F38"/>
    <w:rsid w:val="52291B63"/>
    <w:rsid w:val="52DF3B64"/>
    <w:rsid w:val="52EF2BDF"/>
    <w:rsid w:val="535B753F"/>
    <w:rsid w:val="535F3A8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B708B6"/>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DF01CA2"/>
    <w:rsid w:val="5E6D6710"/>
    <w:rsid w:val="5E7C5B9B"/>
    <w:rsid w:val="5EA82B76"/>
    <w:rsid w:val="5EB1D3F4"/>
    <w:rsid w:val="5ECB38AD"/>
    <w:rsid w:val="5EDB5F93"/>
    <w:rsid w:val="5F246AEA"/>
    <w:rsid w:val="5F2F10A5"/>
    <w:rsid w:val="5F3B183F"/>
    <w:rsid w:val="5F5617FE"/>
    <w:rsid w:val="5F562031"/>
    <w:rsid w:val="5F774ACC"/>
    <w:rsid w:val="5F9C373E"/>
    <w:rsid w:val="5FBF7263"/>
    <w:rsid w:val="5FCF84ED"/>
    <w:rsid w:val="5FDFC83C"/>
    <w:rsid w:val="5FF7A0DE"/>
    <w:rsid w:val="60017C7C"/>
    <w:rsid w:val="6020741B"/>
    <w:rsid w:val="60695F4D"/>
    <w:rsid w:val="60844CE2"/>
    <w:rsid w:val="608914CC"/>
    <w:rsid w:val="6094289E"/>
    <w:rsid w:val="60A725D1"/>
    <w:rsid w:val="60F11867"/>
    <w:rsid w:val="61035425"/>
    <w:rsid w:val="61492D1C"/>
    <w:rsid w:val="615C16D6"/>
    <w:rsid w:val="618A3DC3"/>
    <w:rsid w:val="61C15430"/>
    <w:rsid w:val="61E46B1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09736E"/>
    <w:rsid w:val="69172000"/>
    <w:rsid w:val="697F1380"/>
    <w:rsid w:val="699A1F8A"/>
    <w:rsid w:val="69A93917"/>
    <w:rsid w:val="69F84725"/>
    <w:rsid w:val="6A4A3BFD"/>
    <w:rsid w:val="6B43739A"/>
    <w:rsid w:val="6BFFA4D9"/>
    <w:rsid w:val="6C196A9A"/>
    <w:rsid w:val="6C590980"/>
    <w:rsid w:val="6C75429C"/>
    <w:rsid w:val="6C7D23DE"/>
    <w:rsid w:val="6C8163CC"/>
    <w:rsid w:val="6C862912"/>
    <w:rsid w:val="6CFA1652"/>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6314ED"/>
    <w:rsid w:val="71753151"/>
    <w:rsid w:val="71867FE1"/>
    <w:rsid w:val="71A73D3E"/>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821727C"/>
    <w:rsid w:val="78243701"/>
    <w:rsid w:val="782E0A91"/>
    <w:rsid w:val="7866291A"/>
    <w:rsid w:val="788E7EA5"/>
    <w:rsid w:val="78F74A7F"/>
    <w:rsid w:val="7922343B"/>
    <w:rsid w:val="7926388B"/>
    <w:rsid w:val="79521C10"/>
    <w:rsid w:val="795E17F1"/>
    <w:rsid w:val="795FF9E4"/>
    <w:rsid w:val="79B25E17"/>
    <w:rsid w:val="79D42C0A"/>
    <w:rsid w:val="79FFF26D"/>
    <w:rsid w:val="7A267238"/>
    <w:rsid w:val="7A30225F"/>
    <w:rsid w:val="7AAE7979"/>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0C489B"/>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1"/>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Default"/>
    <w:next w:val="25"/>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5">
    <w:name w:val="_Style 1"/>
    <w:basedOn w:val="1"/>
    <w:next w:val="1"/>
    <w:qFormat/>
    <w:uiPriority w:val="0"/>
    <w:pPr>
      <w:pBdr>
        <w:top w:val="single" w:color="auto" w:sz="6" w:space="1"/>
      </w:pBdr>
      <w:jc w:val="center"/>
    </w:pPr>
    <w:rPr>
      <w:rFonts w:ascii="Arial" w:eastAsia="宋体"/>
      <w:vanish/>
      <w:sz w:val="16"/>
    </w:rPr>
  </w:style>
  <w:style w:type="paragraph" w:customStyle="1" w:styleId="26">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7">
    <w:name w:val="常用样式（方正仿宋简）"/>
    <w:basedOn w:val="1"/>
    <w:qFormat/>
    <w:uiPriority w:val="0"/>
    <w:pPr>
      <w:spacing w:line="560" w:lineRule="exact"/>
      <w:ind w:firstLine="640"/>
    </w:pPr>
    <w:rPr>
      <w:rFonts w:eastAsia="仿宋"/>
      <w:sz w:val="32"/>
    </w:rPr>
  </w:style>
  <w:style w:type="character" w:customStyle="1" w:styleId="28">
    <w:name w:val="页眉 字符"/>
    <w:basedOn w:val="20"/>
    <w:link w:val="12"/>
    <w:qFormat/>
    <w:uiPriority w:val="99"/>
    <w:rPr>
      <w:sz w:val="18"/>
      <w:szCs w:val="18"/>
    </w:rPr>
  </w:style>
  <w:style w:type="character" w:customStyle="1" w:styleId="29">
    <w:name w:val="页脚 字符"/>
    <w:basedOn w:val="20"/>
    <w:link w:val="11"/>
    <w:qFormat/>
    <w:uiPriority w:val="99"/>
    <w:rPr>
      <w:sz w:val="18"/>
      <w:szCs w:val="18"/>
    </w:rPr>
  </w:style>
  <w:style w:type="character" w:customStyle="1" w:styleId="30">
    <w:name w:val="font11"/>
    <w:basedOn w:val="20"/>
    <w:qFormat/>
    <w:uiPriority w:val="0"/>
    <w:rPr>
      <w:rFonts w:hint="eastAsia" w:ascii="宋体" w:hAnsi="宋体" w:eastAsia="宋体" w:cs="宋体"/>
      <w:color w:val="000000"/>
      <w:sz w:val="21"/>
      <w:szCs w:val="21"/>
      <w:u w:val="none"/>
    </w:rPr>
  </w:style>
  <w:style w:type="character" w:customStyle="1" w:styleId="31">
    <w:name w:val="font01"/>
    <w:basedOn w:val="20"/>
    <w:qFormat/>
    <w:uiPriority w:val="0"/>
    <w:rPr>
      <w:rFonts w:hint="default" w:ascii="Calibri" w:hAnsi="Calibri" w:cs="Calibri"/>
      <w:color w:val="000000"/>
      <w:sz w:val="21"/>
      <w:szCs w:val="21"/>
      <w:u w:val="none"/>
    </w:rPr>
  </w:style>
  <w:style w:type="character" w:customStyle="1" w:styleId="32">
    <w:name w:val="font71"/>
    <w:basedOn w:val="20"/>
    <w:qFormat/>
    <w:uiPriority w:val="0"/>
    <w:rPr>
      <w:rFonts w:hint="eastAsia" w:ascii="仿宋" w:hAnsi="仿宋" w:eastAsia="仿宋" w:cs="仿宋"/>
      <w:b/>
      <w:color w:val="000000"/>
      <w:sz w:val="24"/>
      <w:szCs w:val="24"/>
      <w:u w:val="none"/>
    </w:rPr>
  </w:style>
  <w:style w:type="character" w:customStyle="1" w:styleId="33">
    <w:name w:val="font51"/>
    <w:basedOn w:val="20"/>
    <w:qFormat/>
    <w:uiPriority w:val="0"/>
    <w:rPr>
      <w:rFonts w:hint="eastAsia" w:ascii="仿宋" w:hAnsi="仿宋" w:eastAsia="仿宋" w:cs="仿宋"/>
      <w:color w:val="000000"/>
      <w:sz w:val="24"/>
      <w:szCs w:val="24"/>
      <w:u w:val="none"/>
    </w:rPr>
  </w:style>
  <w:style w:type="character" w:customStyle="1" w:styleId="34">
    <w:name w:val="font31"/>
    <w:basedOn w:val="20"/>
    <w:qFormat/>
    <w:uiPriority w:val="0"/>
    <w:rPr>
      <w:rFonts w:hint="eastAsia" w:ascii="宋体" w:hAnsi="宋体" w:eastAsia="宋体" w:cs="宋体"/>
      <w:b/>
      <w:color w:val="000000"/>
      <w:sz w:val="22"/>
      <w:szCs w:val="22"/>
      <w:u w:val="none"/>
    </w:rPr>
  </w:style>
  <w:style w:type="character" w:customStyle="1" w:styleId="35">
    <w:name w:val="font21"/>
    <w:basedOn w:val="20"/>
    <w:qFormat/>
    <w:uiPriority w:val="0"/>
    <w:rPr>
      <w:rFonts w:hint="eastAsia" w:ascii="宋体" w:hAnsi="宋体" w:eastAsia="宋体" w:cs="宋体"/>
      <w:color w:val="000000"/>
      <w:sz w:val="20"/>
      <w:szCs w:val="20"/>
      <w:u w:val="none"/>
    </w:rPr>
  </w:style>
  <w:style w:type="character" w:customStyle="1" w:styleId="36">
    <w:name w:val="font41"/>
    <w:basedOn w:val="20"/>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0"/>
    <w:link w:val="16"/>
    <w:qFormat/>
    <w:uiPriority w:val="0"/>
    <w:rPr>
      <w:rFonts w:ascii="等线 Light" w:hAnsi="等线 Light" w:eastAsia="等线 Light" w:cs="Times New Roman"/>
      <w:b/>
      <w:bCs/>
      <w:kern w:val="2"/>
      <w:sz w:val="32"/>
      <w:szCs w:val="32"/>
    </w:rPr>
  </w:style>
  <w:style w:type="character" w:customStyle="1" w:styleId="42">
    <w:name w:val="正文文本缩进 字符"/>
    <w:basedOn w:val="20"/>
    <w:link w:val="8"/>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21626c62-736a-4aaf-8f3e-ec8924471aa2</errorID>
      <errorWord>属</errorWord>
      <group>L1_Word</group>
      <groupName>字词问题</groupName>
      <ability>L2_Typo</ability>
      <abilityName>字词错误</abilityName>
      <candidateList>
        <item>属于</item>
      </candidateList>
      <explain/>
      <paraID>4B6C7147</paraID>
      <start>26</start>
      <end>28</end>
      <status>modified</status>
      <modifiedWord>属于</modifiedWord>
      <trackRevisions>false</trackRevisions>
    </reviewItem>
    <reviewItem>
      <errorID>4a6e66ee-069c-4e5e-bc12-d89f6e02d5ab</errorID>
      <errorWord>、党的</errorWord>
      <group>L1_AI</group>
      <groupName>深度校对</groupName>
      <ability>L2_AI_Grammar</ability>
      <abilityName>语法纠错</abilityName>
      <candidateList>
        <item>、</item>
      </candidateList>
      <explain/>
      <paraID>11D0484D</paraID>
      <start>47</start>
      <end>48</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7e4479-fea2-42e2-ae38-f3d069771d76}">
  <ds:schemaRefs/>
</ds:datastoreItem>
</file>

<file path=docProps/app.xml><?xml version="1.0" encoding="utf-8"?>
<Properties xmlns="http://schemas.openxmlformats.org/officeDocument/2006/extended-properties" xmlns:vt="http://schemas.openxmlformats.org/officeDocument/2006/docPropsVTypes">
  <Company>Microsoft</Company>
  <Pages>14</Pages>
  <Words>6063</Words>
  <Characters>6616</Characters>
  <Lines>1</Lines>
  <Paragraphs>1</Paragraphs>
  <TotalTime>4</TotalTime>
  <ScaleCrop>false</ScaleCrop>
  <LinksUpToDate>false</LinksUpToDate>
  <CharactersWithSpaces>6634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2025-12-11T02:33:35Z</cp:lastPrinted>
  <dcterms:modified xsi:type="dcterms:W3CDTF">2025-12-11T02:35:28Z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