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bookmarkStart w:id="0" w:name="_Toc22314"/>
      <w:bookmarkStart w:id="1" w:name="_Toc29524"/>
      <w:bookmarkStart w:id="2" w:name="_Toc14462_WPSOffice_Level1"/>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4FFC4C7C">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2EAB4C0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091B51C1">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0A0F0042">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76DD2394">
      <w:pPr>
        <w:spacing w:line="600" w:lineRule="exact"/>
        <w:ind w:firstLine="0" w:firstLineChars="0"/>
        <w:jc w:val="center"/>
        <w:rPr>
          <w:rFonts w:hint="default" w:ascii="Times New Roman" w:hAnsi="Times New Roman" w:cs="Times New Roman"/>
          <w:sz w:val="32"/>
          <w:szCs w:val="32"/>
          <w:highlight w:val="none"/>
        </w:rPr>
      </w:pPr>
      <w:r>
        <w:rPr>
          <w:rFonts w:hint="default" w:ascii="Times New Roman" w:hAnsi="Times New Roman" w:cs="Times New Roman"/>
          <w:sz w:val="32"/>
          <w:szCs w:val="32"/>
          <w:highlight w:val="none"/>
        </w:rPr>
        <w:t>泸财绩〔2025〕</w:t>
      </w:r>
      <w:r>
        <w:rPr>
          <w:rFonts w:hint="default" w:ascii="Times New Roman" w:hAnsi="Times New Roman" w:cs="Times New Roman"/>
          <w:sz w:val="32"/>
          <w:szCs w:val="32"/>
          <w:highlight w:val="none"/>
          <w:lang w:val="en-US" w:eastAsia="zh-CN"/>
        </w:rPr>
        <w:t>50</w:t>
      </w:r>
      <w:r>
        <w:rPr>
          <w:rFonts w:hint="default" w:ascii="Times New Roman" w:hAnsi="Times New Roman" w:cs="Times New Roman"/>
          <w:sz w:val="32"/>
          <w:szCs w:val="32"/>
          <w:highlight w:val="none"/>
        </w:rPr>
        <w:t>号</w:t>
      </w:r>
    </w:p>
    <w:p w14:paraId="263483FB">
      <w:pPr>
        <w:pStyle w:val="11"/>
        <w:keepNext w:val="0"/>
        <w:keepLines w:val="0"/>
        <w:pageBreakBefore w:val="0"/>
        <w:kinsoku/>
        <w:wordWrap/>
        <w:overflowPunct/>
        <w:topLinePunct w:val="0"/>
        <w:autoSpaceDE/>
        <w:autoSpaceDN/>
        <w:bidi w:val="0"/>
        <w:spacing w:line="600" w:lineRule="exact"/>
        <w:ind w:left="0" w:firstLine="0" w:firstLineChars="0"/>
        <w:rPr>
          <w:rFonts w:hint="default" w:ascii="Times New Roman" w:hAnsi="Times New Roman" w:eastAsia="仿宋" w:cs="Times New Roman"/>
          <w:color w:val="auto"/>
          <w:sz w:val="32"/>
          <w:szCs w:val="32"/>
          <w:highlight w:val="none"/>
        </w:rPr>
      </w:pPr>
    </w:p>
    <w:p w14:paraId="1D9FE89D">
      <w:pPr>
        <w:pStyle w:val="11"/>
        <w:keepNext w:val="0"/>
        <w:keepLines w:val="0"/>
        <w:pageBreakBefore w:val="0"/>
        <w:kinsoku/>
        <w:wordWrap/>
        <w:overflowPunct/>
        <w:topLinePunct w:val="0"/>
        <w:autoSpaceDE/>
        <w:autoSpaceDN/>
        <w:bidi w:val="0"/>
        <w:spacing w:line="600" w:lineRule="exact"/>
        <w:ind w:left="0" w:firstLine="0" w:firstLineChars="0"/>
        <w:rPr>
          <w:rFonts w:hint="default" w:ascii="Times New Roman" w:hAnsi="Times New Roman" w:eastAsia="仿宋" w:cs="Times New Roman"/>
          <w:color w:val="auto"/>
          <w:sz w:val="32"/>
          <w:szCs w:val="32"/>
          <w:highlight w:val="none"/>
        </w:rPr>
      </w:pPr>
    </w:p>
    <w:p w14:paraId="1DA9DDBB">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lang w:eastAsia="zh-CN"/>
        </w:rPr>
      </w:pPr>
      <w:bookmarkStart w:id="3" w:name="_Toc27398"/>
      <w:r>
        <w:rPr>
          <w:rFonts w:hint="eastAsia" w:ascii="方正小标宋简体" w:hAnsi="方正小标宋简体" w:eastAsia="方正小标宋简体" w:cs="方正小标宋简体"/>
          <w:color w:val="auto"/>
          <w:sz w:val="44"/>
          <w:szCs w:val="44"/>
          <w:highlight w:val="none"/>
          <w:lang w:eastAsia="zh-CN"/>
        </w:rPr>
        <w:t>泸定县文学艺术和社会科学界联合会机关</w:t>
      </w:r>
    </w:p>
    <w:p w14:paraId="014B69B0">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lang w:eastAsia="zh"/>
        </w:rPr>
        <w:t>202</w:t>
      </w:r>
      <w:r>
        <w:rPr>
          <w:rFonts w:hint="eastAsia" w:ascii="方正小标宋简体" w:hAnsi="方正小标宋简体" w:eastAsia="方正小标宋简体" w:cs="方正小标宋简体"/>
          <w:color w:val="auto"/>
          <w:sz w:val="44"/>
          <w:szCs w:val="44"/>
          <w:highlight w:val="none"/>
          <w:lang w:val="en-US" w:eastAsia="zh-CN"/>
        </w:rPr>
        <w:t>4</w:t>
      </w:r>
      <w:r>
        <w:rPr>
          <w:rFonts w:hint="eastAsia" w:ascii="方正小标宋简体" w:hAnsi="方正小标宋简体" w:eastAsia="方正小标宋简体" w:cs="方正小标宋简体"/>
          <w:color w:val="auto"/>
          <w:sz w:val="44"/>
          <w:szCs w:val="44"/>
          <w:highlight w:val="none"/>
        </w:rPr>
        <w:t>年部门整体支出绩效评价报告</w:t>
      </w:r>
      <w:bookmarkEnd w:id="0"/>
      <w:bookmarkEnd w:id="1"/>
      <w:bookmarkEnd w:id="3"/>
    </w:p>
    <w:p w14:paraId="394EE5A3">
      <w:pPr>
        <w:pStyle w:val="18"/>
        <w:keepNext w:val="0"/>
        <w:keepLines w:val="0"/>
        <w:pageBreakBefore w:val="0"/>
        <w:kinsoku/>
        <w:wordWrap/>
        <w:overflowPunct/>
        <w:topLinePunct w:val="0"/>
        <w:autoSpaceDE/>
        <w:autoSpaceDN/>
        <w:bidi w:val="0"/>
        <w:spacing w:after="0" w:line="600" w:lineRule="exact"/>
        <w:ind w:left="0" w:firstLine="560"/>
        <w:rPr>
          <w:rFonts w:hint="default" w:ascii="Times New Roman" w:hAnsi="Times New Roman" w:eastAsia="仿宋" w:cs="Times New Roman"/>
          <w:color w:val="auto"/>
          <w:sz w:val="32"/>
          <w:szCs w:val="32"/>
          <w:highlight w:val="none"/>
          <w:lang w:val="fr-FR"/>
        </w:rPr>
      </w:pPr>
    </w:p>
    <w:p w14:paraId="1462D896">
      <w:pPr>
        <w:keepNext w:val="0"/>
        <w:keepLines w:val="0"/>
        <w:pageBreakBefore w:val="0"/>
        <w:kinsoku/>
        <w:wordWrap/>
        <w:overflowPunct/>
        <w:topLinePunct w:val="0"/>
        <w:autoSpaceDE/>
        <w:autoSpaceDN/>
        <w:bidi w:val="0"/>
        <w:spacing w:line="600" w:lineRule="exact"/>
        <w:ind w:left="0" w:leftChars="0" w:right="0" w:rightChars="0" w:firstLine="0" w:firstLineChars="0"/>
        <w:rPr>
          <w:rFonts w:hint="default" w:ascii="Times New Roman" w:hAnsi="Times New Roman" w:eastAsia="方正仿宋_GB2312" w:cs="Times New Roman"/>
          <w:color w:val="auto"/>
          <w:sz w:val="32"/>
          <w:szCs w:val="32"/>
          <w:highlight w:val="none"/>
          <w:lang w:val="fr-FR" w:eastAsia="zh-CN"/>
        </w:rPr>
      </w:pPr>
      <w:bookmarkStart w:id="4" w:name="_Toc8938"/>
      <w:bookmarkStart w:id="5" w:name="_Toc6252"/>
      <w:bookmarkStart w:id="6" w:name="_Toc26210"/>
      <w:r>
        <w:rPr>
          <w:rFonts w:hint="default" w:ascii="Times New Roman" w:hAnsi="Times New Roman" w:eastAsia="方正仿宋_GB2312" w:cs="Times New Roman"/>
          <w:color w:val="auto"/>
          <w:sz w:val="32"/>
          <w:szCs w:val="32"/>
          <w:highlight w:val="none"/>
          <w:lang w:val="fr-FR" w:eastAsia="zh-CN"/>
        </w:rPr>
        <w:t>泸定县文学艺术和社会科学界联合会机关：</w:t>
      </w:r>
    </w:p>
    <w:p w14:paraId="50FB6A35">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fr-FR"/>
        </w:rPr>
      </w:pPr>
      <w:r>
        <w:rPr>
          <w:rFonts w:hint="default" w:ascii="Times New Roman" w:hAnsi="Times New Roman" w:eastAsia="方正仿宋_GB2312" w:cs="Times New Roman"/>
          <w:sz w:val="32"/>
          <w:szCs w:val="32"/>
          <w:highlight w:val="none"/>
        </w:rPr>
        <w:t>根据《泸定县财政局</w:t>
      </w:r>
      <w:r>
        <w:rPr>
          <w:rFonts w:hint="default" w:ascii="Times New Roman" w:hAnsi="Times New Roman" w:eastAsia="方正仿宋_GB2312" w:cs="Times New Roman"/>
          <w:sz w:val="32"/>
          <w:szCs w:val="32"/>
          <w:highlight w:val="none"/>
          <w:lang w:eastAsia="zh"/>
        </w:rPr>
        <w:t>关于开展202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年度部门整体绩效评价工作的通知</w:t>
      </w:r>
      <w:r>
        <w:rPr>
          <w:rFonts w:hint="default" w:ascii="Times New Roman" w:hAnsi="Times New Roman" w:eastAsia="方正仿宋_GB2312" w:cs="Times New Roman"/>
          <w:sz w:val="32"/>
          <w:szCs w:val="32"/>
          <w:highlight w:val="none"/>
        </w:rPr>
        <w:t>》（</w:t>
      </w:r>
      <w:r>
        <w:rPr>
          <w:rFonts w:hint="default" w:ascii="Times New Roman" w:hAnsi="Times New Roman" w:eastAsia="方正仿宋_GB2312" w:cs="Times New Roman"/>
          <w:sz w:val="32"/>
          <w:szCs w:val="32"/>
          <w:highlight w:val="none"/>
          <w:lang w:eastAsia="zh"/>
        </w:rPr>
        <w:t>泸财〔202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w:t>
      </w:r>
      <w:r>
        <w:rPr>
          <w:rFonts w:hint="default" w:ascii="Times New Roman" w:hAnsi="Times New Roman" w:eastAsia="方正仿宋_GB2312" w:cs="Times New Roman"/>
          <w:sz w:val="32"/>
          <w:szCs w:val="32"/>
          <w:highlight w:val="none"/>
        </w:rPr>
        <w:t>67</w:t>
      </w:r>
      <w:r>
        <w:rPr>
          <w:rFonts w:hint="default" w:ascii="Times New Roman" w:hAnsi="Times New Roman" w:eastAsia="方正仿宋_GB2312" w:cs="Times New Roman"/>
          <w:sz w:val="32"/>
          <w:szCs w:val="32"/>
          <w:highlight w:val="none"/>
          <w:lang w:eastAsia="zh"/>
        </w:rPr>
        <w:t>号</w:t>
      </w:r>
      <w:r>
        <w:rPr>
          <w:rFonts w:hint="default" w:ascii="Times New Roman" w:hAnsi="Times New Roman" w:eastAsia="方正仿宋_GB2312" w:cs="Times New Roman"/>
          <w:sz w:val="32"/>
          <w:szCs w:val="32"/>
          <w:highlight w:val="none"/>
        </w:rPr>
        <w:t>）要求，由我局工作人员和第三方机构专业人员组成绩效评价组，</w:t>
      </w:r>
      <w:r>
        <w:rPr>
          <w:rFonts w:hint="default" w:ascii="Times New Roman" w:hAnsi="Times New Roman" w:eastAsia="方正仿宋_GB2312" w:cs="Times New Roman"/>
          <w:color w:val="auto"/>
          <w:sz w:val="32"/>
          <w:szCs w:val="32"/>
          <w:highlight w:val="none"/>
          <w:lang w:val="fr-FR"/>
        </w:rPr>
        <w:t>对</w:t>
      </w:r>
      <w:r>
        <w:rPr>
          <w:rFonts w:hint="default" w:ascii="Times New Roman" w:hAnsi="Times New Roman" w:eastAsia="方正仿宋_GB2312" w:cs="Times New Roman"/>
          <w:color w:val="auto"/>
          <w:sz w:val="32"/>
          <w:szCs w:val="32"/>
          <w:highlight w:val="none"/>
          <w:lang w:val="fr-FR" w:eastAsia="zh-CN"/>
        </w:rPr>
        <w:t>泸定县文学艺术和社会科学界联合会机关</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4年度</w:t>
      </w:r>
      <w:r>
        <w:rPr>
          <w:rFonts w:hint="default" w:ascii="Times New Roman" w:hAnsi="Times New Roman" w:eastAsia="方正仿宋_GB2312" w:cs="Times New Roman"/>
          <w:color w:val="auto"/>
          <w:sz w:val="32"/>
          <w:szCs w:val="32"/>
          <w:highlight w:val="none"/>
        </w:rPr>
        <w:t>部门整体支出进行</w:t>
      </w:r>
      <w:r>
        <w:rPr>
          <w:rFonts w:hint="default" w:ascii="Times New Roman" w:hAnsi="Times New Roman" w:eastAsia="方正仿宋_GB2312" w:cs="Times New Roman"/>
          <w:color w:val="auto"/>
          <w:sz w:val="32"/>
          <w:szCs w:val="32"/>
          <w:highlight w:val="none"/>
          <w:lang w:val="fr-FR"/>
        </w:rPr>
        <w:t>绩效评价。</w:t>
      </w:r>
      <w:r>
        <w:rPr>
          <w:rFonts w:hint="default" w:ascii="Times New Roman" w:hAnsi="Times New Roman" w:eastAsia="方正仿宋_GB2312" w:cs="Times New Roman"/>
          <w:color w:val="auto"/>
          <w:sz w:val="32"/>
          <w:szCs w:val="32"/>
          <w:highlight w:val="none"/>
          <w:lang w:val="fr-FR" w:eastAsia="zh-CN"/>
        </w:rPr>
        <w:t>泸定县文学艺术和社会科学界联合会机关</w:t>
      </w:r>
      <w:r>
        <w:rPr>
          <w:rFonts w:hint="default" w:ascii="Times New Roman" w:hAnsi="Times New Roman" w:eastAsia="方正仿宋_GB2312" w:cs="Times New Roman"/>
          <w:color w:val="auto"/>
          <w:sz w:val="32"/>
          <w:szCs w:val="32"/>
          <w:highlight w:val="none"/>
          <w:lang w:val="fr-FR"/>
        </w:rPr>
        <w:t>对其提供的绩效评价相关资料的真实性、合法性和完整性负责；我们的责任是依据《中共中央 国务院关于全面实施预算绩效管理的意见》（中发〔2018〕34号）、《中共四川省委 四川省人民政府关于全面实施预算绩效管理的实施意见》（川委发〔201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〕8号）、《中共甘孜州委办公室 甘孜州人民政府办公室关于印发</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甘孜州全面实施预算绩效管理工作实施方案</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的通知》（甘委办〔201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〕120号）</w:t>
      </w:r>
      <w:r>
        <w:rPr>
          <w:rFonts w:hint="default" w:ascii="Times New Roman" w:hAnsi="Times New Roman" w:eastAsia="方正仿宋_GB2312" w:cs="Times New Roman"/>
          <w:color w:val="auto"/>
          <w:sz w:val="32"/>
          <w:szCs w:val="32"/>
          <w:highlight w:val="none"/>
          <w:lang w:val="en-US" w:eastAsia="zh-CN"/>
        </w:rPr>
        <w:t>文件的</w:t>
      </w:r>
      <w:r>
        <w:rPr>
          <w:rFonts w:hint="default" w:ascii="Times New Roman" w:hAnsi="Times New Roman" w:eastAsia="方正仿宋_GB2312" w:cs="Times New Roman"/>
          <w:color w:val="auto"/>
          <w:sz w:val="32"/>
          <w:szCs w:val="32"/>
          <w:highlight w:val="none"/>
          <w:lang w:val="fr-FR"/>
        </w:rPr>
        <w:t>要求，结合</w:t>
      </w:r>
      <w:r>
        <w:rPr>
          <w:rFonts w:hint="default" w:ascii="Times New Roman" w:hAnsi="Times New Roman" w:eastAsia="方正仿宋_GB2312" w:cs="Times New Roman"/>
          <w:color w:val="auto"/>
          <w:sz w:val="32"/>
          <w:szCs w:val="32"/>
          <w:highlight w:val="none"/>
          <w:lang w:val="fr-FR" w:eastAsia="zh-CN"/>
        </w:rPr>
        <w:t>泸定县文学艺术和社会科学界联合会机关</w:t>
      </w:r>
      <w:r>
        <w:rPr>
          <w:rFonts w:hint="default" w:ascii="Times New Roman" w:hAnsi="Times New Roman" w:eastAsia="方正仿宋_GB2312" w:cs="Times New Roman"/>
          <w:color w:val="auto"/>
          <w:sz w:val="32"/>
          <w:szCs w:val="32"/>
          <w:highlight w:val="none"/>
          <w:lang w:val="fr-FR"/>
        </w:rPr>
        <w:t>的实际情况，对</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年部门整体支出</w:t>
      </w:r>
      <w:r>
        <w:rPr>
          <w:rFonts w:hint="default" w:ascii="Times New Roman" w:hAnsi="Times New Roman" w:eastAsia="方正仿宋_GB2312" w:cs="Times New Roman"/>
          <w:color w:val="auto"/>
          <w:sz w:val="32"/>
          <w:szCs w:val="32"/>
          <w:highlight w:val="none"/>
          <w:lang w:val="fr-FR"/>
        </w:rPr>
        <w:t>进行绩效评价，并出具绩效评价报告，现将相关情况报告如下：</w:t>
      </w:r>
      <w:bookmarkEnd w:id="4"/>
      <w:bookmarkEnd w:id="5"/>
      <w:bookmarkEnd w:id="6"/>
      <w:bookmarkStart w:id="7" w:name="_Toc12185"/>
      <w:bookmarkStart w:id="8" w:name="_Toc8555"/>
      <w:bookmarkStart w:id="9" w:name="_Toc109483833"/>
    </w:p>
    <w:p w14:paraId="1CE7ED0B">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lang w:eastAsia="zh-CN"/>
        </w:rPr>
      </w:pPr>
      <w:bookmarkStart w:id="10" w:name="_Toc799907804"/>
      <w:bookmarkStart w:id="11" w:name="_Toc26009"/>
      <w:bookmarkStart w:id="12" w:name="_Toc4351"/>
      <w:bookmarkStart w:id="13" w:name="_Toc18579"/>
      <w:bookmarkStart w:id="14" w:name="_Toc10147"/>
      <w:bookmarkStart w:id="15" w:name="_Toc15220"/>
      <w:bookmarkStart w:id="16" w:name="_Toc27571"/>
      <w:bookmarkStart w:id="17" w:name="_Toc12546"/>
      <w:r>
        <w:rPr>
          <w:rFonts w:hint="default" w:ascii="Times New Roman" w:hAnsi="Times New Roman" w:eastAsia="方正黑体简体" w:cs="Times New Roman"/>
          <w:color w:val="auto"/>
          <w:kern w:val="0"/>
          <w:sz w:val="32"/>
          <w:szCs w:val="32"/>
          <w:highlight w:val="none"/>
          <w:shd w:val="clear" w:color="auto" w:fill="FFFFFF"/>
        </w:rPr>
        <w:t>一、</w:t>
      </w:r>
      <w:bookmarkEnd w:id="7"/>
      <w:bookmarkEnd w:id="8"/>
      <w:r>
        <w:rPr>
          <w:rFonts w:hint="default" w:ascii="Times New Roman" w:hAnsi="Times New Roman" w:eastAsia="方正黑体简体" w:cs="Times New Roman"/>
          <w:color w:val="auto"/>
          <w:kern w:val="0"/>
          <w:sz w:val="32"/>
          <w:szCs w:val="32"/>
          <w:highlight w:val="none"/>
          <w:shd w:val="clear" w:color="auto" w:fill="FFFFFF"/>
        </w:rPr>
        <w:t>部门</w:t>
      </w:r>
      <w:bookmarkEnd w:id="9"/>
      <w:bookmarkEnd w:id="10"/>
      <w:bookmarkEnd w:id="11"/>
      <w:bookmarkStart w:id="18" w:name="_Toc109483834"/>
      <w:bookmarkStart w:id="19" w:name="_Toc30550"/>
      <w:bookmarkStart w:id="20" w:name="_Toc16549"/>
      <w:r>
        <w:rPr>
          <w:rFonts w:hint="default" w:ascii="Times New Roman" w:hAnsi="Times New Roman" w:eastAsia="方正黑体简体" w:cs="Times New Roman"/>
          <w:color w:val="auto"/>
          <w:kern w:val="0"/>
          <w:sz w:val="32"/>
          <w:szCs w:val="32"/>
          <w:highlight w:val="none"/>
          <w:shd w:val="clear" w:color="auto" w:fill="FFFFFF"/>
          <w:lang w:val="en-US" w:eastAsia="zh-CN"/>
        </w:rPr>
        <w:t>概况</w:t>
      </w:r>
      <w:bookmarkEnd w:id="12"/>
      <w:bookmarkEnd w:id="13"/>
      <w:bookmarkEnd w:id="14"/>
      <w:bookmarkEnd w:id="15"/>
      <w:bookmarkEnd w:id="16"/>
      <w:bookmarkEnd w:id="17"/>
    </w:p>
    <w:p w14:paraId="20C60406">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21" w:name="_Toc419097264"/>
      <w:bookmarkStart w:id="22" w:name="_Toc7513"/>
      <w:bookmarkStart w:id="23" w:name="_Toc2337"/>
      <w:bookmarkStart w:id="24" w:name="_Toc18535"/>
      <w:bookmarkStart w:id="25" w:name="_Toc24161"/>
      <w:bookmarkStart w:id="26" w:name="_Toc20865"/>
      <w:bookmarkStart w:id="27" w:name="_Toc19098"/>
      <w:bookmarkStart w:id="28" w:name="_Toc11769"/>
      <w:r>
        <w:rPr>
          <w:rFonts w:hint="default" w:ascii="Times New Roman" w:hAnsi="Times New Roman" w:eastAsia="方正楷体简体" w:cs="Times New Roman"/>
          <w:color w:val="auto"/>
          <w:kern w:val="2"/>
          <w:sz w:val="32"/>
          <w:szCs w:val="32"/>
          <w:highlight w:val="none"/>
          <w:shd w:val="clear"/>
          <w:lang w:val="zh-CN"/>
        </w:rPr>
        <w:t>（一）</w:t>
      </w:r>
      <w:bookmarkEnd w:id="18"/>
      <w:bookmarkEnd w:id="19"/>
      <w:bookmarkEnd w:id="20"/>
      <w:bookmarkEnd w:id="21"/>
      <w:bookmarkEnd w:id="22"/>
      <w:r>
        <w:rPr>
          <w:rFonts w:hint="default" w:ascii="Times New Roman" w:hAnsi="Times New Roman" w:eastAsia="方正楷体简体" w:cs="Times New Roman"/>
          <w:color w:val="auto"/>
          <w:kern w:val="2"/>
          <w:sz w:val="32"/>
          <w:szCs w:val="32"/>
          <w:highlight w:val="none"/>
          <w:shd w:val="clear"/>
          <w:lang w:val="zh-CN" w:eastAsia="zh-CN"/>
        </w:rPr>
        <w:t>部门基本情况</w:t>
      </w:r>
      <w:bookmarkEnd w:id="23"/>
      <w:bookmarkEnd w:id="24"/>
      <w:bookmarkEnd w:id="25"/>
      <w:bookmarkEnd w:id="26"/>
      <w:bookmarkEnd w:id="27"/>
      <w:bookmarkEnd w:id="28"/>
    </w:p>
    <w:p w14:paraId="05FA19E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fr-FR" w:eastAsia="zh-CN"/>
        </w:rPr>
      </w:pPr>
      <w:bookmarkStart w:id="29" w:name="_Toc109483835"/>
      <w:r>
        <w:rPr>
          <w:rFonts w:hint="default" w:ascii="Times New Roman" w:hAnsi="Times New Roman" w:eastAsia="方正仿宋_GB2312" w:cs="Times New Roman"/>
          <w:color w:val="auto"/>
          <w:sz w:val="32"/>
          <w:szCs w:val="32"/>
          <w:highlight w:val="none"/>
          <w:lang w:val="fr-FR" w:eastAsia="zh-CN"/>
        </w:rPr>
        <w:t>泸定县文学艺术和社会科学界联合会机关</w:t>
      </w:r>
      <w:r>
        <w:rPr>
          <w:rFonts w:hint="default" w:ascii="Times New Roman" w:hAnsi="Times New Roman" w:eastAsia="方正仿宋_GB2312" w:cs="Times New Roman"/>
          <w:color w:val="auto"/>
          <w:sz w:val="32"/>
          <w:szCs w:val="32"/>
          <w:highlight w:val="none"/>
          <w:lang w:val="en-US" w:eastAsia="zh-CN"/>
        </w:rPr>
        <w:t>（以下简称县文联）</w:t>
      </w:r>
      <w:r>
        <w:rPr>
          <w:rFonts w:hint="default" w:ascii="Times New Roman" w:hAnsi="Times New Roman" w:eastAsia="方正仿宋_GB2312" w:cs="Times New Roman"/>
          <w:color w:val="auto"/>
          <w:sz w:val="32"/>
          <w:szCs w:val="32"/>
          <w:highlight w:val="none"/>
          <w:lang w:val="fr-FR" w:eastAsia="zh-CN"/>
        </w:rPr>
        <w:t>，属财政补助（收支统管、全额保障）的一级预算单位，机构性质：</w:t>
      </w:r>
      <w:r>
        <w:rPr>
          <w:rFonts w:hint="default" w:ascii="Times New Roman" w:hAnsi="Times New Roman" w:eastAsia="方正仿宋_GB2312" w:cs="Times New Roman"/>
          <w:color w:val="auto"/>
          <w:sz w:val="32"/>
          <w:szCs w:val="32"/>
          <w:highlight w:val="none"/>
          <w:lang w:val="en-US" w:eastAsia="zh-CN"/>
        </w:rPr>
        <w:t>群众团体</w:t>
      </w:r>
      <w:r>
        <w:rPr>
          <w:rFonts w:hint="default" w:ascii="Times New Roman" w:hAnsi="Times New Roman" w:eastAsia="方正仿宋_GB2312" w:cs="Times New Roman"/>
          <w:color w:val="auto"/>
          <w:sz w:val="32"/>
          <w:szCs w:val="32"/>
          <w:highlight w:val="none"/>
          <w:lang w:val="fr-FR" w:eastAsia="zh-CN"/>
        </w:rPr>
        <w:t>；单位负责人：</w:t>
      </w:r>
      <w:r>
        <w:rPr>
          <w:rFonts w:hint="default" w:ascii="Times New Roman" w:hAnsi="Times New Roman" w:eastAsia="方正仿宋_GB2312" w:cs="Times New Roman"/>
          <w:color w:val="auto"/>
          <w:sz w:val="32"/>
          <w:szCs w:val="32"/>
          <w:highlight w:val="none"/>
          <w:lang w:val="en-US" w:eastAsia="zh-CN"/>
        </w:rPr>
        <w:t>李丙虎</w:t>
      </w:r>
      <w:r>
        <w:rPr>
          <w:rFonts w:hint="default" w:ascii="Times New Roman" w:hAnsi="Times New Roman" w:eastAsia="方正仿宋_GB2312" w:cs="Times New Roman"/>
          <w:color w:val="auto"/>
          <w:sz w:val="32"/>
          <w:szCs w:val="32"/>
          <w:highlight w:val="none"/>
          <w:lang w:val="fr-FR" w:eastAsia="zh-CN"/>
        </w:rPr>
        <w:t>；统一社会信用代码：13513322MB1J57794C；单位所在地：四川省甘孜藏族自治州泸定县泸桥镇</w:t>
      </w:r>
      <w:r>
        <w:rPr>
          <w:rFonts w:hint="default" w:ascii="Times New Roman" w:hAnsi="Times New Roman" w:eastAsia="方正仿宋_GB2312" w:cs="Times New Roman"/>
          <w:color w:val="auto"/>
          <w:sz w:val="32"/>
          <w:szCs w:val="32"/>
          <w:highlight w:val="none"/>
          <w:lang w:val="en-US" w:eastAsia="zh-CN"/>
        </w:rPr>
        <w:t>红军</w:t>
      </w:r>
      <w:r>
        <w:rPr>
          <w:rFonts w:hint="default" w:ascii="Times New Roman" w:hAnsi="Times New Roman" w:eastAsia="方正仿宋_GB2312" w:cs="Times New Roman"/>
          <w:color w:val="auto"/>
          <w:sz w:val="32"/>
          <w:szCs w:val="32"/>
          <w:highlight w:val="none"/>
          <w:lang w:val="fr-FR" w:eastAsia="zh-CN"/>
        </w:rPr>
        <w:t xml:space="preserve">路97号。 </w:t>
      </w:r>
    </w:p>
    <w:p w14:paraId="5FA54FAF">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
        </w:rPr>
      </w:pPr>
      <w:bookmarkStart w:id="30" w:name="_Toc1278"/>
      <w:bookmarkStart w:id="31" w:name="_Toc31223"/>
      <w:bookmarkStart w:id="32" w:name="_Toc17750"/>
      <w:bookmarkStart w:id="33" w:name="_Toc16904"/>
      <w:bookmarkStart w:id="34" w:name="_Toc28538"/>
      <w:bookmarkStart w:id="35" w:name="_Toc26703"/>
      <w:r>
        <w:rPr>
          <w:rFonts w:hint="default" w:ascii="Times New Roman" w:hAnsi="Times New Roman" w:eastAsia="方正楷体简体" w:cs="Times New Roman"/>
          <w:color w:val="auto"/>
          <w:kern w:val="2"/>
          <w:sz w:val="32"/>
          <w:szCs w:val="32"/>
          <w:highlight w:val="none"/>
          <w:shd w:val="clear"/>
          <w:lang w:val="zh-CN" w:eastAsia="zh-CN"/>
        </w:rPr>
        <w:t>（二）部门</w:t>
      </w:r>
      <w:bookmarkEnd w:id="30"/>
      <w:bookmarkEnd w:id="31"/>
      <w:bookmarkEnd w:id="32"/>
      <w:r>
        <w:rPr>
          <w:rFonts w:hint="default" w:ascii="Times New Roman" w:hAnsi="Times New Roman" w:eastAsia="方正楷体简体" w:cs="Times New Roman"/>
          <w:color w:val="auto"/>
          <w:kern w:val="2"/>
          <w:sz w:val="32"/>
          <w:szCs w:val="32"/>
          <w:highlight w:val="none"/>
          <w:shd w:val="clear"/>
          <w:lang w:val="zh-CN" w:eastAsia="zh"/>
        </w:rPr>
        <w:t>内设机构及人员概况</w:t>
      </w:r>
      <w:bookmarkEnd w:id="33"/>
      <w:bookmarkEnd w:id="34"/>
      <w:bookmarkEnd w:id="35"/>
    </w:p>
    <w:p w14:paraId="20FA589F">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（1）内设机构。县文联内设机构1个：办公室，无二级预算单位。</w:t>
      </w:r>
    </w:p>
    <w:p w14:paraId="7997714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（2）人员概况。截至2024年末，县文联单位编制内人数3人（其中设主席1名），实有在职3人。</w:t>
      </w:r>
    </w:p>
    <w:p w14:paraId="2171EDF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36" w:name="_Toc16978"/>
      <w:bookmarkStart w:id="37" w:name="_Toc568184988"/>
      <w:bookmarkStart w:id="38" w:name="_Toc22604"/>
      <w:bookmarkStart w:id="39" w:name="_Toc16740"/>
      <w:bookmarkStart w:id="40" w:name="_Toc21223"/>
      <w:bookmarkStart w:id="41" w:name="_Toc12241"/>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zh-CN" w:eastAsia="zh-CN"/>
        </w:rPr>
        <w:t>三</w:t>
      </w:r>
      <w:r>
        <w:rPr>
          <w:rFonts w:hint="default" w:ascii="Times New Roman" w:hAnsi="Times New Roman" w:eastAsia="方正楷体简体" w:cs="Times New Roman"/>
          <w:color w:val="auto"/>
          <w:kern w:val="2"/>
          <w:sz w:val="32"/>
          <w:szCs w:val="32"/>
          <w:highlight w:val="none"/>
          <w:shd w:val="clear"/>
          <w:lang w:val="zh-CN"/>
        </w:rPr>
        <w:t>）</w:t>
      </w:r>
      <w:bookmarkEnd w:id="29"/>
      <w:bookmarkEnd w:id="36"/>
      <w:bookmarkEnd w:id="37"/>
      <w:r>
        <w:rPr>
          <w:rFonts w:hint="default" w:ascii="Times New Roman" w:hAnsi="Times New Roman" w:eastAsia="方正楷体简体" w:cs="Times New Roman"/>
          <w:color w:val="auto"/>
          <w:kern w:val="2"/>
          <w:sz w:val="32"/>
          <w:szCs w:val="32"/>
          <w:highlight w:val="none"/>
          <w:shd w:val="clear"/>
          <w:lang w:val="zh-CN" w:eastAsia="zh-CN"/>
        </w:rPr>
        <w:t>部门职能职责</w:t>
      </w:r>
      <w:bookmarkEnd w:id="38"/>
      <w:bookmarkEnd w:id="39"/>
      <w:bookmarkEnd w:id="40"/>
      <w:bookmarkEnd w:id="41"/>
    </w:p>
    <w:p w14:paraId="10DEF07B">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fr-FR" w:eastAsia="zh-CN"/>
        </w:rPr>
      </w:pPr>
      <w:bookmarkStart w:id="42" w:name="_Toc33"/>
      <w:bookmarkStart w:id="43" w:name="_Toc109483836"/>
      <w:r>
        <w:rPr>
          <w:rFonts w:hint="default" w:ascii="Times New Roman" w:hAnsi="Times New Roman" w:eastAsia="方正仿宋_GB2312" w:cs="Times New Roman"/>
          <w:color w:val="auto"/>
          <w:sz w:val="32"/>
          <w:szCs w:val="32"/>
          <w:highlight w:val="none"/>
          <w:lang w:val="fr-FR" w:eastAsia="zh-CN"/>
        </w:rPr>
        <w:t>县文联的主要职责是：</w:t>
      </w:r>
    </w:p>
    <w:p w14:paraId="0E04FF00">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1.宣传并贯彻执行党在文学艺术、社会科学方面的路线、方针、政策和国家法律法规，听取和反映文艺界、科学界的情况、意见等。</w:t>
      </w:r>
    </w:p>
    <w:p w14:paraId="6760F47D">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2.组织、协调、指导文学艺术界、社会科学界的各类会议、各类活动和学术研究交流等；组织开展各类文艺和社会科学优秀科研成果的评选活动，协调部分获奖成果的出版、宣传、推广工作。</w:t>
      </w:r>
    </w:p>
    <w:p w14:paraId="7668134C">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3.拟定并组织实施文学艺术、社会科学方面的各类规划、计划，协调好党同各文学艺术、社会科学团体的联络、联系以及各团体之间的联系协作等，承担桥梁纽带作用。</w:t>
      </w:r>
    </w:p>
    <w:p w14:paraId="54797313">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4.开展维护文学艺术界、社会科学界各类团体和专业人才的合法、正当权益工作。</w:t>
      </w:r>
    </w:p>
    <w:p w14:paraId="115730AA">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5.承担县委、县政府交办的其他任务。</w:t>
      </w:r>
    </w:p>
    <w:p w14:paraId="069C751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lang w:val="zh-CN"/>
        </w:rPr>
      </w:pPr>
      <w:bookmarkStart w:id="44" w:name="_Toc14896"/>
      <w:bookmarkStart w:id="45" w:name="_Toc1218480988"/>
      <w:bookmarkStart w:id="46" w:name="_Toc22594"/>
      <w:bookmarkStart w:id="47" w:name="_Toc13707"/>
      <w:bookmarkStart w:id="48" w:name="_Toc5982"/>
      <w:bookmarkStart w:id="49" w:name="_Toc15163"/>
      <w:bookmarkStart w:id="50" w:name="_Toc26564"/>
      <w:bookmarkStart w:id="51" w:name="_Toc16871"/>
      <w:r>
        <w:rPr>
          <w:rFonts w:hint="default" w:ascii="Times New Roman" w:hAnsi="Times New Roman" w:eastAsia="方正黑体简体" w:cs="Times New Roman"/>
          <w:color w:val="auto"/>
          <w:kern w:val="0"/>
          <w:sz w:val="32"/>
          <w:szCs w:val="32"/>
          <w:highlight w:val="none"/>
          <w:shd w:val="clear" w:color="auto" w:fill="FFFFFF"/>
          <w:lang w:val="zh-CN"/>
        </w:rPr>
        <w:t>二、</w:t>
      </w:r>
      <w:r>
        <w:rPr>
          <w:rFonts w:hint="default" w:ascii="Times New Roman" w:hAnsi="Times New Roman" w:eastAsia="方正黑体简体" w:cs="Times New Roman"/>
          <w:color w:val="auto"/>
          <w:kern w:val="0"/>
          <w:sz w:val="32"/>
          <w:szCs w:val="32"/>
          <w:highlight w:val="none"/>
          <w:shd w:val="clear" w:color="auto" w:fill="FFFFFF"/>
          <w:lang w:val="en-US" w:eastAsia="zh-CN"/>
        </w:rPr>
        <w:t>部门收支</w:t>
      </w:r>
      <w:r>
        <w:rPr>
          <w:rFonts w:hint="default" w:ascii="Times New Roman" w:hAnsi="Times New Roman" w:eastAsia="方正黑体简体" w:cs="Times New Roman"/>
          <w:color w:val="auto"/>
          <w:kern w:val="0"/>
          <w:sz w:val="32"/>
          <w:szCs w:val="32"/>
          <w:highlight w:val="none"/>
          <w:shd w:val="clear" w:color="auto" w:fill="FFFFFF"/>
          <w:lang w:val="zh-CN"/>
        </w:rPr>
        <w:t>情况</w:t>
      </w:r>
      <w:bookmarkEnd w:id="42"/>
      <w:bookmarkEnd w:id="43"/>
      <w:bookmarkEnd w:id="44"/>
      <w:bookmarkEnd w:id="45"/>
      <w:bookmarkEnd w:id="46"/>
      <w:bookmarkEnd w:id="47"/>
      <w:bookmarkEnd w:id="48"/>
      <w:bookmarkEnd w:id="49"/>
      <w:bookmarkEnd w:id="50"/>
      <w:bookmarkEnd w:id="51"/>
      <w:bookmarkStart w:id="52" w:name="_Toc109483837"/>
      <w:bookmarkStart w:id="53" w:name="_Toc2659"/>
    </w:p>
    <w:bookmarkEnd w:id="52"/>
    <w:bookmarkEnd w:id="53"/>
    <w:p w14:paraId="24BA0DDE">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rPr>
      </w:pPr>
      <w:bookmarkStart w:id="54" w:name="_Toc29180"/>
      <w:bookmarkStart w:id="55" w:name="_Toc11105"/>
      <w:bookmarkStart w:id="56" w:name="_Toc32369"/>
      <w:bookmarkStart w:id="57" w:name="_Toc21428"/>
      <w:bookmarkStart w:id="58" w:name="_Toc1949541301"/>
      <w:bookmarkStart w:id="59" w:name="_Toc15898"/>
      <w:bookmarkStart w:id="60" w:name="_Toc25866"/>
      <w:bookmarkStart w:id="61" w:name="_Toc2374"/>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fr-FR"/>
        </w:rPr>
        <w:t>一</w:t>
      </w:r>
      <w:r>
        <w:rPr>
          <w:rFonts w:hint="default" w:ascii="Times New Roman" w:hAnsi="Times New Roman" w:eastAsia="方正楷体简体" w:cs="Times New Roman"/>
          <w:color w:val="auto"/>
          <w:kern w:val="2"/>
          <w:sz w:val="32"/>
          <w:szCs w:val="32"/>
          <w:highlight w:val="none"/>
          <w:shd w:val="clear"/>
          <w:lang w:val="zh-CN"/>
        </w:rPr>
        <w:t>）收入情况</w:t>
      </w:r>
      <w:bookmarkEnd w:id="54"/>
      <w:bookmarkEnd w:id="55"/>
      <w:bookmarkEnd w:id="56"/>
      <w:bookmarkEnd w:id="57"/>
      <w:bookmarkEnd w:id="58"/>
      <w:bookmarkEnd w:id="59"/>
      <w:bookmarkEnd w:id="60"/>
      <w:bookmarkEnd w:id="61"/>
      <w:bookmarkStart w:id="62" w:name="_Toc19132"/>
    </w:p>
    <w:bookmarkEnd w:id="62"/>
    <w:p w14:paraId="412DDDD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bookmarkStart w:id="63" w:name="_Toc19326"/>
      <w:bookmarkStart w:id="64" w:name="_Toc21171"/>
      <w:bookmarkStart w:id="65" w:name="_Toc349786989"/>
      <w:bookmarkStart w:id="66" w:name="_Toc17751"/>
      <w:bookmarkStart w:id="67" w:name="_Toc27782"/>
      <w:bookmarkStart w:id="68" w:name="_Toc27073"/>
      <w:bookmarkStart w:id="69" w:name="_Toc109483838"/>
      <w:r>
        <w:rPr>
          <w:rFonts w:hint="default" w:ascii="Times New Roman" w:hAnsi="Times New Roman" w:eastAsia="方正仿宋_GB2312" w:cs="Times New Roman"/>
          <w:color w:val="auto"/>
          <w:sz w:val="32"/>
          <w:szCs w:val="32"/>
          <w:highlight w:val="none"/>
          <w:lang w:val="en-US" w:eastAsia="zh-CN"/>
        </w:rPr>
        <w:t>年初预算反映，县文联2024年预算收入合计63.94万元，上年结转结余0.00万元，无预算调整。本年收入63.94万元，全部为一般公共预算财政拨款收入。</w:t>
      </w:r>
    </w:p>
    <w:p w14:paraId="001FEF04">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zh-CN" w:eastAsia="zh"/>
        </w:rPr>
      </w:pPr>
      <w:r>
        <w:rPr>
          <w:rFonts w:hint="default" w:ascii="Times New Roman" w:hAnsi="Times New Roman" w:eastAsia="方正仿宋_GB2312" w:cs="Times New Roman"/>
          <w:color w:val="auto"/>
          <w:sz w:val="32"/>
          <w:szCs w:val="32"/>
          <w:highlight w:val="none"/>
          <w:lang w:val="en-US" w:eastAsia="zh-CN"/>
        </w:rPr>
        <w:t>决算报表反映，县文联2024年决算收入合计76.52万元，全部为一般公共预算财政拨款收入，无年初结转和结余</w:t>
      </w:r>
      <w:r>
        <w:rPr>
          <w:rFonts w:hint="default" w:ascii="Times New Roman" w:hAnsi="Times New Roman" w:eastAsia="方正仿宋_GB2312" w:cs="Times New Roman"/>
          <w:color w:val="auto"/>
          <w:sz w:val="32"/>
          <w:szCs w:val="32"/>
          <w:highlight w:val="none"/>
          <w:lang w:val="zh-CN" w:eastAsia="zh"/>
        </w:rPr>
        <w:t>。</w:t>
      </w:r>
    </w:p>
    <w:p w14:paraId="53A3587D">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rPr>
      </w:pPr>
      <w:bookmarkStart w:id="70" w:name="_Toc16309"/>
      <w:bookmarkStart w:id="71" w:name="_Toc30600"/>
      <w:bookmarkStart w:id="72" w:name="_Toc15130"/>
      <w:r>
        <w:rPr>
          <w:rFonts w:hint="default" w:ascii="Times New Roman" w:hAnsi="Times New Roman" w:eastAsia="方正楷体简体" w:cs="Times New Roman"/>
          <w:color w:val="auto"/>
          <w:kern w:val="2"/>
          <w:sz w:val="32"/>
          <w:szCs w:val="32"/>
          <w:highlight w:val="none"/>
          <w:shd w:val="clear"/>
          <w:lang w:val="zh-CN"/>
        </w:rPr>
        <w:t>（二）支出情况</w:t>
      </w:r>
      <w:bookmarkEnd w:id="63"/>
      <w:bookmarkEnd w:id="64"/>
      <w:bookmarkEnd w:id="65"/>
      <w:bookmarkEnd w:id="66"/>
      <w:bookmarkEnd w:id="67"/>
      <w:bookmarkEnd w:id="68"/>
      <w:bookmarkEnd w:id="69"/>
      <w:bookmarkEnd w:id="70"/>
      <w:bookmarkEnd w:id="71"/>
      <w:bookmarkEnd w:id="72"/>
    </w:p>
    <w:p w14:paraId="190EFD14">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bookmarkStart w:id="73" w:name="_Toc24721"/>
      <w:bookmarkStart w:id="74" w:name="_Toc10837"/>
      <w:bookmarkStart w:id="75" w:name="_Toc18390"/>
      <w:bookmarkStart w:id="76" w:name="_Toc109483839"/>
      <w:bookmarkStart w:id="77" w:name="_Toc13841"/>
      <w:bookmarkStart w:id="78" w:name="_Toc809"/>
      <w:bookmarkStart w:id="79" w:name="_Toc1457008154"/>
      <w:r>
        <w:rPr>
          <w:rFonts w:hint="default" w:ascii="Times New Roman" w:hAnsi="Times New Roman" w:eastAsia="方正仿宋_GB2312" w:cs="Times New Roman"/>
          <w:color w:val="auto"/>
          <w:sz w:val="32"/>
          <w:szCs w:val="32"/>
          <w:highlight w:val="none"/>
          <w:lang w:val="en-US" w:eastAsia="zh-CN"/>
        </w:rPr>
        <w:t>年初预算反映，县文联2024年预算支出合计63.94万元，无年末结转和结余。本年支出中：基本支出53.94万元（人员经费50.74万元、公用经费3.20万元），项目支出10.00万元。</w:t>
      </w:r>
    </w:p>
    <w:p w14:paraId="70A2FEF6">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决算报表反映，县文联2024年决算支出合计76.52万元，均为本年支出，无年末结转和结余。本年支出中：基本支出67.94万元（人员经费64.85万元、公用经费3.10万元），项目支出8.58万元。</w:t>
      </w:r>
    </w:p>
    <w:p w14:paraId="03B600DB">
      <w:pPr>
        <w:spacing w:line="360" w:lineRule="auto"/>
        <w:ind w:firstLine="640"/>
        <w:rPr>
          <w:rFonts w:hint="default" w:ascii="Times New Roman" w:hAnsi="Times New Roman" w:eastAsia="方正楷体简体" w:cs="Times New Roman"/>
          <w:color w:val="auto"/>
          <w:sz w:val="32"/>
          <w:szCs w:val="32"/>
          <w:highlight w:val="none"/>
          <w:lang w:val="zh-CN" w:eastAsia="zh-CN"/>
        </w:rPr>
      </w:pPr>
      <w:r>
        <w:rPr>
          <w:rFonts w:hint="default" w:ascii="Times New Roman" w:hAnsi="Times New Roman" w:eastAsia="方正楷体简体" w:cs="Times New Roman"/>
          <w:color w:val="auto"/>
          <w:sz w:val="32"/>
          <w:szCs w:val="32"/>
          <w:highlight w:val="none"/>
          <w:lang w:val="zh-CN" w:eastAsia="zh-CN"/>
        </w:rPr>
        <w:t>（三）结余分配和结转结余情况</w:t>
      </w:r>
    </w:p>
    <w:p w14:paraId="2889119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决算报表反映，县文联2024年末无结余分配和结转结余。</w:t>
      </w:r>
    </w:p>
    <w:p w14:paraId="4BC19A9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lang w:val="en-US" w:eastAsia="zh-CN"/>
        </w:rPr>
      </w:pPr>
      <w:bookmarkStart w:id="80" w:name="_Toc10974"/>
      <w:bookmarkStart w:id="81" w:name="_Toc16353"/>
      <w:bookmarkStart w:id="82" w:name="_Toc7705"/>
      <w:r>
        <w:rPr>
          <w:rFonts w:hint="default" w:ascii="Times New Roman" w:hAnsi="Times New Roman" w:eastAsia="方正黑体简体" w:cs="Times New Roman"/>
          <w:color w:val="auto"/>
          <w:kern w:val="0"/>
          <w:sz w:val="32"/>
          <w:szCs w:val="32"/>
          <w:highlight w:val="none"/>
          <w:shd w:val="clear" w:color="auto" w:fill="FFFFFF"/>
        </w:rPr>
        <w:t>三、</w:t>
      </w:r>
      <w:r>
        <w:rPr>
          <w:rFonts w:hint="default" w:ascii="Times New Roman" w:hAnsi="Times New Roman" w:eastAsia="方正黑体简体" w:cs="Times New Roman"/>
          <w:color w:val="auto"/>
          <w:kern w:val="0"/>
          <w:sz w:val="32"/>
          <w:szCs w:val="32"/>
          <w:highlight w:val="none"/>
          <w:shd w:val="clear" w:color="auto" w:fill="FFFFFF"/>
          <w:lang w:val="en-US" w:eastAsia="zh-CN"/>
        </w:rPr>
        <w:t>部门目标实现情况</w:t>
      </w:r>
      <w:bookmarkEnd w:id="73"/>
      <w:bookmarkEnd w:id="74"/>
      <w:bookmarkEnd w:id="75"/>
      <w:bookmarkEnd w:id="80"/>
      <w:bookmarkEnd w:id="81"/>
      <w:bookmarkEnd w:id="82"/>
    </w:p>
    <w:p w14:paraId="5552689A">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83" w:name="_Toc19300"/>
      <w:bookmarkStart w:id="84" w:name="_Toc22633"/>
      <w:bookmarkStart w:id="85" w:name="_Toc3573"/>
      <w:bookmarkStart w:id="86" w:name="_Toc1418"/>
      <w:bookmarkStart w:id="87" w:name="_Toc28011"/>
      <w:bookmarkStart w:id="88" w:name="_Toc29501"/>
      <w:r>
        <w:rPr>
          <w:rFonts w:hint="default" w:ascii="Times New Roman" w:hAnsi="Times New Roman" w:eastAsia="方正楷体简体" w:cs="Times New Roman"/>
          <w:color w:val="auto"/>
          <w:kern w:val="2"/>
          <w:sz w:val="32"/>
          <w:szCs w:val="32"/>
          <w:highlight w:val="none"/>
          <w:shd w:val="clear"/>
          <w:lang w:val="zh-CN" w:eastAsia="zh-CN"/>
        </w:rPr>
        <w:t>（一）总体目标</w:t>
      </w:r>
      <w:bookmarkEnd w:id="83"/>
      <w:bookmarkEnd w:id="84"/>
      <w:bookmarkEnd w:id="85"/>
      <w:bookmarkEnd w:id="86"/>
      <w:bookmarkEnd w:id="87"/>
      <w:bookmarkEnd w:id="88"/>
    </w:p>
    <w:p w14:paraId="3B7BFA33">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bookmarkStart w:id="89" w:name="_Toc24652"/>
      <w:bookmarkStart w:id="90" w:name="_Toc132"/>
      <w:bookmarkStart w:id="91" w:name="_Toc11959"/>
      <w:r>
        <w:rPr>
          <w:rFonts w:hint="default" w:ascii="Times New Roman" w:hAnsi="Times New Roman" w:eastAsia="方正仿宋_GB2312" w:cs="Times New Roman"/>
          <w:color w:val="auto"/>
          <w:sz w:val="32"/>
          <w:szCs w:val="32"/>
          <w:highlight w:val="none"/>
          <w:lang w:val="en-US" w:eastAsia="zh-CN"/>
        </w:rPr>
        <w:t>宣传并贯彻执行党在文学艺术、社会科学方面的路线、方针、政策和国家法律法规，宣传并贯彻执行党在文学艺术、社会科学方面的路线、方针、政策和国家法律法规。</w:t>
      </w:r>
    </w:p>
    <w:p w14:paraId="332148A8">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92" w:name="_Toc30825"/>
      <w:bookmarkStart w:id="93" w:name="_Toc4650"/>
      <w:bookmarkStart w:id="94" w:name="_Toc6926"/>
      <w:r>
        <w:rPr>
          <w:rFonts w:hint="default" w:ascii="Times New Roman" w:hAnsi="Times New Roman" w:eastAsia="方正楷体简体" w:cs="Times New Roman"/>
          <w:color w:val="auto"/>
          <w:kern w:val="2"/>
          <w:sz w:val="32"/>
          <w:szCs w:val="32"/>
          <w:highlight w:val="none"/>
          <w:shd w:val="clear"/>
          <w:lang w:val="zh-CN" w:eastAsia="zh-CN"/>
        </w:rPr>
        <w:t>（二）具体目标</w:t>
      </w:r>
      <w:bookmarkEnd w:id="89"/>
      <w:bookmarkEnd w:id="90"/>
      <w:bookmarkEnd w:id="91"/>
      <w:bookmarkEnd w:id="92"/>
      <w:bookmarkEnd w:id="93"/>
      <w:bookmarkEnd w:id="94"/>
    </w:p>
    <w:p w14:paraId="54A408D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bookmarkStart w:id="95" w:name="_Toc17536"/>
      <w:bookmarkStart w:id="96" w:name="_Toc6491"/>
      <w:bookmarkStart w:id="97" w:name="_Toc24081"/>
      <w:r>
        <w:rPr>
          <w:rFonts w:hint="default" w:ascii="Times New Roman" w:hAnsi="Times New Roman" w:eastAsia="方正仿宋_GB2312" w:cs="Times New Roman"/>
          <w:color w:val="auto"/>
          <w:sz w:val="32"/>
          <w:szCs w:val="32"/>
          <w:highlight w:val="none"/>
          <w:lang w:val="en-US" w:eastAsia="zh-CN"/>
        </w:rPr>
        <w:t>县文联2024年认真落实中央、省、州纪委全会部署安排，重点完成以下工作任务：</w:t>
      </w:r>
    </w:p>
    <w:p w14:paraId="244AF3EF">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认真学习和履行“团结引导、联络协调、服务管理、自律维权”的基本职能职责，团结和带领广大文艺工作者，积极开展协会活动，努力推动泸定县文艺事业的发展繁荣。</w:t>
      </w:r>
    </w:p>
    <w:p w14:paraId="234D532A">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rPr>
      </w:pPr>
      <w:bookmarkStart w:id="98" w:name="_Toc13068"/>
      <w:bookmarkStart w:id="99" w:name="_Toc21154"/>
      <w:bookmarkStart w:id="100" w:name="_Toc32189"/>
      <w:r>
        <w:rPr>
          <w:rFonts w:hint="default" w:ascii="Times New Roman" w:hAnsi="Times New Roman" w:eastAsia="方正黑体简体" w:cs="Times New Roman"/>
          <w:color w:val="auto"/>
          <w:kern w:val="0"/>
          <w:sz w:val="32"/>
          <w:szCs w:val="32"/>
          <w:highlight w:val="none"/>
          <w:shd w:val="clear" w:color="auto" w:fill="FFFFFF"/>
          <w:lang w:val="en-US" w:eastAsia="zh-CN"/>
        </w:rPr>
        <w:t>四、</w:t>
      </w:r>
      <w:r>
        <w:rPr>
          <w:rFonts w:hint="default" w:ascii="Times New Roman" w:hAnsi="Times New Roman" w:eastAsia="方正黑体简体" w:cs="Times New Roman"/>
          <w:color w:val="auto"/>
          <w:kern w:val="0"/>
          <w:sz w:val="32"/>
          <w:szCs w:val="32"/>
          <w:highlight w:val="none"/>
          <w:shd w:val="clear" w:color="auto" w:fill="FFFFFF"/>
        </w:rPr>
        <w:t>部门整体支出</w:t>
      </w:r>
      <w:r>
        <w:rPr>
          <w:rFonts w:hint="default" w:ascii="Times New Roman" w:hAnsi="Times New Roman" w:eastAsia="方正黑体简体" w:cs="Times New Roman"/>
          <w:color w:val="auto"/>
          <w:kern w:val="0"/>
          <w:sz w:val="32"/>
          <w:szCs w:val="32"/>
          <w:highlight w:val="none"/>
          <w:shd w:val="clear" w:color="auto" w:fill="FFFFFF"/>
          <w:lang w:val="zh-CN"/>
        </w:rPr>
        <w:t>绩效评价</w:t>
      </w:r>
      <w:r>
        <w:rPr>
          <w:rFonts w:hint="default" w:ascii="Times New Roman" w:hAnsi="Times New Roman" w:eastAsia="方正黑体简体" w:cs="Times New Roman"/>
          <w:color w:val="auto"/>
          <w:kern w:val="0"/>
          <w:sz w:val="32"/>
          <w:szCs w:val="32"/>
          <w:highlight w:val="none"/>
          <w:shd w:val="clear" w:color="auto" w:fill="FFFFFF"/>
        </w:rPr>
        <w:t>情况</w:t>
      </w:r>
      <w:bookmarkEnd w:id="76"/>
      <w:bookmarkEnd w:id="77"/>
      <w:bookmarkEnd w:id="78"/>
      <w:bookmarkEnd w:id="79"/>
      <w:bookmarkEnd w:id="95"/>
      <w:bookmarkEnd w:id="96"/>
      <w:bookmarkEnd w:id="97"/>
      <w:bookmarkEnd w:id="98"/>
      <w:bookmarkEnd w:id="99"/>
      <w:bookmarkEnd w:id="100"/>
    </w:p>
    <w:p w14:paraId="5A75D544">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101" w:name="_Toc29571"/>
      <w:bookmarkStart w:id="102" w:name="_Toc28828"/>
      <w:bookmarkStart w:id="103" w:name="_Toc24977"/>
      <w:bookmarkStart w:id="104" w:name="_Toc11694"/>
      <w:bookmarkStart w:id="105" w:name="_Toc7521"/>
      <w:bookmarkStart w:id="106" w:name="_Toc24619"/>
      <w:bookmarkStart w:id="107" w:name="_Toc428273082"/>
      <w:bookmarkStart w:id="108" w:name="_Toc8903"/>
      <w:bookmarkStart w:id="109" w:name="_Toc4199"/>
      <w:bookmarkStart w:id="110" w:name="_Toc109483840"/>
      <w:bookmarkStart w:id="111" w:name="_Toc27305"/>
      <w:r>
        <w:rPr>
          <w:rFonts w:hint="default" w:ascii="Times New Roman" w:hAnsi="Times New Roman" w:eastAsia="方正楷体简体" w:cs="Times New Roman"/>
          <w:color w:val="auto"/>
          <w:kern w:val="2"/>
          <w:sz w:val="32"/>
          <w:szCs w:val="32"/>
          <w:highlight w:val="none"/>
          <w:shd w:val="clear"/>
          <w:lang w:val="zh-CN"/>
        </w:rPr>
        <w:t>（一）</w:t>
      </w:r>
      <w:r>
        <w:rPr>
          <w:rFonts w:hint="default" w:ascii="Times New Roman" w:hAnsi="Times New Roman" w:eastAsia="方正楷体简体" w:cs="Times New Roman"/>
          <w:color w:val="auto"/>
          <w:kern w:val="2"/>
          <w:sz w:val="32"/>
          <w:szCs w:val="32"/>
          <w:highlight w:val="none"/>
          <w:shd w:val="clear"/>
          <w:lang w:val="zh-CN" w:eastAsia="zh-CN"/>
        </w:rPr>
        <w:t>绩效评价实施过程</w:t>
      </w:r>
      <w:bookmarkEnd w:id="101"/>
      <w:bookmarkEnd w:id="102"/>
      <w:bookmarkEnd w:id="103"/>
      <w:bookmarkEnd w:id="104"/>
      <w:bookmarkEnd w:id="105"/>
      <w:bookmarkEnd w:id="106"/>
    </w:p>
    <w:p w14:paraId="3E043EBE">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评价小组按照评价日程安排，对</w:t>
      </w:r>
      <w:r>
        <w:rPr>
          <w:rFonts w:hint="default" w:ascii="Times New Roman" w:hAnsi="Times New Roman" w:eastAsia="方正仿宋_GB2312" w:cs="Times New Roman"/>
          <w:color w:val="auto"/>
          <w:sz w:val="32"/>
          <w:szCs w:val="32"/>
          <w:highlight w:val="none"/>
          <w:lang w:val="en-US" w:eastAsia="zh-CN"/>
        </w:rPr>
        <w:t>县文联</w:t>
      </w:r>
      <w:r>
        <w:rPr>
          <w:rFonts w:hint="default" w:ascii="Times New Roman" w:hAnsi="Times New Roman" w:eastAsia="方正仿宋_GB2312" w:cs="Times New Roman"/>
          <w:color w:val="auto"/>
          <w:sz w:val="32"/>
          <w:szCs w:val="32"/>
          <w:highlight w:val="none"/>
          <w:lang w:val="zh-CN" w:eastAsia="zh-CN"/>
        </w:rPr>
        <w:t>提交的评价资料进行认真梳理，测算分析各项指标，汇总评分并形成评价报告。</w:t>
      </w:r>
    </w:p>
    <w:p w14:paraId="5A0A3725">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1.对相关资料进行研读，对整体评价有基本的把握和了解，归纳出进一步评价所需的信息供下一步取数参考。</w:t>
      </w:r>
    </w:p>
    <w:p w14:paraId="5D575BBF">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2.集中对各个评价指标逐一进行分析，以保证取数的准确性。</w:t>
      </w:r>
    </w:p>
    <w:p w14:paraId="777A1762">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3.评价小组汇总分析评价过程中发现的问题并对存在问题进行讨论，根据取得的数据分别计算各评价指标所得分数，形成评价结果。</w:t>
      </w:r>
    </w:p>
    <w:p w14:paraId="3B0DF91C">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4.根据评价结果，撰写评价报告。</w:t>
      </w:r>
    </w:p>
    <w:p w14:paraId="0280D38C">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5.与绩效评价相关者沟通，完善并形成绩效评价报告终稿。</w:t>
      </w:r>
    </w:p>
    <w:p w14:paraId="2ADF116E">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12" w:name="_Toc24380"/>
      <w:bookmarkStart w:id="113" w:name="_Toc4385"/>
      <w:bookmarkStart w:id="114" w:name="_Toc23900"/>
      <w:bookmarkStart w:id="115" w:name="_Toc16416"/>
      <w:bookmarkStart w:id="116" w:name="_Toc30977"/>
      <w:bookmarkStart w:id="117" w:name="_Toc3794"/>
      <w:r>
        <w:rPr>
          <w:rFonts w:hint="default" w:ascii="Times New Roman" w:hAnsi="Times New Roman" w:eastAsia="方正楷体简体" w:cs="Times New Roman"/>
          <w:color w:val="auto"/>
          <w:kern w:val="2"/>
          <w:sz w:val="32"/>
          <w:szCs w:val="32"/>
          <w:highlight w:val="none"/>
          <w:shd w:val="clear"/>
          <w:lang w:val="zh-CN" w:eastAsia="zh-CN"/>
        </w:rPr>
        <w:t>（</w:t>
      </w:r>
      <w:r>
        <w:rPr>
          <w:rFonts w:hint="default" w:ascii="Times New Roman" w:hAnsi="Times New Roman" w:eastAsia="方正楷体简体" w:cs="Times New Roman"/>
          <w:color w:val="auto"/>
          <w:kern w:val="2"/>
          <w:sz w:val="32"/>
          <w:szCs w:val="32"/>
          <w:highlight w:val="none"/>
          <w:shd w:val="clear"/>
          <w:lang w:val="en-US" w:eastAsia="zh-CN"/>
        </w:rPr>
        <w:t>二）</w:t>
      </w:r>
      <w:bookmarkEnd w:id="107"/>
      <w:bookmarkEnd w:id="108"/>
      <w:r>
        <w:rPr>
          <w:rFonts w:hint="default" w:ascii="Times New Roman" w:hAnsi="Times New Roman" w:eastAsia="方正楷体简体" w:cs="Times New Roman"/>
          <w:color w:val="auto"/>
          <w:kern w:val="2"/>
          <w:sz w:val="32"/>
          <w:szCs w:val="32"/>
          <w:highlight w:val="none"/>
          <w:shd w:val="clear"/>
          <w:lang w:val="en-US" w:eastAsia="zh-CN"/>
        </w:rPr>
        <w:t>评价结论</w:t>
      </w:r>
      <w:bookmarkEnd w:id="112"/>
      <w:bookmarkEnd w:id="113"/>
      <w:bookmarkEnd w:id="114"/>
      <w:bookmarkEnd w:id="115"/>
      <w:bookmarkEnd w:id="116"/>
      <w:bookmarkEnd w:id="117"/>
    </w:p>
    <w:bookmarkEnd w:id="109"/>
    <w:bookmarkEnd w:id="110"/>
    <w:bookmarkEnd w:id="111"/>
    <w:p w14:paraId="11D0484D">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4年度，县文联</w:t>
      </w:r>
      <w:r>
        <w:rPr>
          <w:rFonts w:hint="default" w:ascii="Times New Roman" w:hAnsi="Times New Roman" w:eastAsia="方正仿宋_GB2312" w:cs="Times New Roman"/>
          <w:color w:val="auto"/>
          <w:sz w:val="32"/>
          <w:szCs w:val="32"/>
          <w:highlight w:val="none"/>
          <w:lang w:val="en-US" w:eastAsia="zh"/>
        </w:rPr>
        <w:t>坚持以习近平新时代中国特色社会主义思想为指导，深入学习贯彻党的二十大精神和习近平总书记来川视察重要指示精神，认真落实中央、省、州纪委全会部署安排，积极主动围绕中心</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服务大局，坚定不移正风肃纪反腐，扎实推进主题教育和教育整顿，精准聚焦</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六个关键点</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，纵深推进纪检监察工作高质量发展</w:t>
      </w:r>
      <w:r>
        <w:rPr>
          <w:rFonts w:hint="default" w:ascii="Times New Roman" w:hAnsi="Times New Roman" w:eastAsia="方正仿宋_GB2312" w:cs="Times New Roman"/>
          <w:color w:val="auto"/>
          <w:sz w:val="32"/>
          <w:szCs w:val="32"/>
          <w:highlight w:val="none"/>
          <w:lang w:val="en-US" w:eastAsia="zh-CN"/>
        </w:rPr>
        <w:t>，有力</w:t>
      </w:r>
      <w:r>
        <w:rPr>
          <w:rFonts w:hint="default" w:ascii="Times New Roman" w:hAnsi="Times New Roman" w:eastAsia="方正仿宋_GB2312" w:cs="Times New Roman"/>
          <w:color w:val="auto"/>
          <w:sz w:val="32"/>
          <w:szCs w:val="32"/>
          <w:highlight w:val="none"/>
          <w:lang w:val="en-US" w:eastAsia="zh"/>
        </w:rPr>
        <w:t>助推泸定政治生态实现</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三大变化</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目标</w:t>
      </w:r>
      <w:r>
        <w:rPr>
          <w:rFonts w:hint="default" w:ascii="Times New Roman" w:hAnsi="Times New Roman" w:eastAsia="方正仿宋_GB2312" w:cs="Times New Roman"/>
          <w:color w:val="auto"/>
          <w:sz w:val="32"/>
          <w:szCs w:val="32"/>
          <w:highlight w:val="none"/>
          <w:lang w:val="en-US" w:eastAsia="zh-CN"/>
        </w:rPr>
        <w:t>。县文联在维持部门运转的基础上，完成了部门职责范围内的各项工作，部门履职情况较好。</w:t>
      </w:r>
    </w:p>
    <w:p w14:paraId="38EC8196">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按照设定的评价指标体系，通过对县文联</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4年度部门整体支出情况在预算编制、预算执行、完成结果、信息公开、整改反馈、自评质量方面进行综合评价，</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4年度县文联部门整体支出绩效评价指标分值100.00分，得分90.00分。详见下表：</w:t>
      </w:r>
    </w:p>
    <w:p w14:paraId="586E1AED">
      <w:pPr>
        <w:keepNext w:val="0"/>
        <w:keepLines w:val="0"/>
        <w:pageBreakBefore w:val="0"/>
        <w:widowControl w:val="0"/>
        <w:kinsoku/>
        <w:wordWrap/>
        <w:overflowPunct/>
        <w:topLinePunct w:val="0"/>
        <w:autoSpaceDE/>
        <w:autoSpaceDN/>
        <w:bidi w:val="0"/>
        <w:adjustRightInd/>
        <w:snapToGrid/>
        <w:spacing w:line="600" w:lineRule="exact"/>
        <w:ind w:left="0" w:firstLine="0" w:firstLineChars="0"/>
        <w:jc w:val="center"/>
        <w:textAlignment w:val="auto"/>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县文联</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4年部门整体支出绩效评价评分表</w:t>
      </w:r>
    </w:p>
    <w:tbl>
      <w:tblPr>
        <w:tblStyle w:val="19"/>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76"/>
        <w:gridCol w:w="2672"/>
        <w:gridCol w:w="1180"/>
        <w:gridCol w:w="1185"/>
        <w:gridCol w:w="1147"/>
        <w:gridCol w:w="1253"/>
      </w:tblGrid>
      <w:tr w14:paraId="3C5F7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2907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bookmarkStart w:id="118" w:name="_Toc4242"/>
            <w:bookmarkStart w:id="119" w:name="_Toc13729"/>
            <w:bookmarkStart w:id="120" w:name="_Toc14707"/>
            <w:bookmarkStart w:id="121" w:name="_Toc16394"/>
            <w:bookmarkStart w:id="122" w:name="_Toc1687911260"/>
            <w:bookmarkStart w:id="123" w:name="_Toc109483841"/>
            <w:bookmarkStart w:id="124" w:name="_Toc26985"/>
            <w:bookmarkStart w:id="125" w:name="_Toc31945"/>
            <w:bookmarkStart w:id="126" w:name="_Toc28266"/>
            <w:bookmarkStart w:id="127" w:name="_Toc24818"/>
            <w:r>
              <w:rPr>
                <w:rFonts w:hint="default" w:ascii="Times New Roman" w:hAnsi="Times New Roman" w:eastAsia="方正仿宋_GB2312" w:cs="Times New Roman"/>
                <w:b/>
                <w:bCs/>
                <w:i w:val="0"/>
                <w:iCs w:val="0"/>
                <w:color w:val="000000"/>
                <w:kern w:val="0"/>
                <w:sz w:val="20"/>
                <w:szCs w:val="20"/>
                <w:u w:val="none"/>
                <w:lang w:val="en-US" w:eastAsia="zh-CN" w:bidi="ar"/>
              </w:rPr>
              <w:t>一级指标</w:t>
            </w:r>
          </w:p>
        </w:tc>
        <w:tc>
          <w:tcPr>
            <w:tcW w:w="1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85D3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二级指标</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AA55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三级指标</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895F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分值</w:t>
            </w:r>
          </w:p>
        </w:tc>
        <w:tc>
          <w:tcPr>
            <w:tcW w:w="6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A198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扣分</w:t>
            </w: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43A3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得分</w:t>
            </w:r>
          </w:p>
        </w:tc>
      </w:tr>
      <w:tr w14:paraId="60C0D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jc w:val="center"/>
        </w:trPr>
        <w:tc>
          <w:tcPr>
            <w:tcW w:w="6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1B57B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部门预算管理（50分）</w:t>
            </w:r>
          </w:p>
        </w:tc>
        <w:tc>
          <w:tcPr>
            <w:tcW w:w="1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3B149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目标管理（15分）</w:t>
            </w:r>
          </w:p>
        </w:tc>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22C6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目标制定</w:t>
            </w: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0411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w:t>
            </w:r>
          </w:p>
        </w:tc>
        <w:tc>
          <w:tcPr>
            <w:tcW w:w="6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E15A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FF16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8</w:t>
            </w:r>
          </w:p>
        </w:tc>
      </w:tr>
      <w:tr w14:paraId="6961F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1670CF">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775830">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C2CE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目标实现</w:t>
            </w: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FBFA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6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56A8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7A25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r>
      <w:tr w14:paraId="1860A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B86EDF">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5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8CC5D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过程控制（10分）</w:t>
            </w:r>
          </w:p>
        </w:tc>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FD83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执行进度</w:t>
            </w: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5A14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6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77EB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2CBA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r>
      <w:tr w14:paraId="25D1D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D207AB">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2DF31F">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0AC8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同步调整</w:t>
            </w: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AA09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6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7653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2034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7930F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4CC472">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5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42EEA4">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D369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及时处置</w:t>
            </w: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F630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6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FA07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3ABC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6A7F9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B1305B">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A060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完成效率（5分）</w:t>
            </w:r>
          </w:p>
        </w:tc>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F97D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预算结余率</w:t>
            </w: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A4D2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6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7873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62A6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r>
      <w:tr w14:paraId="4D540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3FC48E">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63DB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完成效果（20分）</w:t>
            </w:r>
          </w:p>
        </w:tc>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B674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实施效果</w:t>
            </w: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48AF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20</w:t>
            </w:r>
          </w:p>
        </w:tc>
        <w:tc>
          <w:tcPr>
            <w:tcW w:w="6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C681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0.4</w:t>
            </w: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4F7C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19.6</w:t>
            </w:r>
          </w:p>
        </w:tc>
      </w:tr>
      <w:tr w14:paraId="7A840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3450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专项预算绩效（30分）</w:t>
            </w:r>
          </w:p>
        </w:tc>
        <w:tc>
          <w:tcPr>
            <w:tcW w:w="1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7F1D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整体完成（30分）</w:t>
            </w:r>
          </w:p>
        </w:tc>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DE40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完成率</w:t>
            </w: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EEF6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30</w:t>
            </w:r>
          </w:p>
        </w:tc>
        <w:tc>
          <w:tcPr>
            <w:tcW w:w="6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94E9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0.6</w:t>
            </w: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5553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29.4</w:t>
            </w:r>
          </w:p>
        </w:tc>
      </w:tr>
      <w:tr w14:paraId="26292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6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A7943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绩效结果应用（14分）</w:t>
            </w:r>
          </w:p>
        </w:tc>
        <w:tc>
          <w:tcPr>
            <w:tcW w:w="1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95A4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内部应用（4分）</w:t>
            </w:r>
          </w:p>
        </w:tc>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045A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预算挂钩</w:t>
            </w: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600C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6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51F4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5A4C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r>
      <w:tr w14:paraId="4DE83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4CCFD5">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A5C0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信息公开（4分）</w:t>
            </w:r>
          </w:p>
        </w:tc>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7255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自评公开</w:t>
            </w: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4ADD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6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8AA4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EFE5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r>
      <w:tr w14:paraId="0A7F0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CD20E">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4538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整改反馈（6分）</w:t>
            </w:r>
          </w:p>
        </w:tc>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79BC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问题整改</w:t>
            </w: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141D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6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6724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C9C4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0F612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0" w:hRule="atLeast"/>
          <w:jc w:val="center"/>
        </w:trPr>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5A69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1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370D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7B56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w:t>
            </w: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2668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6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B1FC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5167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33E7F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289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493C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合计</w:t>
            </w: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46CF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100</w:t>
            </w:r>
          </w:p>
        </w:tc>
        <w:tc>
          <w:tcPr>
            <w:tcW w:w="6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A6CA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w:t>
            </w: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EA55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90</w:t>
            </w:r>
          </w:p>
        </w:tc>
      </w:tr>
    </w:tbl>
    <w:p w14:paraId="7CAEDB5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en-US" w:eastAsia="zh-CN"/>
        </w:rPr>
      </w:pPr>
      <w:r>
        <w:rPr>
          <w:rFonts w:hint="default" w:ascii="Times New Roman" w:hAnsi="Times New Roman" w:eastAsia="方正楷体简体" w:cs="Times New Roman"/>
          <w:color w:val="auto"/>
          <w:kern w:val="2"/>
          <w:sz w:val="32"/>
          <w:szCs w:val="32"/>
          <w:highlight w:val="none"/>
          <w:shd w:val="clear"/>
          <w:lang w:val="en-US" w:eastAsia="zh-CN"/>
        </w:rPr>
        <w:t>（三）绩效结果应用</w:t>
      </w:r>
      <w:bookmarkEnd w:id="118"/>
      <w:bookmarkEnd w:id="119"/>
      <w:bookmarkEnd w:id="120"/>
    </w:p>
    <w:p w14:paraId="3974C46A">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县文联</w:t>
      </w:r>
      <w:r>
        <w:rPr>
          <w:rFonts w:hint="default" w:ascii="Times New Roman" w:hAnsi="Times New Roman" w:eastAsia="方正仿宋_GB2312" w:cs="Times New Roman"/>
          <w:color w:val="auto"/>
          <w:sz w:val="32"/>
          <w:szCs w:val="32"/>
          <w:highlight w:val="none"/>
          <w:lang w:val="en-US" w:eastAsia="zh"/>
        </w:rPr>
        <w:t>认真落实中央、省、州纪委全会部署安排，积极主动围绕中心</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服务大局，坚定不移正风肃纪反腐，扎实推进主题教育和教育整顿</w:t>
      </w:r>
      <w:r>
        <w:rPr>
          <w:rFonts w:hint="default" w:ascii="Times New Roman" w:hAnsi="Times New Roman" w:eastAsia="方正仿宋_GB2312" w:cs="Times New Roman"/>
          <w:color w:val="auto"/>
          <w:sz w:val="32"/>
          <w:szCs w:val="32"/>
          <w:highlight w:val="none"/>
          <w:lang w:val="en-US" w:eastAsia="zh-CN"/>
        </w:rPr>
        <w:t>。通过评价组对县文联进行事后评价，最终县文联绩效等级为“优”。秉承科学公正、统筹兼顾、激励约束和公开透明的财政绩效原则。我局建议泸定县财政局针对部门预算绩效管理，进一步要求县文联完善绩效目标编制、提高绩效自评质量、加强年初预算编制准确性。</w:t>
      </w:r>
    </w:p>
    <w:p w14:paraId="0651BF7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28" w:name="_Toc26977"/>
      <w:bookmarkStart w:id="129" w:name="_Toc11390"/>
      <w:bookmarkStart w:id="130" w:name="_Toc6100"/>
      <w:r>
        <w:rPr>
          <w:rFonts w:hint="default" w:ascii="Times New Roman" w:hAnsi="Times New Roman" w:eastAsia="方正楷体简体" w:cs="Times New Roman"/>
          <w:color w:val="auto"/>
          <w:kern w:val="2"/>
          <w:sz w:val="32"/>
          <w:szCs w:val="32"/>
          <w:highlight w:val="none"/>
          <w:shd w:val="clear"/>
          <w:lang w:val="en-US" w:eastAsia="zh-CN"/>
        </w:rPr>
        <w:t>（四）</w:t>
      </w:r>
      <w:bookmarkEnd w:id="121"/>
      <w:bookmarkEnd w:id="122"/>
      <w:bookmarkEnd w:id="123"/>
      <w:bookmarkEnd w:id="124"/>
      <w:r>
        <w:rPr>
          <w:rFonts w:hint="default" w:ascii="Times New Roman" w:hAnsi="Times New Roman" w:eastAsia="方正楷体简体" w:cs="Times New Roman"/>
          <w:color w:val="auto"/>
          <w:kern w:val="2"/>
          <w:sz w:val="32"/>
          <w:szCs w:val="32"/>
          <w:highlight w:val="none"/>
          <w:shd w:val="clear"/>
          <w:lang w:val="en-US" w:eastAsia="zh-CN"/>
        </w:rPr>
        <w:t>评价分析</w:t>
      </w:r>
      <w:bookmarkEnd w:id="125"/>
      <w:bookmarkEnd w:id="126"/>
      <w:bookmarkEnd w:id="127"/>
      <w:bookmarkEnd w:id="128"/>
      <w:bookmarkEnd w:id="129"/>
      <w:bookmarkEnd w:id="130"/>
    </w:p>
    <w:p w14:paraId="6BF6F19C">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1.部门预算总体绩效管理情况</w:t>
      </w:r>
    </w:p>
    <w:p w14:paraId="18E76880">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（1）目标管理</w:t>
      </w:r>
    </w:p>
    <w:p w14:paraId="14F83EDD">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二级指标“目标管理”下设两个三级指标分别为：目标制定、目标实现。</w:t>
      </w:r>
    </w:p>
    <w:p w14:paraId="5852C135">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①目标制定</w:t>
      </w:r>
    </w:p>
    <w:p w14:paraId="4059A897">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文联在泸定县人民政府门户网站公开的2024年度部门预算和绩效目标，县文联制定了年度部门及项目整体支出绩效目标，绩效目标涵盖数量、质量、时效、效益等指标，但存在整体绩效目标不够细化、指标设置不合理、项目绩效目标要素不完整等情况。扣除2.00分。</w:t>
      </w:r>
    </w:p>
    <w:p w14:paraId="4392A5A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本项分值为10.00分，扣2.00分，得分为8.00分。</w:t>
      </w:r>
    </w:p>
    <w:p w14:paraId="051439E4">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②目标实现</w:t>
      </w:r>
    </w:p>
    <w:p w14:paraId="692F37BD">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文联提供的2024年度年初预算项目绩效目标申报表及项目完成资料，县文联整体涉及3个数量指标、1个质量指标、1个时效指标、2个成本指标、3个社会效益指标、1个可持续影响指标、1个满意度指标。根据现场评价情况，实际完成3个数量指标，完成率100%；实际完成2个成本指标，完成率100%。</w:t>
      </w:r>
    </w:p>
    <w:p w14:paraId="35DC9D77">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本项分值为5.00分，扣0.00分，得分为5.00分。</w:t>
      </w:r>
    </w:p>
    <w:p w14:paraId="07A84896">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（2）过程控制</w:t>
      </w:r>
    </w:p>
    <w:p w14:paraId="51D011BB">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二级指标“过程控制”下设三个三级指标分别为：执行进度、同步调整、及时处置。</w:t>
      </w:r>
    </w:p>
    <w:p w14:paraId="2AC6A60C">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①执行进度</w:t>
      </w:r>
    </w:p>
    <w:p w14:paraId="507D1927">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根据《2025年泸定县部门整体支出绩效评价指标体系》，部门预算执行进度在6、9、11月应达到序时进度的80%、90%、90%，即实际支出进度分别达到40%、67.5%、82.5%。</w:t>
      </w:r>
    </w:p>
    <w:p w14:paraId="69161266">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被评价单位提供的1-6月、1-9月、1-11月可执行指标执行情况表显示，2024年县文联1—6月预算数81.72万元，实际执行数42.39万元，进度为51.87%；1—9月预算数81.72万元，实际执行数59.48万元，进度为72.78%；1—11月预算数81.72万元，实际执行数74.87万元，进度为91.63%。</w:t>
      </w:r>
    </w:p>
    <w:p w14:paraId="453EC0F7">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上述三个阶段中，根据可执行指标执行情况表被评价单位1-6月、1-9月、1-11月实际支出进度均已达到目标进度。</w:t>
      </w:r>
    </w:p>
    <w:p w14:paraId="51F3DF05">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本项分值为4.00分，扣0.00分，得分为4.00分。</w:t>
      </w:r>
    </w:p>
    <w:p w14:paraId="22956C4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②同步调整</w:t>
      </w:r>
    </w:p>
    <w:p w14:paraId="6C6EECA3">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2024年县文联预算项目2个，根据被评价单位提供的可执行指标执行情况表，预算调整项目2个，均随预算调整同步完成绩效目标调整。</w:t>
      </w:r>
    </w:p>
    <w:p w14:paraId="67B9BB74">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2756E4FE">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③及时处置</w:t>
      </w:r>
    </w:p>
    <w:p w14:paraId="7D6D2538">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2024年，县财政局对县文联开展绩效运行监控，未提出预算收回的意见</w:t>
      </w:r>
      <w:r>
        <w:rPr>
          <w:rFonts w:hint="eastAsia"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CN"/>
        </w:rPr>
        <w:t>根据《泸定县文学艺术和社会科学界</w:t>
      </w:r>
      <w:r>
        <w:rPr>
          <w:rFonts w:hint="eastAsia" w:ascii="Times New Roman" w:hAnsi="Times New Roman" w:eastAsia="方正仿宋_GB2312" w:cs="Times New Roman"/>
          <w:color w:val="auto"/>
          <w:sz w:val="32"/>
          <w:szCs w:val="32"/>
          <w:highlight w:val="none"/>
          <w:lang w:val="en-US" w:eastAsia="zh-CN"/>
        </w:rPr>
        <w:t>联合会</w:t>
      </w:r>
      <w:r>
        <w:rPr>
          <w:rFonts w:hint="default" w:ascii="Times New Roman" w:hAnsi="Times New Roman" w:eastAsia="方正仿宋_GB2312" w:cs="Times New Roman"/>
          <w:color w:val="auto"/>
          <w:sz w:val="32"/>
          <w:szCs w:val="32"/>
          <w:highlight w:val="none"/>
          <w:lang w:val="en-US" w:eastAsia="zh-CN"/>
        </w:rPr>
        <w:t xml:space="preserve">机关2024年度部门绩效运行监控分析报告》及部门整体支出绩效监控情况表，主要存在“预算绩效管理方面专业知识较缺乏，年度绩效指标设置有待完善”的问题。                       </w:t>
      </w:r>
    </w:p>
    <w:p w14:paraId="3F0CF77E">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28F3F602">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（3）完成效率</w:t>
      </w:r>
    </w:p>
    <w:p w14:paraId="6AD9472A">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二级指标“完成效率”下设一个三级指标为：预算结余率。</w:t>
      </w:r>
    </w:p>
    <w:p w14:paraId="73B5FAFD">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根据县文联2024年度决算报表与可执行指标执行情况表被评价单位2024年度预算项目共计2个，部门预算项目资金结余率小于10%有0个，大于10%有2个。</w:t>
      </w:r>
    </w:p>
    <w:p w14:paraId="4A928BD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本项分值为5.00分，扣5.00分，得分为0.00分。</w:t>
      </w:r>
    </w:p>
    <w:p w14:paraId="38BE5EDF">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2.部门预算项目绩效管理情况</w:t>
      </w:r>
    </w:p>
    <w:p w14:paraId="5AC66852">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（1）完成效果</w:t>
      </w:r>
    </w:p>
    <w:p w14:paraId="2B68E035">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二级指标“完成效果”下设一个三级指标为实施效果。</w:t>
      </w:r>
    </w:p>
    <w:p w14:paraId="37D66CB3">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文联部门预算项目共2个，涉及预算资金12.00万元，评价组抽取项目的绩效评价指标体系均采用《2025年泸定县部门整体支出绩效评价指标体系》，抽取的项目为协会成立筹备等工作经费，抽取项目预算资金10.00万元。经评价小组复核评分，抽查的预算项目平均得分96.00分。</w:t>
      </w:r>
    </w:p>
    <w:p w14:paraId="4ADF518D">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本项分值为20.00分，扣0.40分，得分为19.60分。</w:t>
      </w:r>
    </w:p>
    <w:p w14:paraId="3B1C687A">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3.专项预算绩效管理情况</w:t>
      </w:r>
    </w:p>
    <w:p w14:paraId="19A5BE0D">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（1）整体完成</w:t>
      </w:r>
    </w:p>
    <w:p w14:paraId="1B9DC6F4">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二级指标“整体完成”下设一个三级指标为：完成率。</w:t>
      </w:r>
    </w:p>
    <w:p w14:paraId="7C2923AF">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2024年，县文联专项预算项目2个，评价组抽取专项预算项目1个，抽取项目预算资金2.00万元，抽取项目为代表大会工作经费。经评价小组复核评分，抽查的预算项目平均得分98.00分。</w:t>
      </w:r>
    </w:p>
    <w:p w14:paraId="7C50EB7D">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本项分值为30.00分，扣0.60分，得分为29.40分。</w:t>
      </w:r>
    </w:p>
    <w:p w14:paraId="6B552CA4">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4.绩效结果应用</w:t>
      </w:r>
    </w:p>
    <w:p w14:paraId="0AF25A0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（1）内部应用</w:t>
      </w:r>
    </w:p>
    <w:p w14:paraId="1C81E90C">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二级指标“内部应用”下设一个三级指标为：预算挂钩。</w:t>
      </w:r>
    </w:p>
    <w:p w14:paraId="45E97E47">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截至评价日，县文联未将单位绩效管理情况未纳入内部考核体系且内部绩效结果未与预算挂钩。</w:t>
      </w:r>
    </w:p>
    <w:p w14:paraId="26F62B8E">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本项分值为4.00分，扣2.00分，得分为2.00分。</w:t>
      </w:r>
    </w:p>
    <w:p w14:paraId="3DFC40C8">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（2）信息公开</w:t>
      </w:r>
    </w:p>
    <w:p w14:paraId="02CEE864">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二级指标“信息公开”下设一个三级指标为：自评公开。</w:t>
      </w:r>
    </w:p>
    <w:p w14:paraId="0704524F">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预决算公开。县文联于2024年4月1日在泸定县人民政府网上进行了部门预算及项目绩效目标的公开。截至评价日，代表大会常务委员会暂未召开，未对2024年泸定县决算（草案）和决算报告进行审查，故未进行2024年决算信息的公开。</w:t>
      </w:r>
    </w:p>
    <w:p w14:paraId="4A2F8C25">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②绩效信息公开。截至评价日，因2024年决算信息未公开，即被评价单位部门整体自评报告及项目自评等相关绩效信息情况均未随决算公开。</w:t>
      </w:r>
    </w:p>
    <w:p w14:paraId="101CBC0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本项分值为4.00分，扣0.00分，得分为4.00分。</w:t>
      </w:r>
    </w:p>
    <w:p w14:paraId="6B3C2C52">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（3）整改反馈</w:t>
      </w:r>
    </w:p>
    <w:p w14:paraId="23157FC1">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二级指标“整改反馈”下设两个三级指标为：问题整改、应用反馈。</w:t>
      </w:r>
    </w:p>
    <w:p w14:paraId="53A4A77D">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①问题整改。2024年度，县文联接受绩效监控核查，根据《泸定县文学艺术和社会科学界联合会机关2024年度部门绩效运行监控分析报告》及部门整体支出绩效监控情况表，及时完善调整了年度绩效指标。</w:t>
      </w:r>
    </w:p>
    <w:p w14:paraId="0E6FAB34">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477FA3F0">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②应用反馈。2024年度，县文联在规定时间内向财政部门反馈绩效结果应用报告，报告内容翔实、问题整改到位、结果应用充分。</w:t>
      </w:r>
    </w:p>
    <w:p w14:paraId="192AD22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714DA500">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5.自评质量</w:t>
      </w:r>
    </w:p>
    <w:p w14:paraId="772DA100">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二级指标“自评质量”下设一个三级指标为：自评质量。</w:t>
      </w:r>
    </w:p>
    <w:p w14:paraId="4145457C">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文联2024年部门整体支出绩效自评得分87分（不包括“自评质量”指标分值，满分为94分），根据现场评价情况，评价组对县文联的考评得分84分（不包括“自评质量”指标分值，满分为94分），自评差异率3.45%，低于10.00%。</w:t>
      </w:r>
    </w:p>
    <w:p w14:paraId="62CC1504">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本项分值为6.00分，扣0.00分，得分为6.00分。</w:t>
      </w:r>
    </w:p>
    <w:bookmarkEnd w:id="2"/>
    <w:p w14:paraId="6478B652">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rPr>
      </w:pPr>
      <w:bookmarkStart w:id="131" w:name="_Toc30339"/>
      <w:bookmarkStart w:id="132" w:name="_Toc4350"/>
      <w:bookmarkStart w:id="133" w:name="_Toc25603"/>
      <w:bookmarkStart w:id="134" w:name="_Toc21218"/>
      <w:bookmarkStart w:id="135" w:name="_Toc30515"/>
      <w:bookmarkStart w:id="136" w:name="_Toc7306"/>
      <w:bookmarkStart w:id="137" w:name="_Toc823448808"/>
      <w:bookmarkStart w:id="138" w:name="_Toc5060"/>
      <w:bookmarkStart w:id="139" w:name="_Toc248033833"/>
      <w:bookmarkStart w:id="140" w:name="_Toc14032"/>
      <w:bookmarkStart w:id="141" w:name="_Toc19973"/>
      <w:bookmarkStart w:id="142" w:name="_Toc8336"/>
      <w:r>
        <w:rPr>
          <w:rFonts w:hint="default" w:ascii="Times New Roman" w:hAnsi="Times New Roman" w:eastAsia="方正黑体简体" w:cs="Times New Roman"/>
          <w:color w:val="auto"/>
          <w:kern w:val="0"/>
          <w:sz w:val="32"/>
          <w:szCs w:val="32"/>
          <w:highlight w:val="none"/>
          <w:shd w:val="clear" w:color="auto" w:fill="FFFFFF"/>
          <w:lang w:val="en-US" w:eastAsia="zh-CN"/>
        </w:rPr>
        <w:t>五</w:t>
      </w:r>
      <w:r>
        <w:rPr>
          <w:rFonts w:hint="default" w:ascii="Times New Roman" w:hAnsi="Times New Roman" w:eastAsia="方正黑体简体" w:cs="Times New Roman"/>
          <w:color w:val="auto"/>
          <w:kern w:val="0"/>
          <w:sz w:val="32"/>
          <w:szCs w:val="32"/>
          <w:highlight w:val="none"/>
          <w:shd w:val="clear" w:color="auto" w:fill="FFFFFF"/>
        </w:rPr>
        <w:t>、存在的主要问题</w:t>
      </w:r>
      <w:bookmarkEnd w:id="131"/>
      <w:bookmarkEnd w:id="132"/>
      <w:bookmarkEnd w:id="133"/>
      <w:bookmarkEnd w:id="134"/>
      <w:bookmarkEnd w:id="135"/>
      <w:bookmarkEnd w:id="136"/>
      <w:bookmarkEnd w:id="137"/>
      <w:bookmarkEnd w:id="138"/>
      <w:bookmarkEnd w:id="139"/>
      <w:bookmarkEnd w:id="140"/>
    </w:p>
    <w:p w14:paraId="4161B4D3">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rPr>
      </w:pPr>
      <w:bookmarkStart w:id="143" w:name="_Toc464104487"/>
      <w:bookmarkStart w:id="144" w:name="_Toc15651"/>
      <w:bookmarkStart w:id="145" w:name="_Toc10426"/>
      <w:bookmarkStart w:id="146" w:name="_Toc22968"/>
      <w:bookmarkStart w:id="147" w:name="_Toc3240"/>
      <w:bookmarkStart w:id="148" w:name="_Toc31629"/>
      <w:bookmarkStart w:id="149" w:name="_Toc771997543"/>
      <w:r>
        <w:rPr>
          <w:rFonts w:hint="default" w:ascii="Times New Roman" w:hAnsi="Times New Roman" w:eastAsia="方正楷体简体" w:cs="Times New Roman"/>
          <w:color w:val="auto"/>
          <w:kern w:val="2"/>
          <w:sz w:val="32"/>
          <w:szCs w:val="32"/>
          <w:highlight w:val="none"/>
          <w:shd w:val="clear"/>
          <w:lang w:val="zh-CN"/>
        </w:rPr>
        <w:t>（一）绩效目标编制和上报不准确</w:t>
      </w:r>
    </w:p>
    <w:p w14:paraId="302F22E5">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评价中发现，县文联2024年部门综合绩效目标与个别预算项目绩效目标均不同程度存在编制不规范，指标设置要素不完整、指标值不合理等问题，导致绩效目标科学性、合理性不够强，不便于考核评价。</w:t>
      </w:r>
    </w:p>
    <w:p w14:paraId="5DB0182F">
      <w:pPr>
        <w:numPr>
          <w:ilvl w:val="0"/>
          <w:numId w:val="0"/>
        </w:numPr>
        <w:tabs>
          <w:tab w:val="left" w:pos="479"/>
        </w:tabs>
        <w:ind w:firstLine="640" w:firstLineChars="200"/>
        <w:rPr>
          <w:rFonts w:hint="default" w:ascii="Times New Roman" w:hAnsi="Times New Roman" w:eastAsia="楷体" w:cs="Times New Roman"/>
          <w:sz w:val="32"/>
          <w:szCs w:val="32"/>
          <w:highlight w:val="none"/>
          <w:lang w:val="en-US" w:eastAsia="zh-CN"/>
        </w:rPr>
      </w:pPr>
      <w:r>
        <w:rPr>
          <w:rFonts w:hint="default" w:ascii="Times New Roman" w:hAnsi="Times New Roman" w:eastAsia="楷体" w:cs="Times New Roman"/>
          <w:sz w:val="32"/>
          <w:szCs w:val="32"/>
          <w:highlight w:val="none"/>
          <w:lang w:val="en-US" w:eastAsia="zh-CN"/>
        </w:rPr>
        <w:t>（二）部门绩效目标制定未纳入本部门集体决策范围</w:t>
      </w:r>
    </w:p>
    <w:p w14:paraId="0F284CBB">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仿宋" w:cs="Times New Roman"/>
          <w:bCs/>
          <w:kern w:val="2"/>
          <w:sz w:val="32"/>
          <w:szCs w:val="32"/>
          <w:highlight w:val="yellow"/>
          <w:lang w:val="en-US" w:eastAsia="zh-CN" w:bidi="ar-SA"/>
        </w:rPr>
      </w:pPr>
      <w:r>
        <w:rPr>
          <w:rFonts w:hint="default" w:ascii="Times New Roman" w:hAnsi="Times New Roman" w:eastAsia="方正仿宋_GB2312" w:cs="Times New Roman"/>
          <w:color w:val="auto"/>
          <w:sz w:val="32"/>
          <w:szCs w:val="32"/>
          <w:highlight w:val="none"/>
          <w:lang w:val="en-US" w:eastAsia="zh-CN"/>
        </w:rPr>
        <w:t>2024年，县文联已编报《部门（单位）整体支出绩效目标申报表》，绩效目标随预算已上报人大完成审核，但未对部门整体项目进行集体决策，未将部门绩效目标纳入集体决策范围。</w:t>
      </w:r>
    </w:p>
    <w:p w14:paraId="2ED0C50A">
      <w:pPr>
        <w:numPr>
          <w:ilvl w:val="0"/>
          <w:numId w:val="0"/>
        </w:numPr>
        <w:tabs>
          <w:tab w:val="left" w:pos="479"/>
        </w:tabs>
        <w:ind w:firstLine="640" w:firstLineChars="200"/>
        <w:rPr>
          <w:rFonts w:hint="default" w:ascii="Times New Roman" w:hAnsi="Times New Roman" w:eastAsia="楷体" w:cs="Times New Roman"/>
          <w:sz w:val="32"/>
          <w:szCs w:val="32"/>
          <w:highlight w:val="none"/>
          <w:lang w:val="en-US" w:eastAsia="zh-CN"/>
        </w:rPr>
      </w:pPr>
      <w:r>
        <w:rPr>
          <w:rFonts w:hint="default" w:ascii="Times New Roman" w:hAnsi="Times New Roman" w:eastAsia="楷体" w:cs="Times New Roman"/>
          <w:sz w:val="32"/>
          <w:szCs w:val="32"/>
          <w:highlight w:val="none"/>
          <w:lang w:val="en-US" w:eastAsia="zh-CN"/>
        </w:rPr>
        <w:t>（三）项目预算结余率较高</w:t>
      </w:r>
    </w:p>
    <w:p w14:paraId="6BA6023F">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cs="Times New Roman"/>
          <w:bCs/>
          <w:kern w:val="2"/>
          <w:sz w:val="32"/>
          <w:szCs w:val="32"/>
          <w:highlight w:val="yellow"/>
          <w:lang w:val="en-US" w:eastAsia="zh-CN" w:bidi="ar-SA"/>
        </w:rPr>
      </w:pPr>
      <w:r>
        <w:rPr>
          <w:rFonts w:hint="default" w:ascii="Times New Roman" w:hAnsi="Times New Roman" w:eastAsia="方正仿宋_GB2312" w:cs="Times New Roman"/>
          <w:color w:val="auto"/>
          <w:sz w:val="32"/>
          <w:szCs w:val="32"/>
          <w:highlight w:val="none"/>
          <w:lang w:val="en-US" w:eastAsia="zh-CN"/>
        </w:rPr>
        <w:t>根据县文联2024年度决算报表与可执行指标执行情况表被评价单位2024年度预算项目共计2个，部门预算项目资金结余率小于10%有0个，大于10%有2个。</w:t>
      </w:r>
    </w:p>
    <w:p w14:paraId="6F299C79">
      <w:pPr>
        <w:numPr>
          <w:ilvl w:val="0"/>
          <w:numId w:val="0"/>
        </w:numPr>
        <w:tabs>
          <w:tab w:val="left" w:pos="479"/>
        </w:tabs>
        <w:ind w:firstLine="640" w:firstLineChars="200"/>
        <w:rPr>
          <w:rFonts w:hint="default" w:ascii="Times New Roman" w:hAnsi="Times New Roman" w:eastAsia="楷体" w:cs="Times New Roman"/>
          <w:sz w:val="32"/>
          <w:szCs w:val="32"/>
          <w:highlight w:val="none"/>
          <w:lang w:val="en-US" w:eastAsia="zh-CN"/>
        </w:rPr>
      </w:pPr>
      <w:r>
        <w:rPr>
          <w:rFonts w:hint="default" w:ascii="Times New Roman" w:hAnsi="Times New Roman" w:eastAsia="楷体" w:cs="Times New Roman"/>
          <w:sz w:val="32"/>
          <w:szCs w:val="32"/>
          <w:highlight w:val="none"/>
          <w:lang w:val="en-US" w:eastAsia="zh-CN"/>
        </w:rPr>
        <w:t>（四）预算绩效管理制度机制不够健全完善</w:t>
      </w:r>
    </w:p>
    <w:p w14:paraId="38D044E8">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截至评价日，县文联未将单位绩效管理情况未纳入内部考核体系且内部绩效结果未与预算挂钩。</w:t>
      </w:r>
    </w:p>
    <w:p w14:paraId="4EFDC167">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rPr>
      </w:pPr>
      <w:bookmarkStart w:id="150" w:name="_Toc29227"/>
      <w:bookmarkStart w:id="151" w:name="_Toc22775"/>
      <w:bookmarkStart w:id="152" w:name="_Toc5324"/>
      <w:r>
        <w:rPr>
          <w:rFonts w:hint="default" w:ascii="Times New Roman" w:hAnsi="Times New Roman" w:eastAsia="方正黑体简体" w:cs="Times New Roman"/>
          <w:color w:val="auto"/>
          <w:kern w:val="0"/>
          <w:sz w:val="32"/>
          <w:szCs w:val="32"/>
          <w:highlight w:val="none"/>
          <w:shd w:val="clear" w:color="auto" w:fill="FFFFFF"/>
          <w:lang w:val="en-US" w:eastAsia="zh-CN"/>
        </w:rPr>
        <w:t>六</w:t>
      </w:r>
      <w:r>
        <w:rPr>
          <w:rFonts w:hint="default" w:ascii="Times New Roman" w:hAnsi="Times New Roman" w:eastAsia="方正黑体简体" w:cs="Times New Roman"/>
          <w:color w:val="auto"/>
          <w:kern w:val="0"/>
          <w:sz w:val="32"/>
          <w:szCs w:val="32"/>
          <w:highlight w:val="none"/>
          <w:shd w:val="clear" w:color="auto" w:fill="FFFFFF"/>
        </w:rPr>
        <w:t>、相关措施建议</w:t>
      </w:r>
      <w:bookmarkEnd w:id="143"/>
      <w:bookmarkEnd w:id="144"/>
      <w:bookmarkEnd w:id="145"/>
      <w:bookmarkEnd w:id="146"/>
      <w:bookmarkEnd w:id="147"/>
      <w:bookmarkEnd w:id="148"/>
      <w:bookmarkEnd w:id="149"/>
      <w:bookmarkEnd w:id="150"/>
      <w:bookmarkEnd w:id="151"/>
      <w:bookmarkEnd w:id="152"/>
    </w:p>
    <w:p w14:paraId="0385D5D0">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highlight w:val="none"/>
          <w:shd w:val="clear" w:color="auto" w:fill="FFFFFF"/>
          <w:lang w:val="en-US" w:eastAsia="zh-CN"/>
        </w:rPr>
        <w:t>（一）规范项目绩效目标设置</w:t>
      </w:r>
    </w:p>
    <w:p w14:paraId="32B2BF9F">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加强绩效目标的审核，注重采用定量和定性评价相结合的方法，设置最具代表性，最能直接反映产出和效益的核心绩效指标和标准体系。对此次评价中未完成绩效目标或偏离绩效目标较大的项目要分析原因，对由于年初指标值设定明显偏低造成的，要按照偏离度适度调减分值。</w:t>
      </w:r>
    </w:p>
    <w:p w14:paraId="2F56402D">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highlight w:val="none"/>
          <w:shd w:val="clear" w:color="auto" w:fill="FFFFFF"/>
          <w:lang w:val="en-US" w:eastAsia="zh-CN"/>
        </w:rPr>
        <w:t>（二）绩效目标制定纳入部门集体决策范围</w:t>
      </w:r>
    </w:p>
    <w:p w14:paraId="214057D5">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建议将绩效目标制定纳入部门集体决策范围，通过集体决策增强绩效目标制定的科学性、可行性与准确性。</w:t>
      </w:r>
    </w:p>
    <w:p w14:paraId="585AA9FF">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highlight w:val="none"/>
          <w:shd w:val="clear" w:color="auto" w:fill="FFFFFF"/>
          <w:lang w:val="en-US" w:eastAsia="zh-CN"/>
        </w:rPr>
        <w:t>（三）提高预算执行率</w:t>
      </w:r>
    </w:p>
    <w:p w14:paraId="45854498">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加强对各部门预算执行过程的动态监督，及时掌握各部门预算执行过程中的情况和实时动态，完善预算执行情况定期通报机制，根据情况强化对财政资金拨款的管控，倒逼各部门加快项目进度。同时，各部门要切实履行好预算执行主体的职责，加强对本单位预算执行过程的调度管理，大力推进项目进度和支出进度，促进预算的有效执行和支出的及时实现，从而促进预算执行率的提升。</w:t>
      </w:r>
    </w:p>
    <w:p w14:paraId="7638CE2C">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shd w:val="clear" w:fill="FFFFFF"/>
          <w:lang w:val="en-US" w:eastAsia="zh-CN" w:bidi="ar-SA"/>
        </w:rPr>
        <w:t>（四）</w:t>
      </w:r>
      <w:r>
        <w:rPr>
          <w:rFonts w:hint="default" w:ascii="Times New Roman" w:hAnsi="Times New Roman" w:eastAsia="方正楷体简体" w:cs="Times New Roman"/>
          <w:color w:val="auto"/>
          <w:kern w:val="0"/>
          <w:sz w:val="32"/>
          <w:szCs w:val="32"/>
          <w:highlight w:val="none"/>
          <w:shd w:val="clear" w:color="auto" w:fill="FFFFFF"/>
          <w:lang w:val="en-US" w:eastAsia="zh-CN"/>
        </w:rPr>
        <w:t>健全完善预算绩效管理制度建设</w:t>
      </w:r>
    </w:p>
    <w:p w14:paraId="5E24A6C6">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应结合部门内部实际，在预算绩效管理方面，建立部门内部预算与绩效结果挂钩的机制，将部门内部预算自评纳入考核体系。进一步加强预算绩效管理制度建设，完善工作机制，强化责任落实，提高制度执行力，为部门预算管理的实施提供具体的指导意见，以确保财政资金使用的质量和效果。</w:t>
      </w:r>
      <w:bookmarkEnd w:id="141"/>
      <w:bookmarkEnd w:id="142"/>
    </w:p>
    <w:p w14:paraId="17B9FE00">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p>
    <w:p w14:paraId="085E1486">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bookmarkStart w:id="153" w:name="_Toc3238"/>
      <w:r>
        <w:rPr>
          <w:rFonts w:hint="default" w:ascii="Times New Roman" w:hAnsi="Times New Roman" w:eastAsia="方正仿宋_GB2312" w:cs="Times New Roman"/>
          <w:color w:val="auto"/>
          <w:sz w:val="32"/>
          <w:szCs w:val="32"/>
          <w:highlight w:val="none"/>
          <w:lang w:val="en-US" w:eastAsia="zh-CN"/>
        </w:rPr>
        <w:t>附件</w:t>
      </w:r>
      <w:r>
        <w:rPr>
          <w:rFonts w:hint="default" w:ascii="Times New Roman" w:hAnsi="Times New Roman" w:eastAsia="方正仿宋_GB2312" w:cs="Times New Roman"/>
          <w:color w:val="auto"/>
          <w:sz w:val="32"/>
          <w:szCs w:val="32"/>
          <w:highlight w:val="none"/>
          <w:lang w:val="en-US" w:eastAsia="zh"/>
        </w:rPr>
        <w:t>：</w:t>
      </w:r>
      <w:r>
        <w:rPr>
          <w:rFonts w:hint="default" w:ascii="Times New Roman" w:hAnsi="Times New Roman" w:eastAsia="方正仿宋_GB2312" w:cs="Times New Roman"/>
          <w:color w:val="auto"/>
          <w:sz w:val="32"/>
          <w:szCs w:val="32"/>
          <w:highlight w:val="none"/>
          <w:lang w:val="en-US" w:eastAsia="zh-CN"/>
        </w:rPr>
        <w:t>泸定县文学艺术和社会科学界联合会机关部门整体支出绩效评价指标体系表（评分表）</w:t>
      </w:r>
      <w:bookmarkEnd w:id="153"/>
    </w:p>
    <w:p w14:paraId="1EA4528E">
      <w:pPr>
        <w:pStyle w:val="7"/>
        <w:rPr>
          <w:rFonts w:hint="default" w:ascii="Times New Roman" w:hAnsi="Times New Roman" w:eastAsia="仿宋" w:cs="Times New Roman"/>
          <w:b w:val="0"/>
          <w:bCs w:val="0"/>
          <w:color w:val="auto"/>
          <w:sz w:val="32"/>
          <w:szCs w:val="32"/>
          <w:highlight w:val="none"/>
          <w:lang w:val="en-US" w:eastAsia="zh-CN"/>
        </w:rPr>
      </w:pPr>
    </w:p>
    <w:p w14:paraId="395A3C97">
      <w:pPr>
        <w:rPr>
          <w:rFonts w:hint="default" w:ascii="Times New Roman" w:hAnsi="Times New Roman" w:cs="Times New Roman"/>
          <w:sz w:val="32"/>
          <w:szCs w:val="32"/>
          <w:highlight w:val="none"/>
          <w:lang w:val="en-US" w:eastAsia="zh-CN"/>
        </w:rPr>
      </w:pPr>
    </w:p>
    <w:p w14:paraId="70D527B5">
      <w:pPr>
        <w:rPr>
          <w:rFonts w:hint="default" w:ascii="Times New Roman" w:hAnsi="Times New Roman" w:cs="Times New Roman"/>
          <w:sz w:val="32"/>
          <w:szCs w:val="32"/>
          <w:highlight w:val="none"/>
          <w:lang w:val="en-US" w:eastAsia="zh-CN"/>
        </w:rPr>
      </w:pPr>
    </w:p>
    <w:p w14:paraId="441518BE">
      <w:pPr>
        <w:rPr>
          <w:rFonts w:hint="default" w:ascii="Times New Roman" w:hAnsi="Times New Roman" w:cs="Times New Roman"/>
          <w:sz w:val="32"/>
          <w:szCs w:val="32"/>
          <w:highlight w:val="none"/>
          <w:lang w:val="en-US" w:eastAsia="zh-CN"/>
        </w:rPr>
      </w:pPr>
      <w:bookmarkStart w:id="154" w:name="_GoBack"/>
      <w:bookmarkEnd w:id="154"/>
    </w:p>
    <w:p w14:paraId="13AE82A2">
      <w:pPr>
        <w:rPr>
          <w:rFonts w:hint="default" w:ascii="Times New Roman" w:hAnsi="Times New Roman" w:cs="Times New Roman"/>
          <w:sz w:val="32"/>
          <w:szCs w:val="32"/>
          <w:highlight w:val="none"/>
          <w:lang w:val="en-US" w:eastAsia="zh-CN"/>
        </w:rPr>
      </w:pPr>
    </w:p>
    <w:p w14:paraId="599F7CA8">
      <w:pPr>
        <w:spacing w:line="600" w:lineRule="exact"/>
        <w:ind w:firstLine="640"/>
        <w:jc w:val="right"/>
        <w:rPr>
          <w:rFonts w:hint="default" w:ascii="Times New Roman" w:hAnsi="Times New Roman" w:eastAsia="方正仿宋_GB2312" w:cs="Times New Roman"/>
          <w:sz w:val="32"/>
          <w:szCs w:val="32"/>
          <w:highlight w:val="none"/>
        </w:rPr>
      </w:pPr>
      <w:r>
        <w:rPr>
          <w:rFonts w:hint="default" w:ascii="Times New Roman" w:hAnsi="Times New Roman" w:eastAsia="仿宋" w:cs="Times New Roman"/>
          <w:b w:val="0"/>
          <w:bCs w:val="0"/>
          <w:sz w:val="32"/>
          <w:szCs w:val="32"/>
          <w:highlight w:val="none"/>
          <w:lang w:eastAsia="zh-CN"/>
        </w:rPr>
        <w:t>　　　</w:t>
      </w:r>
      <w:r>
        <w:rPr>
          <w:rFonts w:hint="default" w:ascii="Times New Roman" w:hAnsi="Times New Roman" w:eastAsia="方正仿宋_GB2312" w:cs="Times New Roman"/>
          <w:sz w:val="32"/>
          <w:szCs w:val="32"/>
          <w:highlight w:val="none"/>
        </w:rPr>
        <w:t>泸定县财政局</w:t>
      </w:r>
    </w:p>
    <w:p w14:paraId="2BB865D4">
      <w:pPr>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default" w:ascii="Times New Roman" w:hAnsi="Times New Roman" w:eastAsia="方正仿宋_GB2312" w:cs="Times New Roman"/>
          <w:b w:val="0"/>
          <w:bCs w:val="0"/>
          <w:sz w:val="28"/>
          <w:szCs w:val="28"/>
          <w:highlight w:val="none"/>
          <w:lang w:eastAsia="zh-CN"/>
        </w:rPr>
      </w:pPr>
      <w:r>
        <w:rPr>
          <w:rFonts w:hint="default" w:ascii="Times New Roman" w:hAnsi="Times New Roman" w:eastAsia="方正仿宋_GB2312" w:cs="Times New Roman"/>
          <w:sz w:val="32"/>
          <w:szCs w:val="32"/>
          <w:highlight w:val="none"/>
        </w:rPr>
        <w:t>　　　　　　　　　　　2025年11月11日</w:t>
      </w:r>
    </w:p>
    <w:p w14:paraId="684009E6">
      <w:pPr>
        <w:rPr>
          <w:rFonts w:hint="default" w:ascii="Times New Roman" w:hAnsi="Times New Roman" w:cs="Times New Roman"/>
          <w:highlight w:val="none"/>
          <w:lang w:val="en-US" w:eastAsia="zh-CN"/>
        </w:rPr>
      </w:pPr>
    </w:p>
    <w:sectPr>
      <w:headerReference r:id="rId5" w:type="default"/>
      <w:footerReference r:id="rId6" w:type="default"/>
      <w:pgSz w:w="11906" w:h="16838"/>
      <w:pgMar w:top="1440" w:right="1803" w:bottom="1440" w:left="1803" w:header="680" w:footer="737" w:gutter="0"/>
      <w:pgNumType w:fmt="decimal"/>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embedRegular r:id="rId1" w:fontKey="{2BD843A6-8FD7-41F7-9B62-0F1363A84869}"/>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2" w:fontKey="{F8DD71AB-2C1B-449B-BA24-9883DD97C0B0}"/>
  </w:font>
  <w:font w:name="等线 Light">
    <w:altName w:val="宋体"/>
    <w:panose1 w:val="02010600030101010101"/>
    <w:charset w:val="86"/>
    <w:family w:val="auto"/>
    <w:pitch w:val="default"/>
    <w:sig w:usb0="00000000" w:usb1="00000000" w:usb2="00000016" w:usb3="00000000" w:csb0="0004000F" w:csb1="00000000"/>
  </w:font>
  <w:font w:name="方正小标宋_GBK">
    <w:panose1 w:val="02000000000000000000"/>
    <w:charset w:val="86"/>
    <w:family w:val="auto"/>
    <w:pitch w:val="default"/>
    <w:sig w:usb0="A00002BF" w:usb1="38CF7CFA" w:usb2="00082016" w:usb3="00000000" w:csb0="00040001" w:csb1="00000000"/>
  </w:font>
  <w:font w:name="方正仿宋_GB2312">
    <w:panose1 w:val="02000000000000000000"/>
    <w:charset w:val="86"/>
    <w:family w:val="auto"/>
    <w:pitch w:val="default"/>
    <w:sig w:usb0="A00002BF" w:usb1="184F6CFA" w:usb2="00000012" w:usb3="00000000" w:csb0="00040001" w:csb1="00000000"/>
    <w:embedRegular r:id="rId3" w:fontKey="{A65B0F8A-0EBD-421D-836A-23BFB4128482}"/>
  </w:font>
  <w:font w:name="方正黑体简体">
    <w:panose1 w:val="03000509000000000000"/>
    <w:charset w:val="86"/>
    <w:family w:val="auto"/>
    <w:pitch w:val="default"/>
    <w:sig w:usb0="00000001" w:usb1="080E0000" w:usb2="00000000" w:usb3="00000000" w:csb0="00040000" w:csb1="00000000"/>
    <w:embedRegular r:id="rId4" w:fontKey="{6B978346-F8C9-43EF-9FA8-1CD7E98DB987}"/>
  </w:font>
  <w:font w:name="方正楷体简体">
    <w:panose1 w:val="03000509000000000000"/>
    <w:charset w:val="86"/>
    <w:family w:val="auto"/>
    <w:pitch w:val="default"/>
    <w:sig w:usb0="00000001" w:usb1="080E0000" w:usb2="00000000" w:usb3="00000000" w:csb0="00040000" w:csb1="00000000"/>
    <w:embedRegular r:id="rId5" w:fontKey="{A44496B5-D831-4F46-B7B2-E661BFA0A7C6}"/>
  </w:font>
  <w:font w:name="方正小标宋简体">
    <w:panose1 w:val="03000509000000000000"/>
    <w:charset w:val="86"/>
    <w:family w:val="auto"/>
    <w:pitch w:val="default"/>
    <w:sig w:usb0="00000001" w:usb1="080E0000" w:usb2="00000000" w:usb3="00000000" w:csb0="00040000" w:csb1="00000000"/>
    <w:embedRegular r:id="rId6" w:fontKey="{EBF3FF92-1B16-42DF-B9C9-716DD97B3F5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0D31C">
    <w:pPr>
      <w:pStyle w:val="12"/>
      <w:ind w:firstLine="0" w:firstLineChars="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16C51E">
                          <w:pPr>
                            <w:pStyle w:val="12"/>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016C51E">
                    <w:pPr>
                      <w:pStyle w:val="12"/>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BAFDF">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2F3B84"/>
    <w:multiLevelType w:val="multilevel"/>
    <w:tmpl w:val="372F3B84"/>
    <w:lvl w:ilvl="0" w:tentative="0">
      <w:start w:val="1"/>
      <w:numFmt w:val="japaneseCounting"/>
      <w:pStyle w:val="4"/>
      <w:lvlText w:val="（%1）"/>
      <w:lvlJc w:val="left"/>
      <w:pPr>
        <w:ind w:left="1937" w:hanging="977"/>
      </w:pPr>
      <w:rPr>
        <w:rFonts w:hint="default"/>
      </w:rPr>
    </w:lvl>
    <w:lvl w:ilvl="1" w:tentative="0">
      <w:start w:val="1"/>
      <w:numFmt w:val="lowerLetter"/>
      <w:lvlText w:val="%2)"/>
      <w:lvlJc w:val="left"/>
      <w:pPr>
        <w:ind w:left="1840" w:hanging="440"/>
      </w:pPr>
    </w:lvl>
    <w:lvl w:ilvl="2" w:tentative="0">
      <w:start w:val="1"/>
      <w:numFmt w:val="lowerRoman"/>
      <w:lvlText w:val="%3."/>
      <w:lvlJc w:val="right"/>
      <w:pPr>
        <w:ind w:left="2280" w:hanging="440"/>
      </w:pPr>
    </w:lvl>
    <w:lvl w:ilvl="3" w:tentative="0">
      <w:start w:val="1"/>
      <w:numFmt w:val="decimal"/>
      <w:lvlText w:val="%4."/>
      <w:lvlJc w:val="left"/>
      <w:pPr>
        <w:ind w:left="2720" w:hanging="440"/>
      </w:pPr>
    </w:lvl>
    <w:lvl w:ilvl="4" w:tentative="0">
      <w:start w:val="1"/>
      <w:numFmt w:val="lowerLetter"/>
      <w:lvlText w:val="%5)"/>
      <w:lvlJc w:val="left"/>
      <w:pPr>
        <w:ind w:left="3160" w:hanging="440"/>
      </w:pPr>
    </w:lvl>
    <w:lvl w:ilvl="5" w:tentative="0">
      <w:start w:val="1"/>
      <w:numFmt w:val="lowerRoman"/>
      <w:lvlText w:val="%6."/>
      <w:lvlJc w:val="right"/>
      <w:pPr>
        <w:ind w:left="3600" w:hanging="440"/>
      </w:pPr>
    </w:lvl>
    <w:lvl w:ilvl="6" w:tentative="0">
      <w:start w:val="1"/>
      <w:numFmt w:val="decimal"/>
      <w:lvlText w:val="%7."/>
      <w:lvlJc w:val="left"/>
      <w:pPr>
        <w:ind w:left="4040" w:hanging="440"/>
      </w:pPr>
    </w:lvl>
    <w:lvl w:ilvl="7" w:tentative="0">
      <w:start w:val="1"/>
      <w:numFmt w:val="lowerLetter"/>
      <w:lvlText w:val="%8)"/>
      <w:lvlJc w:val="left"/>
      <w:pPr>
        <w:ind w:left="4480" w:hanging="440"/>
      </w:pPr>
    </w:lvl>
    <w:lvl w:ilvl="8" w:tentative="0">
      <w:start w:val="1"/>
      <w:numFmt w:val="lowerRoman"/>
      <w:lvlText w:val="%9."/>
      <w:lvlJc w:val="right"/>
      <w:pPr>
        <w:ind w:left="4920" w:hanging="440"/>
      </w:p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3"/>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5M2JhZjNlZGRmY2I3MDBiNjBkZWI3YTgzNWY3NWE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395070"/>
    <w:rsid w:val="015B3238"/>
    <w:rsid w:val="0174274A"/>
    <w:rsid w:val="01AE1362"/>
    <w:rsid w:val="0209008E"/>
    <w:rsid w:val="0221101D"/>
    <w:rsid w:val="028212C5"/>
    <w:rsid w:val="02B56978"/>
    <w:rsid w:val="031D77B8"/>
    <w:rsid w:val="03435D32"/>
    <w:rsid w:val="034B0AC6"/>
    <w:rsid w:val="03BD26AA"/>
    <w:rsid w:val="03C46413"/>
    <w:rsid w:val="03F043C9"/>
    <w:rsid w:val="03F5560D"/>
    <w:rsid w:val="05370DC3"/>
    <w:rsid w:val="05704583"/>
    <w:rsid w:val="05AE5131"/>
    <w:rsid w:val="069B1F26"/>
    <w:rsid w:val="06E2185D"/>
    <w:rsid w:val="071C5217"/>
    <w:rsid w:val="074574B7"/>
    <w:rsid w:val="077F711D"/>
    <w:rsid w:val="0815093A"/>
    <w:rsid w:val="08280844"/>
    <w:rsid w:val="08321414"/>
    <w:rsid w:val="08BC09C7"/>
    <w:rsid w:val="08CA0DBA"/>
    <w:rsid w:val="0AA10A64"/>
    <w:rsid w:val="0AAA2B3A"/>
    <w:rsid w:val="0ADC4692"/>
    <w:rsid w:val="0BD10723"/>
    <w:rsid w:val="0C0A3890"/>
    <w:rsid w:val="0C82214A"/>
    <w:rsid w:val="0CC90B55"/>
    <w:rsid w:val="0CF63E15"/>
    <w:rsid w:val="0D0C53E6"/>
    <w:rsid w:val="0D4639D6"/>
    <w:rsid w:val="0D7279BB"/>
    <w:rsid w:val="0D7C008D"/>
    <w:rsid w:val="0DA06897"/>
    <w:rsid w:val="0DF462ED"/>
    <w:rsid w:val="0DF90060"/>
    <w:rsid w:val="0E19564B"/>
    <w:rsid w:val="0E3E5A73"/>
    <w:rsid w:val="0E522B49"/>
    <w:rsid w:val="0E5E23AA"/>
    <w:rsid w:val="0E6050D4"/>
    <w:rsid w:val="0E7F3C56"/>
    <w:rsid w:val="0EE4486D"/>
    <w:rsid w:val="0EF40828"/>
    <w:rsid w:val="0EF610D2"/>
    <w:rsid w:val="0EF97BEC"/>
    <w:rsid w:val="0F207817"/>
    <w:rsid w:val="0F24115F"/>
    <w:rsid w:val="0F7D48CD"/>
    <w:rsid w:val="0F851480"/>
    <w:rsid w:val="0F895427"/>
    <w:rsid w:val="0FA36556"/>
    <w:rsid w:val="100F5919"/>
    <w:rsid w:val="10433815"/>
    <w:rsid w:val="10607EBA"/>
    <w:rsid w:val="10A609B0"/>
    <w:rsid w:val="10C177C0"/>
    <w:rsid w:val="10FB12CE"/>
    <w:rsid w:val="11034D52"/>
    <w:rsid w:val="11641A35"/>
    <w:rsid w:val="11A54F88"/>
    <w:rsid w:val="11A55E09"/>
    <w:rsid w:val="1256364C"/>
    <w:rsid w:val="12F71BB3"/>
    <w:rsid w:val="130C25E4"/>
    <w:rsid w:val="13185DC7"/>
    <w:rsid w:val="13445E84"/>
    <w:rsid w:val="13463C67"/>
    <w:rsid w:val="134E407D"/>
    <w:rsid w:val="136916A0"/>
    <w:rsid w:val="13BF191E"/>
    <w:rsid w:val="13DD5D2E"/>
    <w:rsid w:val="144B4CE8"/>
    <w:rsid w:val="14827494"/>
    <w:rsid w:val="14DA48CB"/>
    <w:rsid w:val="14DA73CD"/>
    <w:rsid w:val="14DE1D5E"/>
    <w:rsid w:val="151B6B0E"/>
    <w:rsid w:val="153C7438"/>
    <w:rsid w:val="155B04E5"/>
    <w:rsid w:val="15762967"/>
    <w:rsid w:val="15C0420D"/>
    <w:rsid w:val="15C42D02"/>
    <w:rsid w:val="16310CFC"/>
    <w:rsid w:val="164E7445"/>
    <w:rsid w:val="16521418"/>
    <w:rsid w:val="167B192A"/>
    <w:rsid w:val="168D3A3C"/>
    <w:rsid w:val="169F376F"/>
    <w:rsid w:val="16BA737C"/>
    <w:rsid w:val="17404D18"/>
    <w:rsid w:val="178D5376"/>
    <w:rsid w:val="179E79D9"/>
    <w:rsid w:val="17FD7EEE"/>
    <w:rsid w:val="180A196B"/>
    <w:rsid w:val="181B0371"/>
    <w:rsid w:val="186A5A33"/>
    <w:rsid w:val="18A93AFC"/>
    <w:rsid w:val="18BC4164"/>
    <w:rsid w:val="18DA3FE0"/>
    <w:rsid w:val="18DD5A8A"/>
    <w:rsid w:val="190A1D86"/>
    <w:rsid w:val="195A2D50"/>
    <w:rsid w:val="196B6F54"/>
    <w:rsid w:val="19CD71FA"/>
    <w:rsid w:val="19E605C7"/>
    <w:rsid w:val="1A48253C"/>
    <w:rsid w:val="1A94413A"/>
    <w:rsid w:val="1AA475A6"/>
    <w:rsid w:val="1AC02064"/>
    <w:rsid w:val="1AF776D6"/>
    <w:rsid w:val="1B0B2AA5"/>
    <w:rsid w:val="1B334486"/>
    <w:rsid w:val="1BDF6BC8"/>
    <w:rsid w:val="1C141C3C"/>
    <w:rsid w:val="1C2C3D72"/>
    <w:rsid w:val="1C535707"/>
    <w:rsid w:val="1C580E62"/>
    <w:rsid w:val="1C975E00"/>
    <w:rsid w:val="1C9C0997"/>
    <w:rsid w:val="1CEE6A53"/>
    <w:rsid w:val="1D046172"/>
    <w:rsid w:val="1D484219"/>
    <w:rsid w:val="1D4F18C5"/>
    <w:rsid w:val="1D9A1CE4"/>
    <w:rsid w:val="1DD67D6F"/>
    <w:rsid w:val="1E036392"/>
    <w:rsid w:val="1E0C3498"/>
    <w:rsid w:val="1ED16069"/>
    <w:rsid w:val="1ED24185"/>
    <w:rsid w:val="1ED35C04"/>
    <w:rsid w:val="1ED903FD"/>
    <w:rsid w:val="1EE16233"/>
    <w:rsid w:val="1EFB57A6"/>
    <w:rsid w:val="1F372797"/>
    <w:rsid w:val="1F406C39"/>
    <w:rsid w:val="1FB262C1"/>
    <w:rsid w:val="1FD20322"/>
    <w:rsid w:val="1FE92B41"/>
    <w:rsid w:val="1FFEDEEE"/>
    <w:rsid w:val="201E1FEE"/>
    <w:rsid w:val="202E7632"/>
    <w:rsid w:val="20533B33"/>
    <w:rsid w:val="207456E4"/>
    <w:rsid w:val="20A3724F"/>
    <w:rsid w:val="20CB7E98"/>
    <w:rsid w:val="21355B3E"/>
    <w:rsid w:val="21CC56B8"/>
    <w:rsid w:val="21F711A6"/>
    <w:rsid w:val="22460F43"/>
    <w:rsid w:val="22612BC4"/>
    <w:rsid w:val="2297354C"/>
    <w:rsid w:val="22DD16D2"/>
    <w:rsid w:val="22F7E8FF"/>
    <w:rsid w:val="23386ADD"/>
    <w:rsid w:val="234C0C7F"/>
    <w:rsid w:val="23A67EEB"/>
    <w:rsid w:val="23F46FD7"/>
    <w:rsid w:val="24283899"/>
    <w:rsid w:val="243D258D"/>
    <w:rsid w:val="24436E8F"/>
    <w:rsid w:val="248C4080"/>
    <w:rsid w:val="24C04FDC"/>
    <w:rsid w:val="24FD16C3"/>
    <w:rsid w:val="25790BDA"/>
    <w:rsid w:val="25F533FB"/>
    <w:rsid w:val="26331263"/>
    <w:rsid w:val="263F3713"/>
    <w:rsid w:val="265058AE"/>
    <w:rsid w:val="265F3B15"/>
    <w:rsid w:val="269C2300"/>
    <w:rsid w:val="271534C4"/>
    <w:rsid w:val="271E56C4"/>
    <w:rsid w:val="27391076"/>
    <w:rsid w:val="273B0505"/>
    <w:rsid w:val="277338DD"/>
    <w:rsid w:val="27A6495D"/>
    <w:rsid w:val="27F31AB9"/>
    <w:rsid w:val="27F60C89"/>
    <w:rsid w:val="27FFC5C7"/>
    <w:rsid w:val="282B56B9"/>
    <w:rsid w:val="28371A2F"/>
    <w:rsid w:val="284452E7"/>
    <w:rsid w:val="28523CBE"/>
    <w:rsid w:val="28757938"/>
    <w:rsid w:val="28860508"/>
    <w:rsid w:val="28950ECF"/>
    <w:rsid w:val="291B3F45"/>
    <w:rsid w:val="294B0B24"/>
    <w:rsid w:val="29581F66"/>
    <w:rsid w:val="29942B89"/>
    <w:rsid w:val="2A0E67EA"/>
    <w:rsid w:val="2A14341E"/>
    <w:rsid w:val="2A257690"/>
    <w:rsid w:val="2A3049B2"/>
    <w:rsid w:val="2A817549"/>
    <w:rsid w:val="2AC554D1"/>
    <w:rsid w:val="2ADB2B70"/>
    <w:rsid w:val="2B275DB5"/>
    <w:rsid w:val="2B625A5F"/>
    <w:rsid w:val="2BBE5215"/>
    <w:rsid w:val="2BD70482"/>
    <w:rsid w:val="2C2F0835"/>
    <w:rsid w:val="2CBB4441"/>
    <w:rsid w:val="2CC80ED2"/>
    <w:rsid w:val="2CD1263C"/>
    <w:rsid w:val="2CF37A27"/>
    <w:rsid w:val="2CF74E38"/>
    <w:rsid w:val="2D241E80"/>
    <w:rsid w:val="2D324D1A"/>
    <w:rsid w:val="2D525A3B"/>
    <w:rsid w:val="2D6319D3"/>
    <w:rsid w:val="2D9D27E0"/>
    <w:rsid w:val="2DE812E1"/>
    <w:rsid w:val="2E750BE6"/>
    <w:rsid w:val="2E7B50BC"/>
    <w:rsid w:val="2E982D28"/>
    <w:rsid w:val="2EAE40F8"/>
    <w:rsid w:val="2ED1320F"/>
    <w:rsid w:val="2F040BD9"/>
    <w:rsid w:val="2F3274A5"/>
    <w:rsid w:val="2F6C3146"/>
    <w:rsid w:val="2FBBA5AB"/>
    <w:rsid w:val="2FBF381C"/>
    <w:rsid w:val="2FC260AC"/>
    <w:rsid w:val="2FD91648"/>
    <w:rsid w:val="2FEF2A5C"/>
    <w:rsid w:val="3052247A"/>
    <w:rsid w:val="305D77B8"/>
    <w:rsid w:val="3090670D"/>
    <w:rsid w:val="312B48AF"/>
    <w:rsid w:val="31B5579D"/>
    <w:rsid w:val="32A47AB4"/>
    <w:rsid w:val="32CB27BC"/>
    <w:rsid w:val="33105381"/>
    <w:rsid w:val="336B6A5B"/>
    <w:rsid w:val="337B49B9"/>
    <w:rsid w:val="33837682"/>
    <w:rsid w:val="33BD27DF"/>
    <w:rsid w:val="33EB569F"/>
    <w:rsid w:val="33FA0C54"/>
    <w:rsid w:val="34113BD6"/>
    <w:rsid w:val="34140406"/>
    <w:rsid w:val="342C7375"/>
    <w:rsid w:val="34B42BB5"/>
    <w:rsid w:val="34C73C1C"/>
    <w:rsid w:val="350D6544"/>
    <w:rsid w:val="35EE2E3C"/>
    <w:rsid w:val="36001598"/>
    <w:rsid w:val="360308FA"/>
    <w:rsid w:val="36527A5E"/>
    <w:rsid w:val="36870F62"/>
    <w:rsid w:val="369B1CB2"/>
    <w:rsid w:val="36BF54EC"/>
    <w:rsid w:val="36C17759"/>
    <w:rsid w:val="36DC449D"/>
    <w:rsid w:val="36F56951"/>
    <w:rsid w:val="37E36263"/>
    <w:rsid w:val="37EE368E"/>
    <w:rsid w:val="38554F2F"/>
    <w:rsid w:val="38693545"/>
    <w:rsid w:val="38C96200"/>
    <w:rsid w:val="38D85C62"/>
    <w:rsid w:val="390E6F8C"/>
    <w:rsid w:val="39131F2C"/>
    <w:rsid w:val="39374DDA"/>
    <w:rsid w:val="393C614A"/>
    <w:rsid w:val="39411EEC"/>
    <w:rsid w:val="39935632"/>
    <w:rsid w:val="39E6508D"/>
    <w:rsid w:val="3A3949DD"/>
    <w:rsid w:val="3A4A7C37"/>
    <w:rsid w:val="3A7649A2"/>
    <w:rsid w:val="3A81279A"/>
    <w:rsid w:val="3AE5274E"/>
    <w:rsid w:val="3B072D35"/>
    <w:rsid w:val="3B3301C2"/>
    <w:rsid w:val="3B626037"/>
    <w:rsid w:val="3BD70C1C"/>
    <w:rsid w:val="3C065573"/>
    <w:rsid w:val="3C4B567C"/>
    <w:rsid w:val="3C837FE5"/>
    <w:rsid w:val="3CB15DE8"/>
    <w:rsid w:val="3D1F22E5"/>
    <w:rsid w:val="3D3960CA"/>
    <w:rsid w:val="3D997564"/>
    <w:rsid w:val="3DB744C0"/>
    <w:rsid w:val="3DB8289D"/>
    <w:rsid w:val="3DE87F46"/>
    <w:rsid w:val="3DFC2E05"/>
    <w:rsid w:val="3E144470"/>
    <w:rsid w:val="3E432DCF"/>
    <w:rsid w:val="3E8E1632"/>
    <w:rsid w:val="3F3E2FE9"/>
    <w:rsid w:val="3F5605BF"/>
    <w:rsid w:val="3F646F3E"/>
    <w:rsid w:val="3F7B5870"/>
    <w:rsid w:val="3FAD280D"/>
    <w:rsid w:val="3FAFC9F3"/>
    <w:rsid w:val="3FBD0AA0"/>
    <w:rsid w:val="3FBFE8A3"/>
    <w:rsid w:val="3FBFF11E"/>
    <w:rsid w:val="3FC78042"/>
    <w:rsid w:val="3FCF6EEE"/>
    <w:rsid w:val="3FFA9567"/>
    <w:rsid w:val="3FFBC9EC"/>
    <w:rsid w:val="3FFFEA14"/>
    <w:rsid w:val="400D7690"/>
    <w:rsid w:val="4069560F"/>
    <w:rsid w:val="412070D7"/>
    <w:rsid w:val="41322966"/>
    <w:rsid w:val="414508EB"/>
    <w:rsid w:val="41670862"/>
    <w:rsid w:val="41731B45"/>
    <w:rsid w:val="41DC7289"/>
    <w:rsid w:val="41FD2ABB"/>
    <w:rsid w:val="421C165C"/>
    <w:rsid w:val="423D5A66"/>
    <w:rsid w:val="42811671"/>
    <w:rsid w:val="428B71EF"/>
    <w:rsid w:val="42A2347D"/>
    <w:rsid w:val="43251644"/>
    <w:rsid w:val="43802285"/>
    <w:rsid w:val="43A7F1A6"/>
    <w:rsid w:val="43D2284D"/>
    <w:rsid w:val="43ED42A2"/>
    <w:rsid w:val="44865DC2"/>
    <w:rsid w:val="44986F84"/>
    <w:rsid w:val="44A86EA6"/>
    <w:rsid w:val="44B03869"/>
    <w:rsid w:val="44B958DC"/>
    <w:rsid w:val="44E65F41"/>
    <w:rsid w:val="44FE2B7A"/>
    <w:rsid w:val="45221C05"/>
    <w:rsid w:val="45576E3F"/>
    <w:rsid w:val="455812EC"/>
    <w:rsid w:val="456F5F37"/>
    <w:rsid w:val="45761D23"/>
    <w:rsid w:val="4593493B"/>
    <w:rsid w:val="459B16D3"/>
    <w:rsid w:val="459E4A6E"/>
    <w:rsid w:val="45C269AF"/>
    <w:rsid w:val="45F31D67"/>
    <w:rsid w:val="45FF29D4"/>
    <w:rsid w:val="462A15BD"/>
    <w:rsid w:val="4633306D"/>
    <w:rsid w:val="46625636"/>
    <w:rsid w:val="46E2098A"/>
    <w:rsid w:val="470879FF"/>
    <w:rsid w:val="4712301E"/>
    <w:rsid w:val="477D22C4"/>
    <w:rsid w:val="478C7274"/>
    <w:rsid w:val="47970F04"/>
    <w:rsid w:val="48D56225"/>
    <w:rsid w:val="493C0826"/>
    <w:rsid w:val="49D23684"/>
    <w:rsid w:val="49E41186"/>
    <w:rsid w:val="49F243D5"/>
    <w:rsid w:val="4A3F0AC3"/>
    <w:rsid w:val="4A6E0EB3"/>
    <w:rsid w:val="4AD1435D"/>
    <w:rsid w:val="4AFA2C7B"/>
    <w:rsid w:val="4B0435C5"/>
    <w:rsid w:val="4B58271A"/>
    <w:rsid w:val="4B6B11A9"/>
    <w:rsid w:val="4B9C6B82"/>
    <w:rsid w:val="4BDE4024"/>
    <w:rsid w:val="4C1635B0"/>
    <w:rsid w:val="4C907F6D"/>
    <w:rsid w:val="4CA46E0E"/>
    <w:rsid w:val="4CAE35BE"/>
    <w:rsid w:val="4CFC2039"/>
    <w:rsid w:val="4D101EA3"/>
    <w:rsid w:val="4D111FCA"/>
    <w:rsid w:val="4D3E2370"/>
    <w:rsid w:val="4D6E449B"/>
    <w:rsid w:val="4E4222D2"/>
    <w:rsid w:val="4F0A34DF"/>
    <w:rsid w:val="4F5F5C7E"/>
    <w:rsid w:val="4F7241B1"/>
    <w:rsid w:val="4FCD04DF"/>
    <w:rsid w:val="4FF7181A"/>
    <w:rsid w:val="4FFE309A"/>
    <w:rsid w:val="507D0BBC"/>
    <w:rsid w:val="507E6B2A"/>
    <w:rsid w:val="50F87728"/>
    <w:rsid w:val="51290B58"/>
    <w:rsid w:val="51381763"/>
    <w:rsid w:val="51842D6A"/>
    <w:rsid w:val="51960840"/>
    <w:rsid w:val="51D7639A"/>
    <w:rsid w:val="51E2208C"/>
    <w:rsid w:val="5221572C"/>
    <w:rsid w:val="52265F38"/>
    <w:rsid w:val="52291B63"/>
    <w:rsid w:val="527E3C5D"/>
    <w:rsid w:val="52EF2BDF"/>
    <w:rsid w:val="535B753F"/>
    <w:rsid w:val="53B16AD7"/>
    <w:rsid w:val="543748C0"/>
    <w:rsid w:val="548D0188"/>
    <w:rsid w:val="54B716A8"/>
    <w:rsid w:val="55516FE9"/>
    <w:rsid w:val="55681707"/>
    <w:rsid w:val="55AC2CD2"/>
    <w:rsid w:val="55B812E3"/>
    <w:rsid w:val="55D82153"/>
    <w:rsid w:val="561A2F05"/>
    <w:rsid w:val="566E5A78"/>
    <w:rsid w:val="56A7003A"/>
    <w:rsid w:val="575D29C4"/>
    <w:rsid w:val="577B4EF8"/>
    <w:rsid w:val="57950BEC"/>
    <w:rsid w:val="579A41D9"/>
    <w:rsid w:val="57BD01C5"/>
    <w:rsid w:val="57BE73BD"/>
    <w:rsid w:val="57C56C55"/>
    <w:rsid w:val="57E13BCA"/>
    <w:rsid w:val="57EAF5E5"/>
    <w:rsid w:val="58334AD1"/>
    <w:rsid w:val="5864421C"/>
    <w:rsid w:val="58F55AD6"/>
    <w:rsid w:val="5901172B"/>
    <w:rsid w:val="594F3C5E"/>
    <w:rsid w:val="59561F19"/>
    <w:rsid w:val="596B1981"/>
    <w:rsid w:val="598002BB"/>
    <w:rsid w:val="59821BED"/>
    <w:rsid w:val="59CF4D9E"/>
    <w:rsid w:val="59DE4A58"/>
    <w:rsid w:val="59EE791A"/>
    <w:rsid w:val="5A56101C"/>
    <w:rsid w:val="5AB4383C"/>
    <w:rsid w:val="5AED719F"/>
    <w:rsid w:val="5B0A7A07"/>
    <w:rsid w:val="5B1433B1"/>
    <w:rsid w:val="5B353327"/>
    <w:rsid w:val="5B3C271A"/>
    <w:rsid w:val="5B3F384B"/>
    <w:rsid w:val="5B493C93"/>
    <w:rsid w:val="5B5F5E1B"/>
    <w:rsid w:val="5B685559"/>
    <w:rsid w:val="5B8F6EDB"/>
    <w:rsid w:val="5BE414C5"/>
    <w:rsid w:val="5BFBC47E"/>
    <w:rsid w:val="5BFBFEEF"/>
    <w:rsid w:val="5BFE6DE9"/>
    <w:rsid w:val="5C1E1F40"/>
    <w:rsid w:val="5C5537BA"/>
    <w:rsid w:val="5C694A22"/>
    <w:rsid w:val="5C7458E1"/>
    <w:rsid w:val="5CBF46AD"/>
    <w:rsid w:val="5CE479D1"/>
    <w:rsid w:val="5CFF3025"/>
    <w:rsid w:val="5D3C5456"/>
    <w:rsid w:val="5D3E2967"/>
    <w:rsid w:val="5D7B4679"/>
    <w:rsid w:val="5D7C3989"/>
    <w:rsid w:val="5DCDBD87"/>
    <w:rsid w:val="5E6D6710"/>
    <w:rsid w:val="5E7C5B9B"/>
    <w:rsid w:val="5EA82B76"/>
    <w:rsid w:val="5EB1D3F4"/>
    <w:rsid w:val="5EDB5F93"/>
    <w:rsid w:val="5F246AEA"/>
    <w:rsid w:val="5F3B183F"/>
    <w:rsid w:val="5F5617FE"/>
    <w:rsid w:val="5F562031"/>
    <w:rsid w:val="5F774ACC"/>
    <w:rsid w:val="5F9C373E"/>
    <w:rsid w:val="5FBF7263"/>
    <w:rsid w:val="5FCF84ED"/>
    <w:rsid w:val="5FDB26EF"/>
    <w:rsid w:val="5FDFC83C"/>
    <w:rsid w:val="5FF7A0DE"/>
    <w:rsid w:val="60017C7C"/>
    <w:rsid w:val="6020741B"/>
    <w:rsid w:val="60695F4D"/>
    <w:rsid w:val="608914CC"/>
    <w:rsid w:val="6094289E"/>
    <w:rsid w:val="60A725D1"/>
    <w:rsid w:val="60D13AF2"/>
    <w:rsid w:val="60F11867"/>
    <w:rsid w:val="61035425"/>
    <w:rsid w:val="61492D1C"/>
    <w:rsid w:val="615C16D6"/>
    <w:rsid w:val="618A3DC3"/>
    <w:rsid w:val="61C15430"/>
    <w:rsid w:val="61E46B12"/>
    <w:rsid w:val="6200643D"/>
    <w:rsid w:val="62102CE3"/>
    <w:rsid w:val="62222B09"/>
    <w:rsid w:val="62311D7E"/>
    <w:rsid w:val="62350D51"/>
    <w:rsid w:val="627C5614"/>
    <w:rsid w:val="62BA758E"/>
    <w:rsid w:val="62BB6119"/>
    <w:rsid w:val="62D11B87"/>
    <w:rsid w:val="630D7F41"/>
    <w:rsid w:val="630F26B0"/>
    <w:rsid w:val="636724EC"/>
    <w:rsid w:val="636C18B0"/>
    <w:rsid w:val="63A71F74"/>
    <w:rsid w:val="63ED0D4F"/>
    <w:rsid w:val="64FE5F84"/>
    <w:rsid w:val="652F1904"/>
    <w:rsid w:val="65835D1E"/>
    <w:rsid w:val="65BF660F"/>
    <w:rsid w:val="65C7404D"/>
    <w:rsid w:val="65F17436"/>
    <w:rsid w:val="664669D8"/>
    <w:rsid w:val="66BB8914"/>
    <w:rsid w:val="66C0483B"/>
    <w:rsid w:val="66CC410D"/>
    <w:rsid w:val="66EE54A9"/>
    <w:rsid w:val="67152FB8"/>
    <w:rsid w:val="673821D5"/>
    <w:rsid w:val="67551304"/>
    <w:rsid w:val="676254A4"/>
    <w:rsid w:val="678D0D6C"/>
    <w:rsid w:val="67AB4C59"/>
    <w:rsid w:val="67C96B35"/>
    <w:rsid w:val="67D8ED11"/>
    <w:rsid w:val="684306E9"/>
    <w:rsid w:val="68723580"/>
    <w:rsid w:val="68994500"/>
    <w:rsid w:val="69172000"/>
    <w:rsid w:val="697F1380"/>
    <w:rsid w:val="699A1F8A"/>
    <w:rsid w:val="69A93917"/>
    <w:rsid w:val="69F84725"/>
    <w:rsid w:val="6A4A3BFD"/>
    <w:rsid w:val="6AF74155"/>
    <w:rsid w:val="6B43739A"/>
    <w:rsid w:val="6BCE4EB6"/>
    <w:rsid w:val="6BFFA4D9"/>
    <w:rsid w:val="6C196A9A"/>
    <w:rsid w:val="6C590980"/>
    <w:rsid w:val="6C75429C"/>
    <w:rsid w:val="6C7D23DE"/>
    <w:rsid w:val="6C8163CC"/>
    <w:rsid w:val="6C862912"/>
    <w:rsid w:val="6CFA1652"/>
    <w:rsid w:val="6CFC1EF7"/>
    <w:rsid w:val="6CFD7E08"/>
    <w:rsid w:val="6D0F4A6A"/>
    <w:rsid w:val="6D3D4391"/>
    <w:rsid w:val="6D4F2BB4"/>
    <w:rsid w:val="6D8E68B6"/>
    <w:rsid w:val="6DB91B96"/>
    <w:rsid w:val="6DCD214C"/>
    <w:rsid w:val="6E3C3302"/>
    <w:rsid w:val="6E7E0482"/>
    <w:rsid w:val="6E7F1593"/>
    <w:rsid w:val="6E8B15BA"/>
    <w:rsid w:val="6EC3F98A"/>
    <w:rsid w:val="6EDE010C"/>
    <w:rsid w:val="6EFE7E0F"/>
    <w:rsid w:val="6F5F3DDC"/>
    <w:rsid w:val="6FBF4705"/>
    <w:rsid w:val="6FC06BC3"/>
    <w:rsid w:val="6FC24E02"/>
    <w:rsid w:val="6FCD2B35"/>
    <w:rsid w:val="6FEFDAF3"/>
    <w:rsid w:val="6FF658FB"/>
    <w:rsid w:val="6FFB1FF0"/>
    <w:rsid w:val="6FFEF6BD"/>
    <w:rsid w:val="70161521"/>
    <w:rsid w:val="70756248"/>
    <w:rsid w:val="70983CE4"/>
    <w:rsid w:val="70BB65E4"/>
    <w:rsid w:val="70C04FE9"/>
    <w:rsid w:val="70E817A2"/>
    <w:rsid w:val="70EF71B7"/>
    <w:rsid w:val="70FAFB2A"/>
    <w:rsid w:val="71506ACE"/>
    <w:rsid w:val="716138A0"/>
    <w:rsid w:val="71753151"/>
    <w:rsid w:val="71867FE1"/>
    <w:rsid w:val="71A73D3E"/>
    <w:rsid w:val="71AD1A11"/>
    <w:rsid w:val="71D4087A"/>
    <w:rsid w:val="71E34413"/>
    <w:rsid w:val="71FE401B"/>
    <w:rsid w:val="726A16B0"/>
    <w:rsid w:val="727D4F24"/>
    <w:rsid w:val="72822E9E"/>
    <w:rsid w:val="72A146DD"/>
    <w:rsid w:val="72A70FAA"/>
    <w:rsid w:val="72DD1E82"/>
    <w:rsid w:val="72E66F89"/>
    <w:rsid w:val="73113F43"/>
    <w:rsid w:val="734944D8"/>
    <w:rsid w:val="7357511D"/>
    <w:rsid w:val="737446DD"/>
    <w:rsid w:val="737A3B75"/>
    <w:rsid w:val="737C1264"/>
    <w:rsid w:val="739B12EB"/>
    <w:rsid w:val="73A007FF"/>
    <w:rsid w:val="73AB6533"/>
    <w:rsid w:val="74620891"/>
    <w:rsid w:val="74D774D1"/>
    <w:rsid w:val="74E42203"/>
    <w:rsid w:val="751F197F"/>
    <w:rsid w:val="75297601"/>
    <w:rsid w:val="752C5839"/>
    <w:rsid w:val="758650B4"/>
    <w:rsid w:val="759E9462"/>
    <w:rsid w:val="75AB7F59"/>
    <w:rsid w:val="75D9457B"/>
    <w:rsid w:val="75E579CC"/>
    <w:rsid w:val="7613520C"/>
    <w:rsid w:val="76301170"/>
    <w:rsid w:val="763E70DC"/>
    <w:rsid w:val="76937428"/>
    <w:rsid w:val="76DD68F5"/>
    <w:rsid w:val="76EB7264"/>
    <w:rsid w:val="76EEE66D"/>
    <w:rsid w:val="76EF82A2"/>
    <w:rsid w:val="76F20DAE"/>
    <w:rsid w:val="76FBFBCD"/>
    <w:rsid w:val="77245415"/>
    <w:rsid w:val="77503BA8"/>
    <w:rsid w:val="77B03C03"/>
    <w:rsid w:val="77B627D2"/>
    <w:rsid w:val="77BDFB3C"/>
    <w:rsid w:val="77BF2551"/>
    <w:rsid w:val="77CB4ADD"/>
    <w:rsid w:val="77F50D0E"/>
    <w:rsid w:val="77FCCDF3"/>
    <w:rsid w:val="7821727C"/>
    <w:rsid w:val="78243701"/>
    <w:rsid w:val="782E0A91"/>
    <w:rsid w:val="7866291A"/>
    <w:rsid w:val="788E7EA5"/>
    <w:rsid w:val="78A639F9"/>
    <w:rsid w:val="78F74A7F"/>
    <w:rsid w:val="7922343B"/>
    <w:rsid w:val="7926388B"/>
    <w:rsid w:val="79521C10"/>
    <w:rsid w:val="795E17F1"/>
    <w:rsid w:val="795FF9E4"/>
    <w:rsid w:val="79D42C0A"/>
    <w:rsid w:val="79FFF26D"/>
    <w:rsid w:val="7A267238"/>
    <w:rsid w:val="7A30225F"/>
    <w:rsid w:val="7AAE7979"/>
    <w:rsid w:val="7AD5E80B"/>
    <w:rsid w:val="7AE7FD2B"/>
    <w:rsid w:val="7AF3D7EA"/>
    <w:rsid w:val="7AFE98C0"/>
    <w:rsid w:val="7B0A37F3"/>
    <w:rsid w:val="7B2EC99E"/>
    <w:rsid w:val="7B3E4BF5"/>
    <w:rsid w:val="7B3E7254"/>
    <w:rsid w:val="7B676EB1"/>
    <w:rsid w:val="7B93031C"/>
    <w:rsid w:val="7BB3345A"/>
    <w:rsid w:val="7BBE09F0"/>
    <w:rsid w:val="7BCF7C7E"/>
    <w:rsid w:val="7BD61AD5"/>
    <w:rsid w:val="7BF9C739"/>
    <w:rsid w:val="7BFB259B"/>
    <w:rsid w:val="7BFF440A"/>
    <w:rsid w:val="7BFF8FB5"/>
    <w:rsid w:val="7C8549E9"/>
    <w:rsid w:val="7C9E2A4A"/>
    <w:rsid w:val="7CCD70F6"/>
    <w:rsid w:val="7CFC4664"/>
    <w:rsid w:val="7D4E5235"/>
    <w:rsid w:val="7D7B61FA"/>
    <w:rsid w:val="7D7D8DD1"/>
    <w:rsid w:val="7D9F8B72"/>
    <w:rsid w:val="7DBBA20B"/>
    <w:rsid w:val="7DC66335"/>
    <w:rsid w:val="7DDEDC0D"/>
    <w:rsid w:val="7DEF7A8A"/>
    <w:rsid w:val="7DF3FD3E"/>
    <w:rsid w:val="7DF7F354"/>
    <w:rsid w:val="7DFB0575"/>
    <w:rsid w:val="7E154BC6"/>
    <w:rsid w:val="7E6B12CB"/>
    <w:rsid w:val="7E7273D9"/>
    <w:rsid w:val="7E7F81E4"/>
    <w:rsid w:val="7E8835EA"/>
    <w:rsid w:val="7E8D051D"/>
    <w:rsid w:val="7EACC565"/>
    <w:rsid w:val="7EB151EC"/>
    <w:rsid w:val="7EBB205B"/>
    <w:rsid w:val="7EBF2D50"/>
    <w:rsid w:val="7ECF1D1B"/>
    <w:rsid w:val="7ED22AB7"/>
    <w:rsid w:val="7ED7E605"/>
    <w:rsid w:val="7EDD74B9"/>
    <w:rsid w:val="7EF62516"/>
    <w:rsid w:val="7EFFE568"/>
    <w:rsid w:val="7F4B6054"/>
    <w:rsid w:val="7F5ABD7A"/>
    <w:rsid w:val="7F5CEBBD"/>
    <w:rsid w:val="7F7D7081"/>
    <w:rsid w:val="7F824F8C"/>
    <w:rsid w:val="7F8C4AD9"/>
    <w:rsid w:val="7FBF1A71"/>
    <w:rsid w:val="7FDFB4E3"/>
    <w:rsid w:val="7FDFE4A1"/>
    <w:rsid w:val="7FEF3380"/>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1E2C65"/>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FE046B"/>
    <w:rsid w:val="E5B7349A"/>
    <w:rsid w:val="E5FFA019"/>
    <w:rsid w:val="E6DD0BF9"/>
    <w:rsid w:val="E7D6CC62"/>
    <w:rsid w:val="EBDE771E"/>
    <w:rsid w:val="EC6F8A7D"/>
    <w:rsid w:val="ED574481"/>
    <w:rsid w:val="EDBD7309"/>
    <w:rsid w:val="EDDFEE17"/>
    <w:rsid w:val="EDFDC52D"/>
    <w:rsid w:val="EEDBFCB9"/>
    <w:rsid w:val="EEDF5C73"/>
    <w:rsid w:val="EFB7FA07"/>
    <w:rsid w:val="EFDD9E34"/>
    <w:rsid w:val="EFEC0D03"/>
    <w:rsid w:val="EFF9121F"/>
    <w:rsid w:val="F4FEB764"/>
    <w:rsid w:val="F5DCD828"/>
    <w:rsid w:val="F6FFEE89"/>
    <w:rsid w:val="F77F6848"/>
    <w:rsid w:val="F77FB31B"/>
    <w:rsid w:val="F79FF762"/>
    <w:rsid w:val="F7D8FE1B"/>
    <w:rsid w:val="F7F540A6"/>
    <w:rsid w:val="F7F99798"/>
    <w:rsid w:val="F7FF2F46"/>
    <w:rsid w:val="F7FF624F"/>
    <w:rsid w:val="F8A20F1B"/>
    <w:rsid w:val="F8DF9610"/>
    <w:rsid w:val="F8ED456B"/>
    <w:rsid w:val="F8FC959D"/>
    <w:rsid w:val="F9FE23CE"/>
    <w:rsid w:val="FBED27CB"/>
    <w:rsid w:val="FD77E073"/>
    <w:rsid w:val="FDA3C67D"/>
    <w:rsid w:val="FDBFCCB1"/>
    <w:rsid w:val="FDE76F5F"/>
    <w:rsid w:val="FDF70401"/>
    <w:rsid w:val="FDFBBA80"/>
    <w:rsid w:val="FE9A4642"/>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2">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3">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unhideWhenUsed/>
    <w:qFormat/>
    <w:uiPriority w:val="99"/>
    <w:pPr>
      <w:numPr>
        <w:ilvl w:val="0"/>
        <w:numId w:val="2"/>
      </w:numPr>
      <w:spacing w:line="560" w:lineRule="exact"/>
    </w:pPr>
    <w:rPr>
      <w:rFonts w:ascii="楷体" w:hAnsi="楷体" w:eastAsia="楷体" w:cs="楷体"/>
      <w:szCs w:val="32"/>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Body Text"/>
    <w:basedOn w:val="1"/>
    <w:next w:val="1"/>
    <w:qFormat/>
    <w:uiPriority w:val="0"/>
    <w:pPr>
      <w:spacing w:after="120"/>
    </w:pPr>
    <w:rPr>
      <w:rFonts w:ascii="Calibri" w:hAnsi="Calibri"/>
      <w:kern w:val="0"/>
      <w:szCs w:val="20"/>
    </w:rPr>
  </w:style>
  <w:style w:type="paragraph" w:styleId="8">
    <w:name w:val="Body Text Indent"/>
    <w:basedOn w:val="1"/>
    <w:link w:val="43"/>
    <w:semiHidden/>
    <w:unhideWhenUsed/>
    <w:qFormat/>
    <w:uiPriority w:val="99"/>
    <w:pPr>
      <w:ind w:firstLine="640"/>
    </w:pPr>
    <w:rPr>
      <w:rFonts w:ascii="Calibri" w:hAnsi="Calibri" w:eastAsia="宋体" w:cs="Times New Roman"/>
      <w:sz w:val="32"/>
      <w:szCs w:val="24"/>
    </w:rPr>
  </w:style>
  <w:style w:type="paragraph" w:styleId="9">
    <w:name w:val="toc 3"/>
    <w:basedOn w:val="1"/>
    <w:next w:val="1"/>
    <w:semiHidden/>
    <w:unhideWhenUsed/>
    <w:qFormat/>
    <w:uiPriority w:val="39"/>
    <w:pPr>
      <w:ind w:left="840" w:leftChars="400"/>
    </w:pPr>
  </w:style>
  <w:style w:type="paragraph" w:styleId="10">
    <w:name w:val="Plain Text"/>
    <w:basedOn w:val="1"/>
    <w:qFormat/>
    <w:uiPriority w:val="0"/>
    <w:rPr>
      <w:rFonts w:ascii="宋体" w:hAnsi="Courier New"/>
    </w:rPr>
  </w:style>
  <w:style w:type="paragraph" w:styleId="11">
    <w:name w:val="Body Text Indent 2"/>
    <w:basedOn w:val="1"/>
    <w:qFormat/>
    <w:uiPriority w:val="0"/>
    <w:pPr>
      <w:ind w:firstLine="645"/>
      <w:outlineLvl w:val="0"/>
    </w:pPr>
    <w:rPr>
      <w:rFonts w:ascii="仿宋_GB2312"/>
      <w:spacing w:val="-4"/>
      <w:sz w:val="32"/>
    </w:rPr>
  </w:style>
  <w:style w:type="paragraph" w:styleId="12">
    <w:name w:val="footer"/>
    <w:basedOn w:val="1"/>
    <w:link w:val="30"/>
    <w:unhideWhenUsed/>
    <w:qFormat/>
    <w:uiPriority w:val="99"/>
    <w:pPr>
      <w:tabs>
        <w:tab w:val="center" w:pos="4153"/>
        <w:tab w:val="right" w:pos="8306"/>
      </w:tabs>
      <w:snapToGrid w:val="0"/>
      <w:jc w:val="left"/>
    </w:pPr>
    <w:rPr>
      <w:sz w:val="18"/>
      <w:szCs w:val="18"/>
    </w:rPr>
  </w:style>
  <w:style w:type="paragraph" w:styleId="13">
    <w:name w:val="header"/>
    <w:basedOn w:val="1"/>
    <w:next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tabs>
        <w:tab w:val="left" w:pos="709"/>
        <w:tab w:val="right" w:leader="dot" w:pos="8296"/>
      </w:tabs>
    </w:pPr>
  </w:style>
  <w:style w:type="paragraph" w:styleId="15">
    <w:name w:val="toc 2"/>
    <w:basedOn w:val="1"/>
    <w:next w:val="1"/>
    <w:unhideWhenUsed/>
    <w:qFormat/>
    <w:uiPriority w:val="39"/>
    <w:pPr>
      <w:ind w:left="420" w:leftChars="200"/>
    </w:pPr>
  </w:style>
  <w:style w:type="paragraph" w:styleId="16">
    <w:name w:val="Normal (Web)"/>
    <w:basedOn w:val="1"/>
    <w:unhideWhenUsed/>
    <w:qFormat/>
    <w:uiPriority w:val="99"/>
    <w:pPr>
      <w:spacing w:before="100" w:beforeAutospacing="1" w:after="100" w:afterAutospacing="1"/>
      <w:jc w:val="left"/>
    </w:pPr>
    <w:rPr>
      <w:rFonts w:cs="Times New Roman"/>
      <w:kern w:val="0"/>
      <w:sz w:val="24"/>
    </w:rPr>
  </w:style>
  <w:style w:type="paragraph" w:styleId="17">
    <w:name w:val="Title"/>
    <w:basedOn w:val="1"/>
    <w:link w:val="42"/>
    <w:qFormat/>
    <w:uiPriority w:val="10"/>
    <w:pPr>
      <w:spacing w:before="240" w:after="60"/>
      <w:jc w:val="center"/>
      <w:outlineLvl w:val="0"/>
    </w:pPr>
    <w:rPr>
      <w:rFonts w:ascii="Arial" w:hAnsi="Arial"/>
      <w:b/>
      <w:sz w:val="32"/>
    </w:rPr>
  </w:style>
  <w:style w:type="paragraph" w:styleId="18">
    <w:name w:val="Body Text First Indent 2"/>
    <w:basedOn w:val="8"/>
    <w:qFormat/>
    <w:uiPriority w:val="0"/>
    <w:pPr>
      <w:ind w:firstLine="420"/>
    </w:pPr>
  </w:style>
  <w:style w:type="table" w:styleId="20">
    <w:name w:val="Table Grid"/>
    <w:basedOn w:val="1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Emphasis"/>
    <w:basedOn w:val="21"/>
    <w:qFormat/>
    <w:uiPriority w:val="20"/>
    <w:rPr>
      <w:i/>
    </w:rPr>
  </w:style>
  <w:style w:type="character" w:styleId="23">
    <w:name w:val="Hyperlink"/>
    <w:unhideWhenUsed/>
    <w:qFormat/>
    <w:uiPriority w:val="99"/>
    <w:rPr>
      <w:color w:val="4D4D4D"/>
      <w:u w:val="none"/>
    </w:rPr>
  </w:style>
  <w:style w:type="character" w:styleId="24">
    <w:name w:val="annotation reference"/>
    <w:basedOn w:val="21"/>
    <w:semiHidden/>
    <w:unhideWhenUsed/>
    <w:qFormat/>
    <w:uiPriority w:val="99"/>
    <w:rPr>
      <w:sz w:val="21"/>
      <w:szCs w:val="21"/>
    </w:rPr>
  </w:style>
  <w:style w:type="paragraph" w:customStyle="1" w:styleId="25">
    <w:name w:val="正文文本1"/>
    <w:basedOn w:val="1"/>
    <w:qFormat/>
    <w:uiPriority w:val="0"/>
    <w:pPr>
      <w:spacing w:line="386" w:lineRule="auto"/>
    </w:pPr>
    <w:rPr>
      <w:rFonts w:ascii="楷体" w:hAnsi="楷体" w:eastAsia="楷体" w:cs="楷体"/>
      <w:sz w:val="19"/>
      <w:szCs w:val="19"/>
      <w:lang w:val="zh-CN" w:bidi="zh-CN"/>
    </w:rPr>
  </w:style>
  <w:style w:type="paragraph" w:customStyle="1" w:styleId="26">
    <w:name w:val="Default"/>
    <w:next w:val="27"/>
    <w:qFormat/>
    <w:uiPriority w:val="0"/>
    <w:pPr>
      <w:autoSpaceDE w:val="0"/>
      <w:autoSpaceDN w:val="0"/>
      <w:adjustRightInd w:val="0"/>
    </w:pPr>
    <w:rPr>
      <w:rFonts w:ascii="微软雅黑" w:hAnsi="Calibri" w:eastAsia="微软雅黑" w:cs="微软雅黑"/>
      <w:color w:val="000000"/>
      <w:sz w:val="24"/>
      <w:szCs w:val="24"/>
      <w:lang w:val="en-US" w:eastAsia="zh-CN" w:bidi="ar-SA"/>
    </w:rPr>
  </w:style>
  <w:style w:type="paragraph" w:customStyle="1" w:styleId="27">
    <w:name w:val="_Style 1"/>
    <w:basedOn w:val="1"/>
    <w:next w:val="1"/>
    <w:qFormat/>
    <w:uiPriority w:val="0"/>
    <w:pPr>
      <w:pBdr>
        <w:top w:val="single" w:color="auto" w:sz="6" w:space="1"/>
      </w:pBdr>
      <w:jc w:val="center"/>
    </w:pPr>
    <w:rPr>
      <w:rFonts w:ascii="Arial" w:eastAsia="宋体"/>
      <w:vanish/>
      <w:sz w:val="16"/>
    </w:rPr>
  </w:style>
  <w:style w:type="paragraph" w:customStyle="1" w:styleId="28">
    <w:name w:val="常用样式（方正仿宋简）"/>
    <w:basedOn w:val="1"/>
    <w:qFormat/>
    <w:uiPriority w:val="0"/>
    <w:pPr>
      <w:spacing w:line="560" w:lineRule="exact"/>
      <w:ind w:firstLine="640"/>
    </w:pPr>
    <w:rPr>
      <w:rFonts w:eastAsia="仿宋"/>
      <w:sz w:val="32"/>
    </w:rPr>
  </w:style>
  <w:style w:type="character" w:customStyle="1" w:styleId="29">
    <w:name w:val="页眉 字符"/>
    <w:basedOn w:val="21"/>
    <w:link w:val="13"/>
    <w:qFormat/>
    <w:uiPriority w:val="99"/>
    <w:rPr>
      <w:sz w:val="18"/>
      <w:szCs w:val="18"/>
    </w:rPr>
  </w:style>
  <w:style w:type="character" w:customStyle="1" w:styleId="30">
    <w:name w:val="页脚 字符"/>
    <w:basedOn w:val="21"/>
    <w:link w:val="12"/>
    <w:qFormat/>
    <w:uiPriority w:val="99"/>
    <w:rPr>
      <w:sz w:val="18"/>
      <w:szCs w:val="18"/>
    </w:rPr>
  </w:style>
  <w:style w:type="character" w:customStyle="1" w:styleId="31">
    <w:name w:val="font11"/>
    <w:basedOn w:val="21"/>
    <w:qFormat/>
    <w:uiPriority w:val="0"/>
    <w:rPr>
      <w:rFonts w:hint="eastAsia" w:ascii="宋体" w:hAnsi="宋体" w:eastAsia="宋体" w:cs="宋体"/>
      <w:color w:val="000000"/>
      <w:sz w:val="21"/>
      <w:szCs w:val="21"/>
      <w:u w:val="none"/>
    </w:rPr>
  </w:style>
  <w:style w:type="character" w:customStyle="1" w:styleId="32">
    <w:name w:val="font01"/>
    <w:basedOn w:val="21"/>
    <w:qFormat/>
    <w:uiPriority w:val="0"/>
    <w:rPr>
      <w:rFonts w:hint="default" w:ascii="Calibri" w:hAnsi="Calibri" w:cs="Calibri"/>
      <w:color w:val="000000"/>
      <w:sz w:val="21"/>
      <w:szCs w:val="21"/>
      <w:u w:val="none"/>
    </w:rPr>
  </w:style>
  <w:style w:type="character" w:customStyle="1" w:styleId="33">
    <w:name w:val="font71"/>
    <w:basedOn w:val="21"/>
    <w:qFormat/>
    <w:uiPriority w:val="0"/>
    <w:rPr>
      <w:rFonts w:hint="eastAsia" w:ascii="仿宋" w:hAnsi="仿宋" w:eastAsia="仿宋" w:cs="仿宋"/>
      <w:b/>
      <w:color w:val="000000"/>
      <w:sz w:val="24"/>
      <w:szCs w:val="24"/>
      <w:u w:val="none"/>
    </w:rPr>
  </w:style>
  <w:style w:type="character" w:customStyle="1" w:styleId="34">
    <w:name w:val="font51"/>
    <w:basedOn w:val="21"/>
    <w:qFormat/>
    <w:uiPriority w:val="0"/>
    <w:rPr>
      <w:rFonts w:hint="eastAsia" w:ascii="仿宋" w:hAnsi="仿宋" w:eastAsia="仿宋" w:cs="仿宋"/>
      <w:color w:val="000000"/>
      <w:sz w:val="24"/>
      <w:szCs w:val="24"/>
      <w:u w:val="none"/>
    </w:rPr>
  </w:style>
  <w:style w:type="character" w:customStyle="1" w:styleId="35">
    <w:name w:val="font31"/>
    <w:basedOn w:val="21"/>
    <w:qFormat/>
    <w:uiPriority w:val="0"/>
    <w:rPr>
      <w:rFonts w:hint="eastAsia" w:ascii="宋体" w:hAnsi="宋体" w:eastAsia="宋体" w:cs="宋体"/>
      <w:b/>
      <w:color w:val="000000"/>
      <w:sz w:val="22"/>
      <w:szCs w:val="22"/>
      <w:u w:val="none"/>
    </w:rPr>
  </w:style>
  <w:style w:type="character" w:customStyle="1" w:styleId="36">
    <w:name w:val="font21"/>
    <w:basedOn w:val="21"/>
    <w:qFormat/>
    <w:uiPriority w:val="0"/>
    <w:rPr>
      <w:rFonts w:hint="eastAsia" w:ascii="宋体" w:hAnsi="宋体" w:eastAsia="宋体" w:cs="宋体"/>
      <w:color w:val="000000"/>
      <w:sz w:val="20"/>
      <w:szCs w:val="20"/>
      <w:u w:val="none"/>
    </w:rPr>
  </w:style>
  <w:style w:type="character" w:customStyle="1" w:styleId="37">
    <w:name w:val="font41"/>
    <w:basedOn w:val="21"/>
    <w:qFormat/>
    <w:uiPriority w:val="0"/>
    <w:rPr>
      <w:rFonts w:hint="default" w:ascii="Times New Roman" w:hAnsi="Times New Roman" w:cs="Times New Roman"/>
      <w:b/>
      <w:color w:val="000000"/>
      <w:sz w:val="20"/>
      <w:szCs w:val="20"/>
      <w:u w:val="none"/>
    </w:rPr>
  </w:style>
  <w:style w:type="paragraph" w:customStyle="1" w:styleId="38">
    <w:name w:val="WPSOffice手动目录 1"/>
    <w:qFormat/>
    <w:uiPriority w:val="0"/>
    <w:rPr>
      <w:rFonts w:ascii="Times New Roman" w:hAnsi="Times New Roman" w:eastAsia="宋体" w:cs="Times New Roman"/>
      <w:lang w:val="en-US" w:eastAsia="zh-CN" w:bidi="ar-SA"/>
    </w:rPr>
  </w:style>
  <w:style w:type="paragraph" w:customStyle="1" w:styleId="3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40">
    <w:name w:val="表格"/>
    <w:basedOn w:val="1"/>
    <w:qFormat/>
    <w:uiPriority w:val="0"/>
    <w:rPr>
      <w:rFonts w:hint="eastAsia"/>
      <w:kern w:val="0"/>
      <w:sz w:val="24"/>
      <w:szCs w:val="20"/>
    </w:rPr>
  </w:style>
  <w:style w:type="paragraph" w:customStyle="1" w:styleId="41">
    <w:name w:val="页眉或页脚 (2)"/>
    <w:basedOn w:val="1"/>
    <w:qFormat/>
    <w:uiPriority w:val="0"/>
    <w:rPr>
      <w:rFonts w:eastAsia="Times New Roman" w:cs="Times New Roman"/>
      <w:sz w:val="20"/>
      <w:szCs w:val="20"/>
      <w:lang w:val="zh-CN" w:bidi="zh-CN"/>
    </w:rPr>
  </w:style>
  <w:style w:type="character" w:customStyle="1" w:styleId="42">
    <w:name w:val="标题 字符"/>
    <w:basedOn w:val="21"/>
    <w:link w:val="17"/>
    <w:qFormat/>
    <w:uiPriority w:val="0"/>
    <w:rPr>
      <w:rFonts w:ascii="等线 Light" w:hAnsi="等线 Light" w:eastAsia="等线 Light" w:cs="Times New Roman"/>
      <w:b/>
      <w:bCs/>
      <w:kern w:val="2"/>
      <w:sz w:val="32"/>
      <w:szCs w:val="32"/>
    </w:rPr>
  </w:style>
  <w:style w:type="character" w:customStyle="1" w:styleId="43">
    <w:name w:val="正文文本缩进 字符"/>
    <w:basedOn w:val="21"/>
    <w:link w:val="8"/>
    <w:qFormat/>
    <w:uiPriority w:val="0"/>
    <w:rPr>
      <w:kern w:val="2"/>
      <w:sz w:val="32"/>
      <w:szCs w:val="24"/>
    </w:rPr>
  </w:style>
  <w:style w:type="paragraph" w:customStyle="1" w:styleId="44">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5">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6">
    <w:name w:val="15"/>
    <w:basedOn w:val="21"/>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b5c89412-9003-42f7-82b7-1541dc59c65d</errorID>
      <errorWord>（1）内设机构。县文联内设机构1个：办公室，无二级预算单位。</errorWord>
      <group>L1_AI</group>
      <groupName>深度校对</groupName>
      <ability>L2_AI_Title</ability>
      <abilityName>标题检查</abilityName>
      <candidateList/>
      <explain>相同层级标题序号格式前后文不一致。前文二级标题下的序号格式为“（一）”“（二）”“（三）”，此处三级标题使用“（1）”，与前文二级标题序号格式不一致；且后续同层级标题“（2）人员概况。截至2024年末，县文联单位编制内人数3人（其中设主席1名），实有在职3人。”也存在同样的问题。</explain>
      <paraID>20FA589F</paraID>
      <start>0</start>
      <end>30</end>
      <status>ignored</status>
      <modifiedWord/>
      <trackRevisions>false</trackRevisions>
    </reviewItem>
    <reviewItem>
      <errorID>521b33f9-a1e6-4973-8f0b-321d950280a5</errorID>
      <errorWord>，</errorWord>
      <group>L1_AI</group>
      <groupName>深度校对</groupName>
      <ability>L2_AI_Punc</ability>
      <abilityName>标点纠错</abilityName>
      <candidateList>
        <item>。</item>
      </candidateList>
      <explain/>
      <paraID>7D6D2538</paraID>
      <start>33</start>
      <end>34</end>
      <status>modified</status>
      <modifiedWord>。</modifiedWord>
      <trackRevisions>false</trackRevisions>
    </reviewItem>
    <reviewItem>
      <errorID>5f6203e5-f4e4-43f8-991f-7d7c80f2480c</errorID>
      <errorWord>联公会</errorWord>
      <group>L1_AI</group>
      <groupName>深度校对</groupName>
      <ability>L2_AI_Word</ability>
      <abilityName>字词纠错</abilityName>
      <candidateList>
        <item>联合会</item>
      </candidateList>
      <explain/>
      <paraID>7D6D2538</paraID>
      <start>50</start>
      <end>53</end>
      <status>modified</status>
      <modifiedWord>联合会</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b369b3-f317-4f54-8086-40be3b425b70}">
  <ds:schemaRefs/>
</ds:datastoreItem>
</file>

<file path=docProps/app.xml><?xml version="1.0" encoding="utf-8"?>
<Properties xmlns="http://schemas.openxmlformats.org/officeDocument/2006/extended-properties" xmlns:vt="http://schemas.openxmlformats.org/officeDocument/2006/docPropsVTypes">
  <Company>Microsoft</Company>
  <Pages>13</Pages>
  <Words>5509</Words>
  <Characters>6152</Characters>
  <Lines>1</Lines>
  <Paragraphs>1</Paragraphs>
  <TotalTime>2</TotalTime>
  <ScaleCrop>false</ScaleCrop>
  <LinksUpToDate>false</LinksUpToDate>
  <CharactersWithSpaces>6231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2020-04-11T15:49:00Z</dcterms:created>
  <dc:creator>ZC</dc:creator>
  <cp:lastModifiedBy>Administrator</cp:lastModifiedBy>
  <cp:lastPrinted>2024-11-08T07:16:00Z</cp:lastPrinted>
  <dcterms:modified xsi:type="dcterms:W3CDTF">2025-12-11T02:54:41Z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0323C17550B84971857CA4630E76FAC8</vt:lpwstr>
  </property>
  <property fmtid="{D5CDD505-2E9C-101B-9397-08002B2CF9AE}" pid="4" name="KSOTemplateDocerSaveRecord">
    <vt:lpwstr>eyJoZGlkIjoiMzlkMzQ2Y2I1ODA5MzZkNzZhYmIyNGZlZjQwYWNlNDMiLCJ1c2VySWQiOiIyNTYxODExOTYifQ==</vt:lpwstr>
  </property>
</Properties>
</file>