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6B4CD7">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jc w:val="center"/>
        <w:textAlignment w:val="auto"/>
        <w:rPr>
          <w:rFonts w:hint="default" w:ascii="Times New Roman" w:hAnsi="Times New Roman" w:eastAsia="仿宋" w:cs="Times New Roman"/>
          <w:color w:val="333333"/>
          <w:kern w:val="0"/>
          <w:sz w:val="32"/>
          <w:szCs w:val="32"/>
          <w:highlight w:val="none"/>
        </w:rPr>
      </w:pPr>
      <w:bookmarkStart w:id="0" w:name="_Toc22314"/>
      <w:bookmarkStart w:id="1" w:name="_Toc29524"/>
      <w:bookmarkStart w:id="2" w:name="_Toc14462_WPSOffice_Level1"/>
    </w:p>
    <w:p w14:paraId="54012919">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jc w:val="center"/>
        <w:textAlignment w:val="auto"/>
        <w:rPr>
          <w:rFonts w:hint="default" w:ascii="Times New Roman" w:hAnsi="Times New Roman" w:eastAsia="仿宋" w:cs="Times New Roman"/>
          <w:color w:val="333333"/>
          <w:kern w:val="0"/>
          <w:sz w:val="32"/>
          <w:szCs w:val="32"/>
          <w:highlight w:val="none"/>
        </w:rPr>
      </w:pPr>
    </w:p>
    <w:p w14:paraId="505F6CF0">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jc w:val="center"/>
        <w:textAlignment w:val="auto"/>
        <w:rPr>
          <w:rFonts w:hint="default" w:ascii="Times New Roman" w:hAnsi="Times New Roman" w:eastAsia="仿宋" w:cs="Times New Roman"/>
          <w:color w:val="333333"/>
          <w:kern w:val="0"/>
          <w:sz w:val="32"/>
          <w:szCs w:val="32"/>
          <w:highlight w:val="none"/>
        </w:rPr>
      </w:pPr>
    </w:p>
    <w:p w14:paraId="55B0DAEF">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jc w:val="center"/>
        <w:textAlignment w:val="auto"/>
        <w:rPr>
          <w:rFonts w:hint="default" w:ascii="Times New Roman" w:hAnsi="Times New Roman" w:eastAsia="仿宋" w:cs="Times New Roman"/>
          <w:color w:val="333333"/>
          <w:kern w:val="0"/>
          <w:sz w:val="32"/>
          <w:szCs w:val="32"/>
          <w:highlight w:val="none"/>
        </w:rPr>
      </w:pPr>
    </w:p>
    <w:p w14:paraId="74A881B0">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jc w:val="center"/>
        <w:textAlignment w:val="auto"/>
        <w:rPr>
          <w:rFonts w:hint="default" w:ascii="Times New Roman" w:hAnsi="Times New Roman" w:eastAsia="仿宋" w:cs="Times New Roman"/>
          <w:color w:val="333333"/>
          <w:kern w:val="0"/>
          <w:sz w:val="32"/>
          <w:szCs w:val="32"/>
          <w:highlight w:val="none"/>
        </w:rPr>
      </w:pPr>
    </w:p>
    <w:p w14:paraId="17CD3D4D">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jc w:val="center"/>
        <w:textAlignment w:val="auto"/>
        <w:rPr>
          <w:rFonts w:hint="default" w:ascii="Times New Roman" w:hAnsi="Times New Roman" w:eastAsia="仿宋" w:cs="Times New Roman"/>
          <w:color w:val="333333"/>
          <w:kern w:val="0"/>
          <w:sz w:val="32"/>
          <w:szCs w:val="32"/>
          <w:highlight w:val="none"/>
        </w:rPr>
      </w:pPr>
    </w:p>
    <w:p w14:paraId="59C72640">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jc w:val="center"/>
        <w:textAlignment w:val="auto"/>
        <w:rPr>
          <w:rFonts w:hint="default" w:ascii="Times New Roman" w:hAnsi="Times New Roman" w:eastAsia="仿宋" w:cs="Times New Roman"/>
          <w:color w:val="333333"/>
          <w:kern w:val="0"/>
          <w:sz w:val="32"/>
          <w:szCs w:val="32"/>
          <w:highlight w:val="none"/>
        </w:rPr>
      </w:pPr>
    </w:p>
    <w:p w14:paraId="76DD2394">
      <w:pPr>
        <w:spacing w:line="600" w:lineRule="exact"/>
        <w:ind w:firstLine="0" w:firstLineChars="0"/>
        <w:jc w:val="center"/>
        <w:rPr>
          <w:rFonts w:hint="default" w:ascii="Times New Roman" w:hAnsi="Times New Roman" w:cs="Times New Roman"/>
          <w:sz w:val="32"/>
          <w:szCs w:val="32"/>
          <w:highlight w:val="none"/>
        </w:rPr>
      </w:pPr>
      <w:r>
        <w:rPr>
          <w:rFonts w:hint="default" w:ascii="Times New Roman" w:hAnsi="Times New Roman" w:cs="Times New Roman"/>
          <w:sz w:val="32"/>
          <w:szCs w:val="32"/>
          <w:highlight w:val="none"/>
        </w:rPr>
        <w:t>泸财绩〔2025〕</w:t>
      </w:r>
      <w:r>
        <w:rPr>
          <w:rFonts w:hint="default" w:ascii="Times New Roman" w:hAnsi="Times New Roman" w:cs="Times New Roman"/>
          <w:sz w:val="32"/>
          <w:szCs w:val="32"/>
          <w:highlight w:val="none"/>
          <w:lang w:val="en-US" w:eastAsia="zh-CN"/>
        </w:rPr>
        <w:t>52</w:t>
      </w:r>
      <w:r>
        <w:rPr>
          <w:rFonts w:hint="default" w:ascii="Times New Roman" w:hAnsi="Times New Roman" w:cs="Times New Roman"/>
          <w:sz w:val="32"/>
          <w:szCs w:val="32"/>
          <w:highlight w:val="none"/>
        </w:rPr>
        <w:t>号</w:t>
      </w:r>
    </w:p>
    <w:p w14:paraId="7487ACFE">
      <w:pPr>
        <w:keepNext w:val="0"/>
        <w:keepLines w:val="0"/>
        <w:pageBreakBefore w:val="0"/>
        <w:widowControl/>
        <w:kinsoku/>
        <w:wordWrap/>
        <w:overflowPunct/>
        <w:topLinePunct w:val="0"/>
        <w:autoSpaceDE/>
        <w:autoSpaceDN/>
        <w:bidi w:val="0"/>
        <w:spacing w:line="600" w:lineRule="exact"/>
        <w:ind w:left="0" w:firstLine="0" w:firstLineChars="0"/>
        <w:jc w:val="center"/>
        <w:rPr>
          <w:rFonts w:hint="default" w:ascii="Times New Roman" w:hAnsi="Times New Roman" w:eastAsia="仿宋" w:cs="Times New Roman"/>
          <w:color w:val="333333"/>
          <w:kern w:val="0"/>
          <w:sz w:val="32"/>
          <w:szCs w:val="32"/>
          <w:highlight w:val="none"/>
        </w:rPr>
      </w:pPr>
    </w:p>
    <w:p w14:paraId="14DBB894">
      <w:pPr>
        <w:pStyle w:val="11"/>
        <w:keepNext w:val="0"/>
        <w:keepLines w:val="0"/>
        <w:pageBreakBefore w:val="0"/>
        <w:kinsoku/>
        <w:wordWrap/>
        <w:overflowPunct/>
        <w:topLinePunct w:val="0"/>
        <w:autoSpaceDE/>
        <w:autoSpaceDN/>
        <w:bidi w:val="0"/>
        <w:spacing w:line="600" w:lineRule="exact"/>
        <w:ind w:left="0" w:firstLine="0" w:firstLineChars="0"/>
        <w:jc w:val="center"/>
        <w:outlineLvl w:val="9"/>
        <w:rPr>
          <w:rFonts w:hint="default" w:ascii="Times New Roman" w:hAnsi="Times New Roman" w:eastAsia="仿宋" w:cs="Times New Roman"/>
          <w:color w:val="333333"/>
          <w:kern w:val="0"/>
          <w:sz w:val="32"/>
          <w:szCs w:val="32"/>
          <w:highlight w:val="none"/>
        </w:rPr>
      </w:pPr>
    </w:p>
    <w:p w14:paraId="5917549B">
      <w:pPr>
        <w:keepNext w:val="0"/>
        <w:keepLines w:val="0"/>
        <w:pageBreakBefore w:val="0"/>
        <w:kinsoku/>
        <w:wordWrap/>
        <w:overflowPunct/>
        <w:topLinePunct w:val="0"/>
        <w:autoSpaceDE/>
        <w:autoSpaceDN/>
        <w:bidi w:val="0"/>
        <w:spacing w:line="600" w:lineRule="exact"/>
        <w:ind w:left="0" w:firstLine="0" w:firstLineChars="0"/>
        <w:jc w:val="center"/>
        <w:rPr>
          <w:rFonts w:hint="eastAsia" w:ascii="方正小标宋简体" w:hAnsi="方正小标宋简体" w:eastAsia="方正小标宋简体" w:cs="方正小标宋简体"/>
          <w:color w:val="auto"/>
          <w:sz w:val="44"/>
          <w:szCs w:val="44"/>
          <w:highlight w:val="none"/>
          <w:lang w:eastAsia="zh-CN"/>
        </w:rPr>
      </w:pPr>
      <w:bookmarkStart w:id="3" w:name="_Toc27398"/>
      <w:r>
        <w:rPr>
          <w:rFonts w:hint="eastAsia" w:ascii="方正小标宋简体" w:hAnsi="方正小标宋简体" w:eastAsia="方正小标宋简体" w:cs="方正小标宋简体"/>
          <w:color w:val="auto"/>
          <w:sz w:val="44"/>
          <w:szCs w:val="44"/>
          <w:highlight w:val="none"/>
          <w:lang w:eastAsia="zh-CN"/>
        </w:rPr>
        <w:t>泸定县残疾人联合会</w:t>
      </w:r>
    </w:p>
    <w:p w14:paraId="014B69B0">
      <w:pPr>
        <w:keepNext w:val="0"/>
        <w:keepLines w:val="0"/>
        <w:pageBreakBefore w:val="0"/>
        <w:kinsoku/>
        <w:wordWrap/>
        <w:overflowPunct/>
        <w:topLinePunct w:val="0"/>
        <w:autoSpaceDE/>
        <w:autoSpaceDN/>
        <w:bidi w:val="0"/>
        <w:spacing w:line="600" w:lineRule="exact"/>
        <w:ind w:left="0" w:firstLine="0" w:firstLineChars="0"/>
        <w:jc w:val="center"/>
        <w:rPr>
          <w:rFonts w:hint="eastAsia" w:ascii="方正小标宋简体" w:hAnsi="方正小标宋简体" w:eastAsia="方正小标宋简体" w:cs="方正小标宋简体"/>
          <w:color w:val="auto"/>
          <w:sz w:val="44"/>
          <w:szCs w:val="44"/>
          <w:highlight w:val="none"/>
        </w:rPr>
      </w:pPr>
      <w:r>
        <w:rPr>
          <w:rFonts w:hint="eastAsia" w:ascii="方正小标宋简体" w:hAnsi="方正小标宋简体" w:eastAsia="方正小标宋简体" w:cs="方正小标宋简体"/>
          <w:color w:val="auto"/>
          <w:sz w:val="44"/>
          <w:szCs w:val="44"/>
          <w:highlight w:val="none"/>
          <w:lang w:eastAsia="zh"/>
        </w:rPr>
        <w:t>202</w:t>
      </w:r>
      <w:r>
        <w:rPr>
          <w:rFonts w:hint="eastAsia" w:ascii="方正小标宋简体" w:hAnsi="方正小标宋简体" w:eastAsia="方正小标宋简体" w:cs="方正小标宋简体"/>
          <w:color w:val="auto"/>
          <w:sz w:val="44"/>
          <w:szCs w:val="44"/>
          <w:highlight w:val="none"/>
          <w:lang w:val="en-US" w:eastAsia="zh-CN"/>
        </w:rPr>
        <w:t>4</w:t>
      </w:r>
      <w:r>
        <w:rPr>
          <w:rFonts w:hint="eastAsia" w:ascii="方正小标宋简体" w:hAnsi="方正小标宋简体" w:eastAsia="方正小标宋简体" w:cs="方正小标宋简体"/>
          <w:color w:val="auto"/>
          <w:sz w:val="44"/>
          <w:szCs w:val="44"/>
          <w:highlight w:val="none"/>
        </w:rPr>
        <w:t>年部门整体支出绩效评价报告</w:t>
      </w:r>
      <w:bookmarkEnd w:id="0"/>
      <w:bookmarkEnd w:id="1"/>
      <w:bookmarkEnd w:id="3"/>
    </w:p>
    <w:p w14:paraId="394EE5A3">
      <w:pPr>
        <w:pStyle w:val="9"/>
        <w:keepNext w:val="0"/>
        <w:keepLines w:val="0"/>
        <w:pageBreakBefore w:val="0"/>
        <w:kinsoku/>
        <w:wordWrap/>
        <w:overflowPunct/>
        <w:topLinePunct w:val="0"/>
        <w:autoSpaceDE/>
        <w:autoSpaceDN/>
        <w:bidi w:val="0"/>
        <w:spacing w:after="0" w:line="600" w:lineRule="exact"/>
        <w:ind w:left="0" w:firstLine="560"/>
        <w:rPr>
          <w:rFonts w:hint="default" w:ascii="Times New Roman" w:hAnsi="Times New Roman" w:eastAsia="仿宋" w:cs="Times New Roman"/>
          <w:color w:val="auto"/>
          <w:sz w:val="32"/>
          <w:szCs w:val="32"/>
          <w:highlight w:val="none"/>
          <w:lang w:val="fr-FR"/>
        </w:rPr>
      </w:pPr>
    </w:p>
    <w:p w14:paraId="6B9E50ED">
      <w:pPr>
        <w:keepNext w:val="0"/>
        <w:keepLines w:val="0"/>
        <w:pageBreakBefore w:val="0"/>
        <w:widowControl w:val="0"/>
        <w:kinsoku/>
        <w:wordWrap/>
        <w:overflowPunct/>
        <w:topLinePunct w:val="0"/>
        <w:autoSpaceDE/>
        <w:autoSpaceDN/>
        <w:bidi w:val="0"/>
        <w:spacing w:line="560" w:lineRule="exact"/>
        <w:ind w:left="0" w:leftChars="0" w:right="0" w:rightChars="0" w:firstLine="0" w:firstLineChars="0"/>
        <w:textAlignment w:val="auto"/>
        <w:rPr>
          <w:rFonts w:hint="default" w:ascii="Times New Roman" w:hAnsi="Times New Roman" w:eastAsia="方正仿宋_GB2312" w:cs="Times New Roman"/>
          <w:color w:val="auto"/>
          <w:sz w:val="32"/>
          <w:szCs w:val="32"/>
          <w:highlight w:val="none"/>
          <w:lang w:val="fr-FR" w:eastAsia="zh-CN"/>
        </w:rPr>
      </w:pPr>
      <w:bookmarkStart w:id="4" w:name="_Toc8938"/>
      <w:bookmarkStart w:id="5" w:name="_Toc6252"/>
      <w:bookmarkStart w:id="6" w:name="_Toc26210"/>
      <w:r>
        <w:rPr>
          <w:rFonts w:hint="default" w:ascii="Times New Roman" w:hAnsi="Times New Roman" w:eastAsia="方正仿宋_GB2312" w:cs="Times New Roman"/>
          <w:color w:val="auto"/>
          <w:sz w:val="32"/>
          <w:szCs w:val="32"/>
          <w:highlight w:val="none"/>
          <w:lang w:val="fr-FR" w:eastAsia="zh-CN"/>
        </w:rPr>
        <w:t>泸定县残疾人联合会：</w:t>
      </w:r>
    </w:p>
    <w:p w14:paraId="50FB6A35">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fr-FR"/>
        </w:rPr>
      </w:pPr>
      <w:r>
        <w:rPr>
          <w:rFonts w:hint="default" w:ascii="Times New Roman" w:hAnsi="Times New Roman" w:eastAsia="方正仿宋_GB2312" w:cs="Times New Roman"/>
          <w:sz w:val="32"/>
          <w:szCs w:val="32"/>
          <w:highlight w:val="none"/>
        </w:rPr>
        <w:t>根据《泸定县财政局</w:t>
      </w:r>
      <w:r>
        <w:rPr>
          <w:rFonts w:hint="default" w:ascii="Times New Roman" w:hAnsi="Times New Roman" w:eastAsia="方正仿宋_GB2312" w:cs="Times New Roman"/>
          <w:sz w:val="32"/>
          <w:szCs w:val="32"/>
          <w:highlight w:val="none"/>
          <w:lang w:eastAsia="zh"/>
        </w:rPr>
        <w:t>关于开展202</w:t>
      </w:r>
      <w:r>
        <w:rPr>
          <w:rFonts w:hint="default" w:ascii="Times New Roman" w:hAnsi="Times New Roman" w:eastAsia="方正仿宋_GB2312" w:cs="Times New Roman"/>
          <w:sz w:val="32"/>
          <w:szCs w:val="32"/>
          <w:highlight w:val="none"/>
        </w:rPr>
        <w:t>5</w:t>
      </w:r>
      <w:r>
        <w:rPr>
          <w:rFonts w:hint="default" w:ascii="Times New Roman" w:hAnsi="Times New Roman" w:eastAsia="方正仿宋_GB2312" w:cs="Times New Roman"/>
          <w:sz w:val="32"/>
          <w:szCs w:val="32"/>
          <w:highlight w:val="none"/>
          <w:lang w:eastAsia="zh"/>
        </w:rPr>
        <w:t>年度部门整体绩效评价工作的通知</w:t>
      </w:r>
      <w:r>
        <w:rPr>
          <w:rFonts w:hint="default" w:ascii="Times New Roman" w:hAnsi="Times New Roman" w:eastAsia="方正仿宋_GB2312" w:cs="Times New Roman"/>
          <w:sz w:val="32"/>
          <w:szCs w:val="32"/>
          <w:highlight w:val="none"/>
        </w:rPr>
        <w:t>》（</w:t>
      </w:r>
      <w:r>
        <w:rPr>
          <w:rFonts w:hint="default" w:ascii="Times New Roman" w:hAnsi="Times New Roman" w:eastAsia="方正仿宋_GB2312" w:cs="Times New Roman"/>
          <w:sz w:val="32"/>
          <w:szCs w:val="32"/>
          <w:highlight w:val="none"/>
          <w:lang w:eastAsia="zh"/>
        </w:rPr>
        <w:t>泸财〔202</w:t>
      </w:r>
      <w:r>
        <w:rPr>
          <w:rFonts w:hint="default" w:ascii="Times New Roman" w:hAnsi="Times New Roman" w:eastAsia="方正仿宋_GB2312" w:cs="Times New Roman"/>
          <w:sz w:val="32"/>
          <w:szCs w:val="32"/>
          <w:highlight w:val="none"/>
        </w:rPr>
        <w:t>5</w:t>
      </w:r>
      <w:r>
        <w:rPr>
          <w:rFonts w:hint="default" w:ascii="Times New Roman" w:hAnsi="Times New Roman" w:eastAsia="方正仿宋_GB2312" w:cs="Times New Roman"/>
          <w:sz w:val="32"/>
          <w:szCs w:val="32"/>
          <w:highlight w:val="none"/>
          <w:lang w:eastAsia="zh"/>
        </w:rPr>
        <w:t>〕</w:t>
      </w:r>
      <w:r>
        <w:rPr>
          <w:rFonts w:hint="default" w:ascii="Times New Roman" w:hAnsi="Times New Roman" w:eastAsia="方正仿宋_GB2312" w:cs="Times New Roman"/>
          <w:sz w:val="32"/>
          <w:szCs w:val="32"/>
          <w:highlight w:val="none"/>
        </w:rPr>
        <w:t>67</w:t>
      </w:r>
      <w:r>
        <w:rPr>
          <w:rFonts w:hint="default" w:ascii="Times New Roman" w:hAnsi="Times New Roman" w:eastAsia="方正仿宋_GB2312" w:cs="Times New Roman"/>
          <w:sz w:val="32"/>
          <w:szCs w:val="32"/>
          <w:highlight w:val="none"/>
          <w:lang w:eastAsia="zh"/>
        </w:rPr>
        <w:t>号</w:t>
      </w:r>
      <w:r>
        <w:rPr>
          <w:rFonts w:hint="default" w:ascii="Times New Roman" w:hAnsi="Times New Roman" w:eastAsia="方正仿宋_GB2312" w:cs="Times New Roman"/>
          <w:sz w:val="32"/>
          <w:szCs w:val="32"/>
          <w:highlight w:val="none"/>
        </w:rPr>
        <w:t>）要求，由我局工作人员和第三方机构专业人员组成绩效评价组，</w:t>
      </w:r>
      <w:r>
        <w:rPr>
          <w:rFonts w:hint="default" w:ascii="Times New Roman" w:hAnsi="Times New Roman" w:eastAsia="方正仿宋_GB2312" w:cs="Times New Roman"/>
          <w:color w:val="auto"/>
          <w:sz w:val="32"/>
          <w:szCs w:val="32"/>
          <w:highlight w:val="none"/>
          <w:lang w:val="fr-FR"/>
        </w:rPr>
        <w:t>对</w:t>
      </w:r>
      <w:r>
        <w:rPr>
          <w:rFonts w:hint="default" w:ascii="Times New Roman" w:hAnsi="Times New Roman" w:eastAsia="方正仿宋_GB2312" w:cs="Times New Roman"/>
          <w:color w:val="auto"/>
          <w:sz w:val="32"/>
          <w:szCs w:val="32"/>
          <w:highlight w:val="none"/>
          <w:lang w:val="fr-FR" w:eastAsia="zh-CN"/>
        </w:rPr>
        <w:t>泸定县残疾人联合会</w:t>
      </w:r>
      <w:r>
        <w:rPr>
          <w:rFonts w:hint="default" w:ascii="Times New Roman" w:hAnsi="Times New Roman" w:eastAsia="方正仿宋_GB2312" w:cs="Times New Roman"/>
          <w:color w:val="auto"/>
          <w:sz w:val="32"/>
          <w:szCs w:val="32"/>
          <w:highlight w:val="none"/>
          <w:lang w:eastAsia="zh"/>
        </w:rPr>
        <w:t>202</w:t>
      </w:r>
      <w:r>
        <w:rPr>
          <w:rFonts w:hint="default" w:ascii="Times New Roman" w:hAnsi="Times New Roman" w:eastAsia="方正仿宋_GB2312" w:cs="Times New Roman"/>
          <w:color w:val="auto"/>
          <w:sz w:val="32"/>
          <w:szCs w:val="32"/>
          <w:highlight w:val="none"/>
          <w:lang w:val="en-US" w:eastAsia="zh-CN"/>
        </w:rPr>
        <w:t>4</w:t>
      </w:r>
      <w:r>
        <w:rPr>
          <w:rFonts w:hint="default" w:ascii="Times New Roman" w:hAnsi="Times New Roman" w:eastAsia="方正仿宋_GB2312" w:cs="Times New Roman"/>
          <w:color w:val="auto"/>
          <w:sz w:val="32"/>
          <w:szCs w:val="32"/>
          <w:highlight w:val="none"/>
        </w:rPr>
        <w:t>年部门整体支出进行</w:t>
      </w:r>
      <w:r>
        <w:rPr>
          <w:rFonts w:hint="default" w:ascii="Times New Roman" w:hAnsi="Times New Roman" w:eastAsia="方正仿宋_GB2312" w:cs="Times New Roman"/>
          <w:color w:val="auto"/>
          <w:sz w:val="32"/>
          <w:szCs w:val="32"/>
          <w:highlight w:val="none"/>
          <w:lang w:val="fr-FR"/>
        </w:rPr>
        <w:t>绩效评价。</w:t>
      </w:r>
      <w:r>
        <w:rPr>
          <w:rFonts w:hint="default" w:ascii="Times New Roman" w:hAnsi="Times New Roman" w:eastAsia="方正仿宋_GB2312" w:cs="Times New Roman"/>
          <w:color w:val="auto"/>
          <w:sz w:val="32"/>
          <w:szCs w:val="32"/>
          <w:highlight w:val="none"/>
          <w:lang w:val="fr-FR" w:eastAsia="zh-CN"/>
        </w:rPr>
        <w:t>泸定县残疾人联合会</w:t>
      </w:r>
      <w:r>
        <w:rPr>
          <w:rFonts w:hint="default" w:ascii="Times New Roman" w:hAnsi="Times New Roman" w:eastAsia="方正仿宋_GB2312" w:cs="Times New Roman"/>
          <w:color w:val="auto"/>
          <w:sz w:val="32"/>
          <w:szCs w:val="32"/>
          <w:highlight w:val="none"/>
          <w:lang w:val="fr-FR"/>
        </w:rPr>
        <w:t>对其提供的绩效评价相关资料的真实性、合法性和完整性负责；我们的责任是依据《中共中央 国务院关于全面实施预算绩效管理的意见》（中发〔2018〕34号）、《中共四川省委 四川省人民政府关于全面实施预算绩效管理的实施意见》（川委发〔201</w:t>
      </w:r>
      <w:r>
        <w:rPr>
          <w:rFonts w:hint="default" w:ascii="Times New Roman" w:hAnsi="Times New Roman" w:eastAsia="方正仿宋_GB2312" w:cs="Times New Roman"/>
          <w:color w:val="auto"/>
          <w:sz w:val="32"/>
          <w:szCs w:val="32"/>
          <w:highlight w:val="none"/>
        </w:rPr>
        <w:t>9</w:t>
      </w:r>
      <w:r>
        <w:rPr>
          <w:rFonts w:hint="default" w:ascii="Times New Roman" w:hAnsi="Times New Roman" w:eastAsia="方正仿宋_GB2312" w:cs="Times New Roman"/>
          <w:color w:val="auto"/>
          <w:sz w:val="32"/>
          <w:szCs w:val="32"/>
          <w:highlight w:val="none"/>
          <w:lang w:val="fr-FR"/>
        </w:rPr>
        <w:t>〕8号）、《中共甘孜州委办公室 甘孜州人民政府办公室关于印发</w:t>
      </w:r>
      <w:r>
        <w:rPr>
          <w:rFonts w:hint="default" w:ascii="Times New Roman" w:hAnsi="Times New Roman" w:eastAsia="方正仿宋_GB2312" w:cs="Times New Roman"/>
          <w:color w:val="auto"/>
          <w:sz w:val="32"/>
          <w:szCs w:val="32"/>
          <w:highlight w:val="none"/>
        </w:rPr>
        <w:t>〈</w:t>
      </w:r>
      <w:r>
        <w:rPr>
          <w:rFonts w:hint="default" w:ascii="Times New Roman" w:hAnsi="Times New Roman" w:eastAsia="方正仿宋_GB2312" w:cs="Times New Roman"/>
          <w:color w:val="auto"/>
          <w:sz w:val="32"/>
          <w:szCs w:val="32"/>
          <w:highlight w:val="none"/>
          <w:lang w:val="fr-FR"/>
        </w:rPr>
        <w:t>甘孜州全面实施预算绩效管理工作实施方案</w:t>
      </w:r>
      <w:r>
        <w:rPr>
          <w:rFonts w:hint="default" w:ascii="Times New Roman" w:hAnsi="Times New Roman" w:eastAsia="方正仿宋_GB2312" w:cs="Times New Roman"/>
          <w:color w:val="auto"/>
          <w:sz w:val="32"/>
          <w:szCs w:val="32"/>
          <w:highlight w:val="none"/>
        </w:rPr>
        <w:t>〉</w:t>
      </w:r>
      <w:r>
        <w:rPr>
          <w:rFonts w:hint="default" w:ascii="Times New Roman" w:hAnsi="Times New Roman" w:eastAsia="方正仿宋_GB2312" w:cs="Times New Roman"/>
          <w:color w:val="auto"/>
          <w:sz w:val="32"/>
          <w:szCs w:val="32"/>
          <w:highlight w:val="none"/>
          <w:lang w:val="fr-FR"/>
        </w:rPr>
        <w:t>的通知》（甘委办〔201</w:t>
      </w:r>
      <w:r>
        <w:rPr>
          <w:rFonts w:hint="default" w:ascii="Times New Roman" w:hAnsi="Times New Roman" w:eastAsia="方正仿宋_GB2312" w:cs="Times New Roman"/>
          <w:color w:val="auto"/>
          <w:sz w:val="32"/>
          <w:szCs w:val="32"/>
          <w:highlight w:val="none"/>
        </w:rPr>
        <w:t>9</w:t>
      </w:r>
      <w:r>
        <w:rPr>
          <w:rFonts w:hint="default" w:ascii="Times New Roman" w:hAnsi="Times New Roman" w:eastAsia="方正仿宋_GB2312" w:cs="Times New Roman"/>
          <w:color w:val="auto"/>
          <w:sz w:val="32"/>
          <w:szCs w:val="32"/>
          <w:highlight w:val="none"/>
          <w:lang w:val="fr-FR"/>
        </w:rPr>
        <w:t>〕120号）</w:t>
      </w:r>
      <w:r>
        <w:rPr>
          <w:rFonts w:hint="default" w:ascii="Times New Roman" w:hAnsi="Times New Roman" w:eastAsia="方正仿宋_GB2312" w:cs="Times New Roman"/>
          <w:color w:val="auto"/>
          <w:sz w:val="32"/>
          <w:szCs w:val="32"/>
          <w:highlight w:val="none"/>
          <w:lang w:val="en-US" w:eastAsia="zh-CN"/>
        </w:rPr>
        <w:t>文件的</w:t>
      </w:r>
      <w:r>
        <w:rPr>
          <w:rFonts w:hint="default" w:ascii="Times New Roman" w:hAnsi="Times New Roman" w:eastAsia="方正仿宋_GB2312" w:cs="Times New Roman"/>
          <w:color w:val="auto"/>
          <w:sz w:val="32"/>
          <w:szCs w:val="32"/>
          <w:highlight w:val="none"/>
          <w:lang w:val="fr-FR"/>
        </w:rPr>
        <w:t>要求，结合</w:t>
      </w:r>
      <w:r>
        <w:rPr>
          <w:rFonts w:hint="default" w:ascii="Times New Roman" w:hAnsi="Times New Roman" w:eastAsia="方正仿宋_GB2312" w:cs="Times New Roman"/>
          <w:color w:val="auto"/>
          <w:sz w:val="32"/>
          <w:szCs w:val="32"/>
          <w:highlight w:val="none"/>
          <w:lang w:val="fr-FR" w:eastAsia="zh-CN"/>
        </w:rPr>
        <w:t>泸定县残疾人联合会</w:t>
      </w:r>
      <w:r>
        <w:rPr>
          <w:rFonts w:hint="default" w:ascii="Times New Roman" w:hAnsi="Times New Roman" w:eastAsia="方正仿宋_GB2312" w:cs="Times New Roman"/>
          <w:color w:val="auto"/>
          <w:sz w:val="32"/>
          <w:szCs w:val="32"/>
          <w:highlight w:val="none"/>
          <w:lang w:val="fr-FR"/>
        </w:rPr>
        <w:t>的实际情况，对</w:t>
      </w:r>
      <w:r>
        <w:rPr>
          <w:rFonts w:hint="default" w:ascii="Times New Roman" w:hAnsi="Times New Roman" w:eastAsia="方正仿宋_GB2312" w:cs="Times New Roman"/>
          <w:color w:val="auto"/>
          <w:sz w:val="32"/>
          <w:szCs w:val="32"/>
          <w:highlight w:val="none"/>
          <w:lang w:eastAsia="zh"/>
        </w:rPr>
        <w:t>202</w:t>
      </w:r>
      <w:r>
        <w:rPr>
          <w:rFonts w:hint="default" w:ascii="Times New Roman" w:hAnsi="Times New Roman" w:eastAsia="方正仿宋_GB2312" w:cs="Times New Roman"/>
          <w:color w:val="auto"/>
          <w:sz w:val="32"/>
          <w:szCs w:val="32"/>
          <w:highlight w:val="none"/>
          <w:lang w:val="en-US" w:eastAsia="zh-CN"/>
        </w:rPr>
        <w:t>4</w:t>
      </w:r>
      <w:r>
        <w:rPr>
          <w:rFonts w:hint="default" w:ascii="Times New Roman" w:hAnsi="Times New Roman" w:eastAsia="方正仿宋_GB2312" w:cs="Times New Roman"/>
          <w:color w:val="auto"/>
          <w:sz w:val="32"/>
          <w:szCs w:val="32"/>
          <w:highlight w:val="none"/>
        </w:rPr>
        <w:t>年部门整体支出</w:t>
      </w:r>
      <w:r>
        <w:rPr>
          <w:rFonts w:hint="default" w:ascii="Times New Roman" w:hAnsi="Times New Roman" w:eastAsia="方正仿宋_GB2312" w:cs="Times New Roman"/>
          <w:color w:val="auto"/>
          <w:sz w:val="32"/>
          <w:szCs w:val="32"/>
          <w:highlight w:val="none"/>
          <w:lang w:val="fr-FR"/>
        </w:rPr>
        <w:t>进行绩效评价，并出具绩效评价报告，现将相关情况报告如下：</w:t>
      </w:r>
      <w:bookmarkEnd w:id="4"/>
      <w:bookmarkEnd w:id="5"/>
      <w:bookmarkEnd w:id="6"/>
      <w:bookmarkStart w:id="7" w:name="_Toc12185"/>
      <w:bookmarkStart w:id="8" w:name="_Toc8555"/>
      <w:bookmarkStart w:id="9" w:name="_Toc109483833"/>
    </w:p>
    <w:p w14:paraId="1CE7ED0B">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outlineLvl w:val="0"/>
        <w:rPr>
          <w:rFonts w:hint="default" w:ascii="Times New Roman" w:hAnsi="Times New Roman" w:eastAsia="方正黑体简体" w:cs="Times New Roman"/>
          <w:color w:val="auto"/>
          <w:kern w:val="0"/>
          <w:sz w:val="32"/>
          <w:szCs w:val="32"/>
          <w:highlight w:val="none"/>
          <w:shd w:val="clear" w:color="auto" w:fill="FFFFFF"/>
          <w:lang w:eastAsia="zh-CN"/>
        </w:rPr>
      </w:pPr>
      <w:bookmarkStart w:id="10" w:name="_Toc26009"/>
      <w:bookmarkStart w:id="11" w:name="_Toc799907804"/>
      <w:bookmarkStart w:id="12" w:name="_Toc10147"/>
      <w:bookmarkStart w:id="13" w:name="_Toc12546"/>
      <w:bookmarkStart w:id="14" w:name="_Toc15220"/>
      <w:bookmarkStart w:id="15" w:name="_Toc4351"/>
      <w:bookmarkStart w:id="16" w:name="_Toc27571"/>
      <w:bookmarkStart w:id="17" w:name="_Toc18579"/>
      <w:r>
        <w:rPr>
          <w:rFonts w:hint="default" w:ascii="Times New Roman" w:hAnsi="Times New Roman" w:eastAsia="方正黑体简体" w:cs="Times New Roman"/>
          <w:color w:val="auto"/>
          <w:kern w:val="0"/>
          <w:sz w:val="32"/>
          <w:szCs w:val="32"/>
          <w:highlight w:val="none"/>
          <w:shd w:val="clear" w:color="auto" w:fill="FFFFFF"/>
        </w:rPr>
        <w:t>一、</w:t>
      </w:r>
      <w:bookmarkEnd w:id="7"/>
      <w:bookmarkEnd w:id="8"/>
      <w:r>
        <w:rPr>
          <w:rFonts w:hint="default" w:ascii="Times New Roman" w:hAnsi="Times New Roman" w:eastAsia="方正黑体简体" w:cs="Times New Roman"/>
          <w:color w:val="auto"/>
          <w:kern w:val="0"/>
          <w:sz w:val="32"/>
          <w:szCs w:val="32"/>
          <w:highlight w:val="none"/>
          <w:shd w:val="clear" w:color="auto" w:fill="FFFFFF"/>
        </w:rPr>
        <w:t>部门</w:t>
      </w:r>
      <w:bookmarkEnd w:id="9"/>
      <w:bookmarkEnd w:id="10"/>
      <w:bookmarkEnd w:id="11"/>
      <w:bookmarkStart w:id="18" w:name="_Toc109483834"/>
      <w:bookmarkStart w:id="19" w:name="_Toc16549"/>
      <w:bookmarkStart w:id="20" w:name="_Toc30550"/>
      <w:r>
        <w:rPr>
          <w:rFonts w:hint="default" w:ascii="Times New Roman" w:hAnsi="Times New Roman" w:eastAsia="方正黑体简体" w:cs="Times New Roman"/>
          <w:color w:val="auto"/>
          <w:kern w:val="0"/>
          <w:sz w:val="32"/>
          <w:szCs w:val="32"/>
          <w:highlight w:val="none"/>
          <w:shd w:val="clear" w:color="auto" w:fill="FFFFFF"/>
          <w:lang w:val="en-US" w:eastAsia="zh-CN"/>
        </w:rPr>
        <w:t>概况</w:t>
      </w:r>
      <w:bookmarkEnd w:id="12"/>
      <w:bookmarkEnd w:id="13"/>
      <w:bookmarkEnd w:id="14"/>
      <w:bookmarkEnd w:id="15"/>
      <w:bookmarkEnd w:id="16"/>
      <w:bookmarkEnd w:id="17"/>
    </w:p>
    <w:p w14:paraId="20C60406">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outlineLvl w:val="1"/>
        <w:rPr>
          <w:rFonts w:hint="default" w:ascii="Times New Roman" w:hAnsi="Times New Roman" w:eastAsia="方正楷体简体" w:cs="Times New Roman"/>
          <w:color w:val="auto"/>
          <w:kern w:val="2"/>
          <w:sz w:val="32"/>
          <w:szCs w:val="32"/>
          <w:highlight w:val="none"/>
          <w:shd w:val="clear"/>
          <w:lang w:val="zh-CN" w:eastAsia="zh-CN"/>
        </w:rPr>
      </w:pPr>
      <w:bookmarkStart w:id="21" w:name="_Toc419097264"/>
      <w:bookmarkStart w:id="22" w:name="_Toc7513"/>
      <w:bookmarkStart w:id="23" w:name="_Toc11769"/>
      <w:bookmarkStart w:id="24" w:name="_Toc20865"/>
      <w:bookmarkStart w:id="25" w:name="_Toc2337"/>
      <w:bookmarkStart w:id="26" w:name="_Toc24161"/>
      <w:bookmarkStart w:id="27" w:name="_Toc19098"/>
      <w:bookmarkStart w:id="28" w:name="_Toc18535"/>
      <w:r>
        <w:rPr>
          <w:rFonts w:hint="default" w:ascii="Times New Roman" w:hAnsi="Times New Roman" w:eastAsia="方正楷体简体" w:cs="Times New Roman"/>
          <w:color w:val="auto"/>
          <w:kern w:val="2"/>
          <w:sz w:val="32"/>
          <w:szCs w:val="32"/>
          <w:highlight w:val="none"/>
          <w:shd w:val="clear"/>
          <w:lang w:val="zh-CN" w:eastAsia="zh-CN"/>
        </w:rPr>
        <w:t>（一）</w:t>
      </w:r>
      <w:bookmarkEnd w:id="18"/>
      <w:bookmarkEnd w:id="19"/>
      <w:bookmarkEnd w:id="20"/>
      <w:bookmarkEnd w:id="21"/>
      <w:bookmarkEnd w:id="22"/>
      <w:r>
        <w:rPr>
          <w:rFonts w:hint="default" w:ascii="Times New Roman" w:hAnsi="Times New Roman" w:eastAsia="方正楷体简体" w:cs="Times New Roman"/>
          <w:color w:val="auto"/>
          <w:kern w:val="2"/>
          <w:sz w:val="32"/>
          <w:szCs w:val="32"/>
          <w:highlight w:val="none"/>
          <w:shd w:val="clear"/>
          <w:lang w:val="zh-CN" w:eastAsia="zh-CN"/>
        </w:rPr>
        <w:t>部门基本情况</w:t>
      </w:r>
      <w:bookmarkEnd w:id="23"/>
      <w:bookmarkEnd w:id="24"/>
      <w:bookmarkEnd w:id="25"/>
      <w:bookmarkEnd w:id="26"/>
      <w:bookmarkEnd w:id="27"/>
      <w:bookmarkEnd w:id="28"/>
    </w:p>
    <w:p w14:paraId="05FA19E9">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fr-FR" w:eastAsia="zh-CN"/>
        </w:rPr>
      </w:pPr>
      <w:bookmarkStart w:id="29" w:name="_Toc109483835"/>
      <w:r>
        <w:rPr>
          <w:rFonts w:hint="default" w:ascii="Times New Roman" w:hAnsi="Times New Roman" w:eastAsia="方正仿宋_GB2312" w:cs="Times New Roman"/>
          <w:color w:val="auto"/>
          <w:sz w:val="32"/>
          <w:szCs w:val="32"/>
          <w:highlight w:val="none"/>
          <w:lang w:val="en-US" w:eastAsia="zh-CN"/>
        </w:rPr>
        <w:t>泸定县残疾人联合会（以下简称县残联）</w:t>
      </w:r>
      <w:r>
        <w:rPr>
          <w:rFonts w:hint="default" w:ascii="Times New Roman" w:hAnsi="Times New Roman" w:eastAsia="方正仿宋_GB2312" w:cs="Times New Roman"/>
          <w:color w:val="auto"/>
          <w:sz w:val="32"/>
          <w:szCs w:val="32"/>
          <w:highlight w:val="none"/>
          <w:lang w:val="fr-FR" w:eastAsia="zh-CN"/>
        </w:rPr>
        <w:t>，属财政补助（收支统管、全额保障）的一级预算单位，机构性质：</w:t>
      </w:r>
      <w:r>
        <w:rPr>
          <w:rFonts w:hint="default" w:ascii="Times New Roman" w:hAnsi="Times New Roman" w:eastAsia="方正仿宋_GB2312" w:cs="Times New Roman"/>
          <w:color w:val="auto"/>
          <w:sz w:val="32"/>
          <w:szCs w:val="32"/>
          <w:highlight w:val="none"/>
          <w:lang w:val="en-US" w:eastAsia="zh-CN"/>
        </w:rPr>
        <w:t>群众团体</w:t>
      </w:r>
      <w:r>
        <w:rPr>
          <w:rFonts w:hint="default" w:ascii="Times New Roman" w:hAnsi="Times New Roman" w:eastAsia="方正仿宋_GB2312" w:cs="Times New Roman"/>
          <w:color w:val="auto"/>
          <w:sz w:val="32"/>
          <w:szCs w:val="32"/>
          <w:highlight w:val="none"/>
          <w:lang w:val="fr-FR" w:eastAsia="zh-CN"/>
        </w:rPr>
        <w:t>；单位负责人：</w:t>
      </w:r>
      <w:r>
        <w:rPr>
          <w:rFonts w:hint="default" w:ascii="Times New Roman" w:hAnsi="Times New Roman" w:eastAsia="方正仿宋_GB2312" w:cs="Times New Roman"/>
          <w:color w:val="auto"/>
          <w:sz w:val="32"/>
          <w:szCs w:val="32"/>
          <w:highlight w:val="none"/>
          <w:lang w:val="en-US" w:eastAsia="zh-CN"/>
        </w:rPr>
        <w:t>黄兵</w:t>
      </w:r>
      <w:r>
        <w:rPr>
          <w:rFonts w:hint="default" w:ascii="Times New Roman" w:hAnsi="Times New Roman" w:eastAsia="方正仿宋_GB2312" w:cs="Times New Roman"/>
          <w:color w:val="auto"/>
          <w:sz w:val="32"/>
          <w:szCs w:val="32"/>
          <w:highlight w:val="none"/>
          <w:lang w:val="fr-FR" w:eastAsia="zh-CN"/>
        </w:rPr>
        <w:t>；统一社会信用代码：</w:t>
      </w:r>
      <w:r>
        <w:rPr>
          <w:rFonts w:hint="default" w:ascii="Times New Roman" w:hAnsi="Times New Roman" w:eastAsia="方正仿宋_GB2312" w:cs="Times New Roman"/>
          <w:color w:val="auto"/>
          <w:sz w:val="32"/>
          <w:szCs w:val="32"/>
          <w:highlight w:val="none"/>
          <w:lang w:val="en-US" w:eastAsia="zh-CN"/>
        </w:rPr>
        <w:t>13513322669585303D</w:t>
      </w:r>
      <w:r>
        <w:rPr>
          <w:rFonts w:hint="default" w:ascii="Times New Roman" w:hAnsi="Times New Roman" w:eastAsia="方正仿宋_GB2312" w:cs="Times New Roman"/>
          <w:color w:val="auto"/>
          <w:sz w:val="32"/>
          <w:szCs w:val="32"/>
          <w:highlight w:val="none"/>
          <w:lang w:val="fr-FR" w:eastAsia="zh-CN"/>
        </w:rPr>
        <w:t>；单位所在地：</w:t>
      </w:r>
      <w:r>
        <w:rPr>
          <w:rFonts w:hint="default" w:ascii="Times New Roman" w:hAnsi="Times New Roman" w:eastAsia="方正仿宋_GB2312" w:cs="Times New Roman"/>
          <w:color w:val="auto"/>
          <w:sz w:val="32"/>
          <w:szCs w:val="32"/>
          <w:highlight w:val="none"/>
          <w:lang w:val="en-US" w:eastAsia="zh-CN"/>
        </w:rPr>
        <w:t>四川省泸定县泸桥镇田坝村二组38号</w:t>
      </w:r>
      <w:r>
        <w:rPr>
          <w:rFonts w:hint="default" w:ascii="Times New Roman" w:hAnsi="Times New Roman" w:eastAsia="方正仿宋_GB2312" w:cs="Times New Roman"/>
          <w:color w:val="auto"/>
          <w:sz w:val="32"/>
          <w:szCs w:val="32"/>
          <w:highlight w:val="none"/>
          <w:lang w:val="fr-FR" w:eastAsia="zh-CN"/>
        </w:rPr>
        <w:t>。</w:t>
      </w:r>
    </w:p>
    <w:p w14:paraId="5FA54FAF">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outlineLvl w:val="1"/>
        <w:rPr>
          <w:rFonts w:hint="default" w:ascii="Times New Roman" w:hAnsi="Times New Roman" w:eastAsia="方正楷体简体" w:cs="Times New Roman"/>
          <w:color w:val="auto"/>
          <w:kern w:val="2"/>
          <w:sz w:val="32"/>
          <w:szCs w:val="32"/>
          <w:highlight w:val="none"/>
          <w:shd w:val="clear"/>
          <w:lang w:val="zh-CN" w:eastAsia="zh"/>
        </w:rPr>
      </w:pPr>
      <w:bookmarkStart w:id="30" w:name="_Toc17750"/>
      <w:bookmarkStart w:id="31" w:name="_Toc31223"/>
      <w:bookmarkStart w:id="32" w:name="_Toc1278"/>
      <w:bookmarkStart w:id="33" w:name="_Toc26703"/>
      <w:bookmarkStart w:id="34" w:name="_Toc28538"/>
      <w:bookmarkStart w:id="35" w:name="_Toc16904"/>
      <w:r>
        <w:rPr>
          <w:rFonts w:hint="default" w:ascii="Times New Roman" w:hAnsi="Times New Roman" w:eastAsia="方正楷体简体" w:cs="Times New Roman"/>
          <w:color w:val="auto"/>
          <w:kern w:val="2"/>
          <w:sz w:val="32"/>
          <w:szCs w:val="32"/>
          <w:highlight w:val="none"/>
          <w:shd w:val="clear"/>
          <w:lang w:val="zh-CN" w:eastAsia="zh-CN"/>
        </w:rPr>
        <w:t>（二）部门</w:t>
      </w:r>
      <w:bookmarkEnd w:id="30"/>
      <w:bookmarkEnd w:id="31"/>
      <w:bookmarkEnd w:id="32"/>
      <w:r>
        <w:rPr>
          <w:rFonts w:hint="default" w:ascii="Times New Roman" w:hAnsi="Times New Roman" w:eastAsia="方正楷体简体" w:cs="Times New Roman"/>
          <w:color w:val="auto"/>
          <w:kern w:val="2"/>
          <w:sz w:val="32"/>
          <w:szCs w:val="32"/>
          <w:highlight w:val="none"/>
          <w:shd w:val="clear"/>
          <w:lang w:val="zh-CN" w:eastAsia="zh"/>
        </w:rPr>
        <w:t>内设机构及人员概况</w:t>
      </w:r>
      <w:bookmarkEnd w:id="33"/>
      <w:bookmarkEnd w:id="34"/>
      <w:bookmarkEnd w:id="35"/>
    </w:p>
    <w:p w14:paraId="2F21860E">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1.内设机构。泸定县残疾人联合会为正科级群众团体机关，无下属二级单位。</w:t>
      </w:r>
    </w:p>
    <w:p w14:paraId="65F0BD65">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2.人员概况。截至2024年末，泸定县残疾人联合会在职人员共计3人。</w:t>
      </w:r>
    </w:p>
    <w:p w14:paraId="2171EDF9">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outlineLvl w:val="1"/>
        <w:rPr>
          <w:rFonts w:hint="default" w:ascii="Times New Roman" w:hAnsi="Times New Roman" w:eastAsia="方正楷体简体" w:cs="Times New Roman"/>
          <w:color w:val="auto"/>
          <w:kern w:val="2"/>
          <w:sz w:val="32"/>
          <w:szCs w:val="32"/>
          <w:highlight w:val="none"/>
          <w:shd w:val="clear"/>
          <w:lang w:val="zh-CN" w:eastAsia="zh-CN"/>
        </w:rPr>
      </w:pPr>
      <w:bookmarkStart w:id="36" w:name="_Toc568184988"/>
      <w:bookmarkStart w:id="37" w:name="_Toc16978"/>
      <w:bookmarkStart w:id="38" w:name="_Toc22604"/>
      <w:bookmarkStart w:id="39" w:name="_Toc21223"/>
      <w:bookmarkStart w:id="40" w:name="_Toc16740"/>
      <w:bookmarkStart w:id="41" w:name="_Toc12241"/>
      <w:r>
        <w:rPr>
          <w:rFonts w:hint="default" w:ascii="Times New Roman" w:hAnsi="Times New Roman" w:eastAsia="方正楷体简体" w:cs="Times New Roman"/>
          <w:color w:val="auto"/>
          <w:kern w:val="2"/>
          <w:sz w:val="32"/>
          <w:szCs w:val="32"/>
          <w:highlight w:val="none"/>
          <w:shd w:val="clear"/>
          <w:lang w:val="zh-CN"/>
        </w:rPr>
        <w:t>（</w:t>
      </w:r>
      <w:r>
        <w:rPr>
          <w:rFonts w:hint="default" w:ascii="Times New Roman" w:hAnsi="Times New Roman" w:eastAsia="方正楷体简体" w:cs="Times New Roman"/>
          <w:color w:val="auto"/>
          <w:kern w:val="2"/>
          <w:sz w:val="32"/>
          <w:szCs w:val="32"/>
          <w:highlight w:val="none"/>
          <w:shd w:val="clear"/>
          <w:lang w:val="zh-CN" w:eastAsia="zh-CN"/>
        </w:rPr>
        <w:t>三</w:t>
      </w:r>
      <w:r>
        <w:rPr>
          <w:rFonts w:hint="default" w:ascii="Times New Roman" w:hAnsi="Times New Roman" w:eastAsia="方正楷体简体" w:cs="Times New Roman"/>
          <w:color w:val="auto"/>
          <w:kern w:val="2"/>
          <w:sz w:val="32"/>
          <w:szCs w:val="32"/>
          <w:highlight w:val="none"/>
          <w:shd w:val="clear"/>
          <w:lang w:val="zh-CN"/>
        </w:rPr>
        <w:t>）</w:t>
      </w:r>
      <w:bookmarkEnd w:id="29"/>
      <w:bookmarkEnd w:id="36"/>
      <w:bookmarkEnd w:id="37"/>
      <w:r>
        <w:rPr>
          <w:rFonts w:hint="default" w:ascii="Times New Roman" w:hAnsi="Times New Roman" w:eastAsia="方正楷体简体" w:cs="Times New Roman"/>
          <w:color w:val="auto"/>
          <w:kern w:val="2"/>
          <w:sz w:val="32"/>
          <w:szCs w:val="32"/>
          <w:highlight w:val="none"/>
          <w:shd w:val="clear"/>
          <w:lang w:val="zh-CN" w:eastAsia="zh-CN"/>
        </w:rPr>
        <w:t>部门职能职责</w:t>
      </w:r>
      <w:bookmarkEnd w:id="38"/>
      <w:bookmarkEnd w:id="39"/>
      <w:bookmarkEnd w:id="40"/>
      <w:bookmarkEnd w:id="41"/>
    </w:p>
    <w:p w14:paraId="2630D59F">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bookmarkStart w:id="42" w:name="_Toc109483836"/>
      <w:bookmarkStart w:id="43" w:name="_Toc22594"/>
      <w:bookmarkStart w:id="44" w:name="_Toc14896"/>
      <w:bookmarkStart w:id="45" w:name="_Toc16871"/>
      <w:bookmarkStart w:id="46" w:name="_Toc15163"/>
      <w:bookmarkStart w:id="47" w:name="_Toc33"/>
      <w:bookmarkStart w:id="48" w:name="_Toc26564"/>
      <w:bookmarkStart w:id="49" w:name="_Toc13707"/>
      <w:bookmarkStart w:id="50" w:name="_Toc1218480988"/>
      <w:bookmarkStart w:id="51" w:name="_Toc5982"/>
      <w:r>
        <w:rPr>
          <w:rFonts w:hint="default" w:ascii="Times New Roman" w:hAnsi="Times New Roman" w:eastAsia="方正仿宋_GB2312" w:cs="Times New Roman"/>
          <w:color w:val="auto"/>
          <w:sz w:val="32"/>
          <w:szCs w:val="32"/>
          <w:highlight w:val="none"/>
          <w:lang w:val="en-US" w:eastAsia="zh-CN"/>
        </w:rPr>
        <w:t>贯彻执行国家有关残疾人工作的方针、政策、法律和法规，协助县政府研究、制订全县残疾人事业的规划和措施，并组织实施；密切联系全县残疾人，听取残疾人意见，反映残疾人需求，维护残疾人合法权益，全心全意为残疾人服务；团结、教育残疾人遵守法律，履行应尽的义务，发扬自尊、自信、自强、自立和乐观进取精神，为社会主义建设贡献力量；弘扬人道主义，宣传残疾人事业，沟通政府、社会与残疾人之间的联系，动员社会理解、尊重、关心、帮助残疾人；开展和促进残疾人的康复、教育、劳动就业、文化、体育、用品供应、福利、社会服务、无障碍设施和残疾人预防工作；承担乡人民政府残疾人协调委员会的日常工作；承办县人民政府及上级残疾人联合会交办的其他事项。</w:t>
      </w:r>
    </w:p>
    <w:p w14:paraId="069C751C">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outlineLvl w:val="0"/>
        <w:rPr>
          <w:rFonts w:hint="default" w:ascii="Times New Roman" w:hAnsi="Times New Roman" w:eastAsia="方正黑体简体" w:cs="Times New Roman"/>
          <w:color w:val="auto"/>
          <w:kern w:val="0"/>
          <w:sz w:val="32"/>
          <w:szCs w:val="32"/>
          <w:highlight w:val="none"/>
          <w:shd w:val="clear" w:color="auto" w:fill="auto"/>
          <w:lang w:val="zh-CN"/>
        </w:rPr>
      </w:pPr>
      <w:r>
        <w:rPr>
          <w:rFonts w:hint="default" w:ascii="Times New Roman" w:hAnsi="Times New Roman" w:eastAsia="方正黑体简体" w:cs="Times New Roman"/>
          <w:color w:val="auto"/>
          <w:kern w:val="0"/>
          <w:sz w:val="32"/>
          <w:szCs w:val="32"/>
          <w:highlight w:val="none"/>
          <w:shd w:val="clear" w:color="auto" w:fill="auto"/>
          <w:lang w:val="zh-CN"/>
        </w:rPr>
        <w:t>二、</w:t>
      </w:r>
      <w:r>
        <w:rPr>
          <w:rFonts w:hint="default" w:ascii="Times New Roman" w:hAnsi="Times New Roman" w:eastAsia="方正黑体简体" w:cs="Times New Roman"/>
          <w:color w:val="auto"/>
          <w:kern w:val="0"/>
          <w:sz w:val="32"/>
          <w:szCs w:val="32"/>
          <w:highlight w:val="none"/>
          <w:shd w:val="clear" w:color="auto" w:fill="auto"/>
          <w:lang w:val="en-US" w:eastAsia="zh-CN"/>
        </w:rPr>
        <w:t>部门收支</w:t>
      </w:r>
      <w:r>
        <w:rPr>
          <w:rFonts w:hint="default" w:ascii="Times New Roman" w:hAnsi="Times New Roman" w:eastAsia="方正黑体简体" w:cs="Times New Roman"/>
          <w:color w:val="auto"/>
          <w:kern w:val="0"/>
          <w:sz w:val="32"/>
          <w:szCs w:val="32"/>
          <w:highlight w:val="none"/>
          <w:shd w:val="clear" w:color="auto" w:fill="auto"/>
          <w:lang w:val="zh-CN"/>
        </w:rPr>
        <w:t>情况</w:t>
      </w:r>
      <w:bookmarkEnd w:id="42"/>
      <w:bookmarkEnd w:id="43"/>
      <w:bookmarkEnd w:id="44"/>
      <w:bookmarkEnd w:id="45"/>
      <w:bookmarkEnd w:id="46"/>
      <w:bookmarkEnd w:id="47"/>
      <w:bookmarkEnd w:id="48"/>
      <w:bookmarkEnd w:id="49"/>
      <w:bookmarkEnd w:id="50"/>
      <w:bookmarkEnd w:id="51"/>
      <w:bookmarkStart w:id="52" w:name="_Toc109483837"/>
      <w:bookmarkStart w:id="53" w:name="_Toc2659"/>
    </w:p>
    <w:bookmarkEnd w:id="52"/>
    <w:bookmarkEnd w:id="53"/>
    <w:p w14:paraId="24BA0DDE">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outlineLvl w:val="1"/>
        <w:rPr>
          <w:rFonts w:hint="default" w:ascii="Times New Roman" w:hAnsi="Times New Roman" w:eastAsia="方正楷体简体" w:cs="Times New Roman"/>
          <w:color w:val="auto"/>
          <w:kern w:val="2"/>
          <w:sz w:val="32"/>
          <w:szCs w:val="32"/>
          <w:highlight w:val="none"/>
          <w:shd w:val="clear" w:color="auto" w:fill="auto"/>
          <w:lang w:val="zh-CN"/>
        </w:rPr>
      </w:pPr>
      <w:bookmarkStart w:id="54" w:name="_Toc11105"/>
      <w:bookmarkStart w:id="55" w:name="_Toc1949541301"/>
      <w:bookmarkStart w:id="56" w:name="_Toc15898"/>
      <w:bookmarkStart w:id="57" w:name="_Toc29180"/>
      <w:bookmarkStart w:id="58" w:name="_Toc32369"/>
      <w:bookmarkStart w:id="59" w:name="_Toc25866"/>
      <w:bookmarkStart w:id="60" w:name="_Toc21428"/>
      <w:bookmarkStart w:id="61" w:name="_Toc2374"/>
      <w:r>
        <w:rPr>
          <w:rFonts w:hint="default" w:ascii="Times New Roman" w:hAnsi="Times New Roman" w:eastAsia="方正楷体简体" w:cs="Times New Roman"/>
          <w:color w:val="auto"/>
          <w:kern w:val="2"/>
          <w:sz w:val="32"/>
          <w:szCs w:val="32"/>
          <w:highlight w:val="none"/>
          <w:shd w:val="clear" w:color="auto" w:fill="auto"/>
          <w:lang w:val="zh-CN"/>
        </w:rPr>
        <w:t>（</w:t>
      </w:r>
      <w:r>
        <w:rPr>
          <w:rFonts w:hint="default" w:ascii="Times New Roman" w:hAnsi="Times New Roman" w:eastAsia="方正楷体简体" w:cs="Times New Roman"/>
          <w:color w:val="auto"/>
          <w:kern w:val="2"/>
          <w:sz w:val="32"/>
          <w:szCs w:val="32"/>
          <w:highlight w:val="none"/>
          <w:shd w:val="clear" w:color="auto" w:fill="auto"/>
          <w:lang w:val="fr-FR"/>
        </w:rPr>
        <w:t>一</w:t>
      </w:r>
      <w:r>
        <w:rPr>
          <w:rFonts w:hint="default" w:ascii="Times New Roman" w:hAnsi="Times New Roman" w:eastAsia="方正楷体简体" w:cs="Times New Roman"/>
          <w:color w:val="auto"/>
          <w:kern w:val="2"/>
          <w:sz w:val="32"/>
          <w:szCs w:val="32"/>
          <w:highlight w:val="none"/>
          <w:shd w:val="clear" w:color="auto" w:fill="auto"/>
          <w:lang w:val="zh-CN"/>
        </w:rPr>
        <w:t>）收入情况</w:t>
      </w:r>
      <w:bookmarkEnd w:id="54"/>
      <w:bookmarkEnd w:id="55"/>
      <w:bookmarkEnd w:id="56"/>
      <w:bookmarkEnd w:id="57"/>
      <w:bookmarkEnd w:id="58"/>
      <w:bookmarkEnd w:id="59"/>
      <w:bookmarkEnd w:id="60"/>
      <w:bookmarkEnd w:id="61"/>
      <w:bookmarkStart w:id="62" w:name="_Toc19132"/>
    </w:p>
    <w:bookmarkEnd w:id="62"/>
    <w:p w14:paraId="3B37BEFF">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bookmarkStart w:id="63" w:name="_Toc27073"/>
      <w:bookmarkStart w:id="64" w:name="_Toc17751"/>
      <w:bookmarkStart w:id="65" w:name="_Toc349786989"/>
      <w:bookmarkStart w:id="66" w:name="_Toc109483838"/>
      <w:bookmarkStart w:id="67" w:name="_Toc21171"/>
      <w:bookmarkStart w:id="68" w:name="_Toc19326"/>
      <w:bookmarkStart w:id="69" w:name="_Toc27782"/>
      <w:r>
        <w:rPr>
          <w:rFonts w:hint="default" w:ascii="Times New Roman" w:hAnsi="Times New Roman" w:eastAsia="方正仿宋_GB2312" w:cs="Times New Roman"/>
          <w:color w:val="auto"/>
          <w:sz w:val="32"/>
          <w:szCs w:val="32"/>
          <w:highlight w:val="none"/>
          <w:lang w:val="en-US" w:eastAsia="zh-CN"/>
        </w:rPr>
        <w:t>年初预算反映，县残联2024年预算收入合计255.75万元，上年结转结余0.00万元，无预算调整。本年收入255.75万元，全部为一般公共预算财政拨款收入。</w:t>
      </w:r>
    </w:p>
    <w:p w14:paraId="0FB3ADFD">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zh-CN" w:eastAsia="zh"/>
        </w:rPr>
      </w:pPr>
      <w:r>
        <w:rPr>
          <w:rFonts w:hint="default" w:ascii="Times New Roman" w:hAnsi="Times New Roman" w:eastAsia="方正仿宋_GB2312" w:cs="Times New Roman"/>
          <w:color w:val="auto"/>
          <w:sz w:val="32"/>
          <w:szCs w:val="32"/>
          <w:highlight w:val="none"/>
          <w:lang w:val="en-US" w:eastAsia="zh-CN"/>
        </w:rPr>
        <w:t>决算报表反映，县残联2024年决算收入合计400.99万元（其中：一般公共预算财政拨款收入392.63万元，政府性基金预算财政拨款收入8.36万元），其中：本年收入400.99万元，年初结转和结余0.00万元。</w:t>
      </w:r>
    </w:p>
    <w:p w14:paraId="53A3587D">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outlineLvl w:val="1"/>
        <w:rPr>
          <w:rFonts w:hint="default" w:ascii="Times New Roman" w:hAnsi="Times New Roman" w:eastAsia="方正楷体简体" w:cs="Times New Roman"/>
          <w:color w:val="auto"/>
          <w:kern w:val="2"/>
          <w:sz w:val="32"/>
          <w:szCs w:val="32"/>
          <w:highlight w:val="none"/>
          <w:shd w:val="clear"/>
          <w:lang w:val="zh-CN"/>
        </w:rPr>
      </w:pPr>
      <w:bookmarkStart w:id="70" w:name="_Toc16309"/>
      <w:bookmarkStart w:id="71" w:name="_Toc15130"/>
      <w:bookmarkStart w:id="72" w:name="_Toc30600"/>
      <w:r>
        <w:rPr>
          <w:rFonts w:hint="default" w:ascii="Times New Roman" w:hAnsi="Times New Roman" w:eastAsia="方正楷体简体" w:cs="Times New Roman"/>
          <w:color w:val="auto"/>
          <w:kern w:val="2"/>
          <w:sz w:val="32"/>
          <w:szCs w:val="32"/>
          <w:highlight w:val="none"/>
          <w:shd w:val="clear"/>
          <w:lang w:val="zh-CN"/>
        </w:rPr>
        <w:t>（二）支出情况</w:t>
      </w:r>
      <w:bookmarkEnd w:id="63"/>
      <w:bookmarkEnd w:id="64"/>
      <w:bookmarkEnd w:id="65"/>
      <w:bookmarkEnd w:id="66"/>
      <w:bookmarkEnd w:id="67"/>
      <w:bookmarkEnd w:id="68"/>
      <w:bookmarkEnd w:id="69"/>
      <w:bookmarkEnd w:id="70"/>
      <w:bookmarkEnd w:id="71"/>
      <w:bookmarkEnd w:id="72"/>
    </w:p>
    <w:p w14:paraId="71511962">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bookmarkStart w:id="73" w:name="_Toc24721"/>
      <w:bookmarkStart w:id="74" w:name="_Toc18390"/>
      <w:bookmarkStart w:id="75" w:name="_Toc10837"/>
      <w:bookmarkStart w:id="76" w:name="_Toc809"/>
      <w:bookmarkStart w:id="77" w:name="_Toc1457008154"/>
      <w:bookmarkStart w:id="78" w:name="_Toc109483839"/>
      <w:bookmarkStart w:id="79" w:name="_Toc13841"/>
      <w:r>
        <w:rPr>
          <w:rFonts w:hint="default" w:ascii="Times New Roman" w:hAnsi="Times New Roman" w:eastAsia="方正仿宋_GB2312" w:cs="Times New Roman"/>
          <w:color w:val="auto"/>
          <w:sz w:val="32"/>
          <w:szCs w:val="32"/>
          <w:highlight w:val="none"/>
          <w:lang w:val="en-US" w:eastAsia="zh-CN"/>
        </w:rPr>
        <w:t>年初预算反映，县残联2024年预算支出合计255.75万元，无年末结转和结余。本年支出中：基本支出70.51万元（人员经费61.71万元、公用经费8.80万元），项目支出185.24万元。</w:t>
      </w:r>
    </w:p>
    <w:p w14:paraId="1F52F881">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决算报表反映，县残联2024年决算支出合计400.99万元，均为本年支出，无年末结转和结余。本年支出中：基本支出77.00万元（人员经费68.27万元、公用经费8.74万元），项目支出323.98万元。</w:t>
      </w:r>
    </w:p>
    <w:p w14:paraId="03B600DB">
      <w:pPr>
        <w:keepNext w:val="0"/>
        <w:keepLines w:val="0"/>
        <w:pageBreakBefore w:val="0"/>
        <w:widowControl w:val="0"/>
        <w:kinsoku/>
        <w:wordWrap/>
        <w:overflowPunct/>
        <w:topLinePunct w:val="0"/>
        <w:bidi w:val="0"/>
        <w:spacing w:line="560" w:lineRule="exact"/>
        <w:ind w:firstLine="640" w:firstLineChars="200"/>
        <w:textAlignment w:val="auto"/>
        <w:rPr>
          <w:rFonts w:hint="default" w:ascii="Times New Roman" w:hAnsi="Times New Roman" w:eastAsia="方正楷体简体" w:cs="Times New Roman"/>
          <w:color w:val="auto"/>
          <w:sz w:val="32"/>
          <w:szCs w:val="32"/>
          <w:highlight w:val="none"/>
          <w:lang w:val="zh-CN" w:eastAsia="zh-CN"/>
        </w:rPr>
      </w:pPr>
      <w:r>
        <w:rPr>
          <w:rFonts w:hint="default" w:ascii="Times New Roman" w:hAnsi="Times New Roman" w:eastAsia="方正楷体简体" w:cs="Times New Roman"/>
          <w:color w:val="auto"/>
          <w:sz w:val="32"/>
          <w:szCs w:val="32"/>
          <w:highlight w:val="none"/>
          <w:lang w:val="zh-CN" w:eastAsia="zh-CN"/>
        </w:rPr>
        <w:t>（三）结余分配和结转结余情况</w:t>
      </w:r>
    </w:p>
    <w:p w14:paraId="28891199">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决算报表反映，2024年县残联年末无结余分配，无年末结转结余。</w:t>
      </w:r>
    </w:p>
    <w:p w14:paraId="4BC19A9C">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outlineLvl w:val="0"/>
        <w:rPr>
          <w:rFonts w:hint="default" w:ascii="Times New Roman" w:hAnsi="Times New Roman" w:eastAsia="方正黑体简体" w:cs="Times New Roman"/>
          <w:color w:val="auto"/>
          <w:kern w:val="0"/>
          <w:sz w:val="32"/>
          <w:szCs w:val="32"/>
          <w:highlight w:val="none"/>
          <w:shd w:val="clear" w:color="auto" w:fill="FFFFFF"/>
          <w:lang w:val="en-US" w:eastAsia="zh-CN"/>
        </w:rPr>
      </w:pPr>
      <w:bookmarkStart w:id="80" w:name="_Toc7705"/>
      <w:bookmarkStart w:id="81" w:name="_Toc16353"/>
      <w:bookmarkStart w:id="82" w:name="_Toc10974"/>
      <w:r>
        <w:rPr>
          <w:rFonts w:hint="default" w:ascii="Times New Roman" w:hAnsi="Times New Roman" w:eastAsia="方正黑体简体" w:cs="Times New Roman"/>
          <w:color w:val="auto"/>
          <w:kern w:val="0"/>
          <w:sz w:val="32"/>
          <w:szCs w:val="32"/>
          <w:highlight w:val="none"/>
          <w:shd w:val="clear" w:color="auto" w:fill="FFFFFF"/>
        </w:rPr>
        <w:t>三、</w:t>
      </w:r>
      <w:r>
        <w:rPr>
          <w:rFonts w:hint="default" w:ascii="Times New Roman" w:hAnsi="Times New Roman" w:eastAsia="方正黑体简体" w:cs="Times New Roman"/>
          <w:color w:val="auto"/>
          <w:kern w:val="0"/>
          <w:sz w:val="32"/>
          <w:szCs w:val="32"/>
          <w:highlight w:val="none"/>
          <w:shd w:val="clear" w:color="auto" w:fill="FFFFFF"/>
          <w:lang w:val="en-US" w:eastAsia="zh-CN"/>
        </w:rPr>
        <w:t>部门目标实现情况</w:t>
      </w:r>
      <w:bookmarkEnd w:id="73"/>
      <w:bookmarkEnd w:id="74"/>
      <w:bookmarkEnd w:id="75"/>
      <w:bookmarkEnd w:id="80"/>
      <w:bookmarkEnd w:id="81"/>
      <w:bookmarkEnd w:id="82"/>
    </w:p>
    <w:p w14:paraId="5552689A">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outlineLvl w:val="1"/>
        <w:rPr>
          <w:rFonts w:hint="default" w:ascii="Times New Roman" w:hAnsi="Times New Roman" w:eastAsia="方正楷体简体" w:cs="Times New Roman"/>
          <w:color w:val="auto"/>
          <w:kern w:val="2"/>
          <w:sz w:val="32"/>
          <w:szCs w:val="32"/>
          <w:highlight w:val="none"/>
          <w:shd w:val="clear"/>
          <w:lang w:val="zh-CN" w:eastAsia="zh-CN"/>
        </w:rPr>
      </w:pPr>
      <w:bookmarkStart w:id="83" w:name="_Toc28011"/>
      <w:bookmarkStart w:id="84" w:name="_Toc1418"/>
      <w:bookmarkStart w:id="85" w:name="_Toc22633"/>
      <w:bookmarkStart w:id="86" w:name="_Toc19300"/>
      <w:bookmarkStart w:id="87" w:name="_Toc3573"/>
      <w:bookmarkStart w:id="88" w:name="_Toc29501"/>
      <w:r>
        <w:rPr>
          <w:rFonts w:hint="default" w:ascii="Times New Roman" w:hAnsi="Times New Roman" w:eastAsia="方正楷体简体" w:cs="Times New Roman"/>
          <w:color w:val="auto"/>
          <w:kern w:val="2"/>
          <w:sz w:val="32"/>
          <w:szCs w:val="32"/>
          <w:highlight w:val="none"/>
          <w:shd w:val="clear"/>
          <w:lang w:val="zh-CN" w:eastAsia="zh-CN"/>
        </w:rPr>
        <w:t>（一）总体目标</w:t>
      </w:r>
      <w:bookmarkEnd w:id="83"/>
      <w:bookmarkEnd w:id="84"/>
      <w:bookmarkEnd w:id="85"/>
      <w:bookmarkEnd w:id="86"/>
      <w:bookmarkEnd w:id="87"/>
      <w:bookmarkEnd w:id="88"/>
    </w:p>
    <w:p w14:paraId="7811A481">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bookmarkStart w:id="89" w:name="_Toc11959"/>
      <w:bookmarkStart w:id="90" w:name="_Toc132"/>
      <w:bookmarkStart w:id="91" w:name="_Toc6926"/>
      <w:bookmarkStart w:id="92" w:name="_Toc4650"/>
      <w:bookmarkStart w:id="93" w:name="_Toc30825"/>
      <w:bookmarkStart w:id="94" w:name="_Toc24652"/>
      <w:r>
        <w:rPr>
          <w:rFonts w:hint="default" w:ascii="Times New Roman" w:hAnsi="Times New Roman" w:eastAsia="方正仿宋_GB2312" w:cs="Times New Roman"/>
          <w:color w:val="auto"/>
          <w:sz w:val="32"/>
          <w:szCs w:val="32"/>
          <w:highlight w:val="none"/>
          <w:lang w:val="en-US" w:eastAsia="zh-CN"/>
        </w:rPr>
        <w:t>贯彻执行国家有关残疾人工作的方针、政策、法律和法规，协助县政府研究、制订全县残疾人人事业的规划和措施，并组织实施；密切联系全县残疾人，听取残疾人意见，反映残疾人需求，维护残疾人合法权益，全心全意为残疾人服务；团结、教育残疾人遵守法律，履行应尽的义务，发扬自尊、自信、自强、自立和乐观进取精神，为社会主义建设贡献力量；弘扬人道主义，宣传残疾人事业，沟通政府、社会与残疾人之间的联系，动员社会理解、尊重、关心、帮助残疾人；开展和促进残疾人的康复、教育、劳动就业、文化、体育、用品供应、福利、社会服务、无障碍设施和残疾人预防工作。</w:t>
      </w:r>
    </w:p>
    <w:p w14:paraId="332148A8">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outlineLvl w:val="1"/>
        <w:rPr>
          <w:rFonts w:hint="default" w:ascii="Times New Roman" w:hAnsi="Times New Roman" w:eastAsia="方正楷体简体" w:cs="Times New Roman"/>
          <w:color w:val="auto"/>
          <w:kern w:val="2"/>
          <w:sz w:val="32"/>
          <w:szCs w:val="32"/>
          <w:highlight w:val="none"/>
          <w:shd w:val="clear"/>
          <w:lang w:val="zh-CN" w:eastAsia="zh-CN"/>
        </w:rPr>
      </w:pPr>
      <w:r>
        <w:rPr>
          <w:rFonts w:hint="default" w:ascii="Times New Roman" w:hAnsi="Times New Roman" w:eastAsia="方正楷体简体" w:cs="Times New Roman"/>
          <w:color w:val="auto"/>
          <w:kern w:val="2"/>
          <w:sz w:val="32"/>
          <w:szCs w:val="32"/>
          <w:highlight w:val="none"/>
          <w:shd w:val="clear"/>
          <w:lang w:val="zh-CN" w:eastAsia="zh-CN"/>
        </w:rPr>
        <w:t>（二）具体目标</w:t>
      </w:r>
      <w:bookmarkEnd w:id="89"/>
      <w:bookmarkEnd w:id="90"/>
      <w:bookmarkEnd w:id="91"/>
      <w:bookmarkEnd w:id="92"/>
      <w:bookmarkEnd w:id="93"/>
      <w:bookmarkEnd w:id="94"/>
    </w:p>
    <w:p w14:paraId="54A408D9">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bookmarkStart w:id="95" w:name="_Toc24081"/>
      <w:bookmarkStart w:id="96" w:name="_Toc6491"/>
      <w:bookmarkStart w:id="97" w:name="_Toc17536"/>
      <w:r>
        <w:rPr>
          <w:rFonts w:hint="default" w:ascii="Times New Roman" w:hAnsi="Times New Roman" w:eastAsia="方正仿宋_GB2312" w:cs="Times New Roman"/>
          <w:color w:val="auto"/>
          <w:sz w:val="32"/>
          <w:szCs w:val="32"/>
          <w:highlight w:val="none"/>
          <w:lang w:val="en-US" w:eastAsia="zh-CN"/>
        </w:rPr>
        <w:t>县残联2024年认真落实中央、省、州纪委全会部署安排，完成了以下工作任务：</w:t>
      </w:r>
    </w:p>
    <w:p w14:paraId="7CDD8E08">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bookmarkStart w:id="98" w:name="_Toc21154"/>
      <w:bookmarkStart w:id="99" w:name="_Toc32189"/>
      <w:bookmarkStart w:id="100" w:name="_Toc13068"/>
      <w:r>
        <w:rPr>
          <w:rFonts w:hint="default" w:ascii="Times New Roman" w:hAnsi="Times New Roman" w:eastAsia="方正仿宋_GB2312" w:cs="Times New Roman"/>
          <w:color w:val="auto"/>
          <w:sz w:val="32"/>
          <w:szCs w:val="32"/>
          <w:highlight w:val="none"/>
          <w:lang w:val="en-US" w:eastAsia="zh-CN"/>
        </w:rPr>
        <w:t>1.残疾人事业工作经费及量服工作经费。用于开展全县残疾人事业工作所需经费及县、乡（镇）、村残疾人工作者能力提升培训经费；全县“</w:t>
      </w:r>
      <w:r>
        <w:rPr>
          <w:rFonts w:hint="eastAsia" w:ascii="Times New Roman" w:hAnsi="Times New Roman" w:eastAsia="方正仿宋_GB2312" w:cs="Times New Roman"/>
          <w:color w:val="auto"/>
          <w:sz w:val="32"/>
          <w:szCs w:val="32"/>
          <w:highlight w:val="none"/>
          <w:lang w:val="en-US" w:eastAsia="zh-CN"/>
        </w:rPr>
        <w:t>两服</w:t>
      </w:r>
      <w:r>
        <w:rPr>
          <w:rFonts w:hint="default" w:ascii="Times New Roman" w:hAnsi="Times New Roman" w:eastAsia="方正仿宋_GB2312" w:cs="Times New Roman"/>
          <w:color w:val="auto"/>
          <w:sz w:val="32"/>
          <w:szCs w:val="32"/>
          <w:highlight w:val="none"/>
          <w:lang w:val="en-US" w:eastAsia="zh-CN"/>
        </w:rPr>
        <w:t>”工作及实施残疾人康复项目配套经费用于开展全县残疾人事业工作所需经费及县、乡（镇）、村残疾人工作者能力提升培训经费；全县“量服”工作及实施残疾人康复项目配套经费。</w:t>
      </w:r>
    </w:p>
    <w:p w14:paraId="48FD8759">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2.残疾人关爱行动。春节“温暖万家行”慰问困难残疾人家庭，对临时因灾因病困难残疾人实施关爱救助。</w:t>
      </w:r>
    </w:p>
    <w:p w14:paraId="70C2511B">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3.残疾学生救助补贴。对全县幼儿园、小学、初中、高中、大专残疾学生实施助学补贴。</w:t>
      </w:r>
    </w:p>
    <w:p w14:paraId="6CC5F92F">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4.残疾人家庭无障碍改造。川残办〔2022〕1号，对困难重度残疾人实施家庭无障碍改造，改善残疾人居家环境。</w:t>
      </w:r>
    </w:p>
    <w:p w14:paraId="358AF5B4">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5.残疾人宣传文化和体育。推进残疾人文化进家庭“五个一”和“体育器材”项目；开展好残疾人文化、体育服务。</w:t>
      </w:r>
    </w:p>
    <w:p w14:paraId="38A38622">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6.残疾人综合服务中心运营管理。保障综合服务中心正常运营，让残疾人和残疾儿童得到更好</w:t>
      </w:r>
      <w:r>
        <w:rPr>
          <w:rFonts w:hint="eastAsia" w:ascii="Times New Roman" w:hAnsi="Times New Roman" w:eastAsia="方正仿宋_GB2312" w:cs="Times New Roman"/>
          <w:color w:val="auto"/>
          <w:sz w:val="32"/>
          <w:szCs w:val="32"/>
          <w:highlight w:val="none"/>
          <w:lang w:val="en-US" w:eastAsia="zh-CN"/>
        </w:rPr>
        <w:t>地</w:t>
      </w:r>
      <w:r>
        <w:rPr>
          <w:rFonts w:hint="default" w:ascii="Times New Roman" w:hAnsi="Times New Roman" w:eastAsia="方正仿宋_GB2312" w:cs="Times New Roman"/>
          <w:color w:val="auto"/>
          <w:sz w:val="32"/>
          <w:szCs w:val="32"/>
          <w:highlight w:val="none"/>
          <w:lang w:val="en-US" w:eastAsia="zh-CN"/>
        </w:rPr>
        <w:t>康复和训练。</w:t>
      </w:r>
    </w:p>
    <w:p w14:paraId="6E1CFF9B">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7.村社区专委劳务补贴。用于保障基层残疾人工作者更好地为残疾人服务，及时了解残疾人需求。</w:t>
      </w:r>
    </w:p>
    <w:p w14:paraId="1F6716C9">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8.基层组织规范化建设。加强基层残疾人组织建设、提高基层残联组织履职能力和扩大联系覆盖面，更好地为残疾人服务。</w:t>
      </w:r>
    </w:p>
    <w:p w14:paraId="234D532A">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outlineLvl w:val="0"/>
        <w:rPr>
          <w:rFonts w:hint="default" w:ascii="Times New Roman" w:hAnsi="Times New Roman" w:eastAsia="方正黑体简体" w:cs="Times New Roman"/>
          <w:color w:val="auto"/>
          <w:kern w:val="0"/>
          <w:sz w:val="32"/>
          <w:szCs w:val="32"/>
          <w:highlight w:val="none"/>
          <w:shd w:val="clear" w:color="auto" w:fill="FFFFFF"/>
        </w:rPr>
      </w:pPr>
      <w:r>
        <w:rPr>
          <w:rFonts w:hint="default" w:ascii="Times New Roman" w:hAnsi="Times New Roman" w:eastAsia="方正黑体简体" w:cs="Times New Roman"/>
          <w:color w:val="auto"/>
          <w:kern w:val="0"/>
          <w:sz w:val="32"/>
          <w:szCs w:val="32"/>
          <w:highlight w:val="none"/>
          <w:shd w:val="clear" w:color="auto" w:fill="FFFFFF"/>
          <w:lang w:val="en-US" w:eastAsia="zh-CN"/>
        </w:rPr>
        <w:t>四、</w:t>
      </w:r>
      <w:r>
        <w:rPr>
          <w:rFonts w:hint="default" w:ascii="Times New Roman" w:hAnsi="Times New Roman" w:eastAsia="方正黑体简体" w:cs="Times New Roman"/>
          <w:color w:val="auto"/>
          <w:kern w:val="0"/>
          <w:sz w:val="32"/>
          <w:szCs w:val="32"/>
          <w:highlight w:val="none"/>
          <w:shd w:val="clear" w:color="auto" w:fill="FFFFFF"/>
        </w:rPr>
        <w:t>部门整体支出</w:t>
      </w:r>
      <w:r>
        <w:rPr>
          <w:rFonts w:hint="default" w:ascii="Times New Roman" w:hAnsi="Times New Roman" w:eastAsia="方正黑体简体" w:cs="Times New Roman"/>
          <w:color w:val="auto"/>
          <w:kern w:val="0"/>
          <w:sz w:val="32"/>
          <w:szCs w:val="32"/>
          <w:highlight w:val="none"/>
          <w:shd w:val="clear" w:color="auto" w:fill="FFFFFF"/>
          <w:lang w:val="zh-CN"/>
        </w:rPr>
        <w:t>绩效评价</w:t>
      </w:r>
      <w:r>
        <w:rPr>
          <w:rFonts w:hint="default" w:ascii="Times New Roman" w:hAnsi="Times New Roman" w:eastAsia="方正黑体简体" w:cs="Times New Roman"/>
          <w:color w:val="auto"/>
          <w:kern w:val="0"/>
          <w:sz w:val="32"/>
          <w:szCs w:val="32"/>
          <w:highlight w:val="none"/>
          <w:shd w:val="clear" w:color="auto" w:fill="FFFFFF"/>
        </w:rPr>
        <w:t>情况</w:t>
      </w:r>
      <w:bookmarkEnd w:id="76"/>
      <w:bookmarkEnd w:id="77"/>
      <w:bookmarkEnd w:id="78"/>
      <w:bookmarkEnd w:id="79"/>
      <w:bookmarkEnd w:id="95"/>
      <w:bookmarkEnd w:id="96"/>
      <w:bookmarkEnd w:id="97"/>
      <w:bookmarkEnd w:id="98"/>
      <w:bookmarkEnd w:id="99"/>
      <w:bookmarkEnd w:id="100"/>
    </w:p>
    <w:p w14:paraId="5A75D544">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outlineLvl w:val="1"/>
        <w:rPr>
          <w:rFonts w:hint="default" w:ascii="Times New Roman" w:hAnsi="Times New Roman" w:eastAsia="方正楷体简体" w:cs="Times New Roman"/>
          <w:color w:val="auto"/>
          <w:kern w:val="2"/>
          <w:sz w:val="32"/>
          <w:szCs w:val="32"/>
          <w:highlight w:val="none"/>
          <w:shd w:val="clear"/>
          <w:lang w:val="zh-CN" w:eastAsia="zh-CN"/>
        </w:rPr>
      </w:pPr>
      <w:bookmarkStart w:id="101" w:name="_Toc7521"/>
      <w:bookmarkStart w:id="102" w:name="_Toc24619"/>
      <w:bookmarkStart w:id="103" w:name="_Toc29571"/>
      <w:bookmarkStart w:id="104" w:name="_Toc28828"/>
      <w:bookmarkStart w:id="105" w:name="_Toc11694"/>
      <w:bookmarkStart w:id="106" w:name="_Toc24977"/>
      <w:bookmarkStart w:id="107" w:name="_Toc428273082"/>
      <w:bookmarkStart w:id="108" w:name="_Toc8903"/>
      <w:bookmarkStart w:id="109" w:name="_Toc27305"/>
      <w:bookmarkStart w:id="110" w:name="_Toc109483840"/>
      <w:bookmarkStart w:id="111" w:name="_Toc4199"/>
      <w:r>
        <w:rPr>
          <w:rFonts w:hint="default" w:ascii="Times New Roman" w:hAnsi="Times New Roman" w:eastAsia="方正楷体简体" w:cs="Times New Roman"/>
          <w:color w:val="auto"/>
          <w:kern w:val="2"/>
          <w:sz w:val="32"/>
          <w:szCs w:val="32"/>
          <w:highlight w:val="none"/>
          <w:shd w:val="clear"/>
          <w:lang w:val="zh-CN" w:eastAsia="zh-CN"/>
        </w:rPr>
        <w:t>（一）绩效评价实施过程</w:t>
      </w:r>
      <w:bookmarkEnd w:id="101"/>
      <w:bookmarkEnd w:id="102"/>
      <w:bookmarkEnd w:id="103"/>
      <w:bookmarkEnd w:id="104"/>
      <w:bookmarkEnd w:id="105"/>
      <w:bookmarkEnd w:id="106"/>
    </w:p>
    <w:p w14:paraId="3E043EBE">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zh-CN" w:eastAsia="zh-CN"/>
        </w:rPr>
      </w:pPr>
      <w:r>
        <w:rPr>
          <w:rFonts w:hint="default" w:ascii="Times New Roman" w:hAnsi="Times New Roman" w:eastAsia="方正仿宋_GB2312" w:cs="Times New Roman"/>
          <w:color w:val="auto"/>
          <w:sz w:val="32"/>
          <w:szCs w:val="32"/>
          <w:highlight w:val="none"/>
          <w:lang w:val="zh-CN" w:eastAsia="zh-CN"/>
        </w:rPr>
        <w:t>评价小组按照评价日程安排，对</w:t>
      </w:r>
      <w:r>
        <w:rPr>
          <w:rFonts w:hint="default" w:ascii="Times New Roman" w:hAnsi="Times New Roman" w:eastAsia="方正仿宋_GB2312" w:cs="Times New Roman"/>
          <w:color w:val="auto"/>
          <w:sz w:val="32"/>
          <w:szCs w:val="32"/>
          <w:highlight w:val="none"/>
          <w:lang w:val="en-US" w:eastAsia="zh-CN"/>
        </w:rPr>
        <w:t>县残联</w:t>
      </w:r>
      <w:r>
        <w:rPr>
          <w:rFonts w:hint="default" w:ascii="Times New Roman" w:hAnsi="Times New Roman" w:eastAsia="方正仿宋_GB2312" w:cs="Times New Roman"/>
          <w:color w:val="auto"/>
          <w:sz w:val="32"/>
          <w:szCs w:val="32"/>
          <w:highlight w:val="none"/>
          <w:lang w:val="zh-CN" w:eastAsia="zh-CN"/>
        </w:rPr>
        <w:t>提交的评价资料进行认真梳理，测算分析各项指标，汇总评分并形成评价报告。</w:t>
      </w:r>
    </w:p>
    <w:p w14:paraId="5A0A3725">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zh-CN" w:eastAsia="zh-CN"/>
        </w:rPr>
      </w:pPr>
      <w:r>
        <w:rPr>
          <w:rFonts w:hint="default" w:ascii="Times New Roman" w:hAnsi="Times New Roman" w:eastAsia="方正仿宋_GB2312" w:cs="Times New Roman"/>
          <w:color w:val="auto"/>
          <w:sz w:val="32"/>
          <w:szCs w:val="32"/>
          <w:highlight w:val="none"/>
          <w:lang w:val="zh-CN" w:eastAsia="zh-CN"/>
        </w:rPr>
        <w:t>1.对相关资料进行研读，对整体评价有基本的把握和了解，归纳出进一步评价所需的信息供下一步取数参考。</w:t>
      </w:r>
    </w:p>
    <w:p w14:paraId="5D575BBF">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zh-CN" w:eastAsia="zh-CN"/>
        </w:rPr>
      </w:pPr>
      <w:r>
        <w:rPr>
          <w:rFonts w:hint="default" w:ascii="Times New Roman" w:hAnsi="Times New Roman" w:eastAsia="方正仿宋_GB2312" w:cs="Times New Roman"/>
          <w:color w:val="auto"/>
          <w:sz w:val="32"/>
          <w:szCs w:val="32"/>
          <w:highlight w:val="none"/>
          <w:lang w:val="zh-CN" w:eastAsia="zh-CN"/>
        </w:rPr>
        <w:t>2.集中对各个评价指标逐一进行分析，以保证取数的准确性。</w:t>
      </w:r>
    </w:p>
    <w:p w14:paraId="777A1762">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zh-CN" w:eastAsia="zh-CN"/>
        </w:rPr>
      </w:pPr>
      <w:r>
        <w:rPr>
          <w:rFonts w:hint="default" w:ascii="Times New Roman" w:hAnsi="Times New Roman" w:eastAsia="方正仿宋_GB2312" w:cs="Times New Roman"/>
          <w:color w:val="auto"/>
          <w:sz w:val="32"/>
          <w:szCs w:val="32"/>
          <w:highlight w:val="none"/>
          <w:lang w:val="zh-CN" w:eastAsia="zh-CN"/>
        </w:rPr>
        <w:t>3.评价小组汇总分析评价过程中发现的问题并对存在问题进行讨论，根据取得的数据分别计算各评价指标所得分数，形成评价结果。</w:t>
      </w:r>
    </w:p>
    <w:p w14:paraId="3B0DF91C">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zh-CN" w:eastAsia="zh-CN"/>
        </w:rPr>
      </w:pPr>
      <w:r>
        <w:rPr>
          <w:rFonts w:hint="default" w:ascii="Times New Roman" w:hAnsi="Times New Roman" w:eastAsia="方正仿宋_GB2312" w:cs="Times New Roman"/>
          <w:color w:val="auto"/>
          <w:sz w:val="32"/>
          <w:szCs w:val="32"/>
          <w:highlight w:val="none"/>
          <w:lang w:val="zh-CN" w:eastAsia="zh-CN"/>
        </w:rPr>
        <w:t>4.根据评价结果，撰写评价报告。</w:t>
      </w:r>
    </w:p>
    <w:p w14:paraId="0280D38C">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zh-CN" w:eastAsia="zh-CN"/>
        </w:rPr>
      </w:pPr>
      <w:r>
        <w:rPr>
          <w:rFonts w:hint="default" w:ascii="Times New Roman" w:hAnsi="Times New Roman" w:eastAsia="方正仿宋_GB2312" w:cs="Times New Roman"/>
          <w:color w:val="auto"/>
          <w:sz w:val="32"/>
          <w:szCs w:val="32"/>
          <w:highlight w:val="none"/>
          <w:lang w:val="zh-CN" w:eastAsia="zh-CN"/>
        </w:rPr>
        <w:t>5.与绩效评价相关者沟通，完善并形成绩效评价报告终稿。</w:t>
      </w:r>
    </w:p>
    <w:p w14:paraId="2ADF116E">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outlineLvl w:val="1"/>
        <w:rPr>
          <w:rFonts w:hint="default" w:ascii="Times New Roman" w:hAnsi="Times New Roman" w:eastAsia="方正楷体简体" w:cs="Times New Roman"/>
          <w:color w:val="auto"/>
          <w:kern w:val="2"/>
          <w:sz w:val="32"/>
          <w:szCs w:val="32"/>
          <w:highlight w:val="none"/>
          <w:shd w:val="clear"/>
          <w:lang w:val="en-US" w:eastAsia="zh-CN"/>
        </w:rPr>
      </w:pPr>
      <w:bookmarkStart w:id="112" w:name="_Toc23900"/>
      <w:bookmarkStart w:id="113" w:name="_Toc30977"/>
      <w:bookmarkStart w:id="114" w:name="_Toc3794"/>
      <w:bookmarkStart w:id="115" w:name="_Toc24380"/>
      <w:bookmarkStart w:id="116" w:name="_Toc4385"/>
      <w:bookmarkStart w:id="117" w:name="_Toc16416"/>
      <w:r>
        <w:rPr>
          <w:rFonts w:hint="default" w:ascii="Times New Roman" w:hAnsi="Times New Roman" w:eastAsia="方正楷体简体" w:cs="Times New Roman"/>
          <w:color w:val="auto"/>
          <w:kern w:val="2"/>
          <w:sz w:val="32"/>
          <w:szCs w:val="32"/>
          <w:highlight w:val="none"/>
          <w:shd w:val="clear"/>
          <w:lang w:val="zh-CN" w:eastAsia="zh-CN"/>
        </w:rPr>
        <w:t>（</w:t>
      </w:r>
      <w:r>
        <w:rPr>
          <w:rFonts w:hint="default" w:ascii="Times New Roman" w:hAnsi="Times New Roman" w:eastAsia="方正楷体简体" w:cs="Times New Roman"/>
          <w:color w:val="auto"/>
          <w:kern w:val="2"/>
          <w:sz w:val="32"/>
          <w:szCs w:val="32"/>
          <w:highlight w:val="none"/>
          <w:shd w:val="clear"/>
          <w:lang w:val="en-US" w:eastAsia="zh-CN"/>
        </w:rPr>
        <w:t>二）</w:t>
      </w:r>
      <w:bookmarkEnd w:id="107"/>
      <w:bookmarkEnd w:id="108"/>
      <w:r>
        <w:rPr>
          <w:rFonts w:hint="default" w:ascii="Times New Roman" w:hAnsi="Times New Roman" w:eastAsia="方正楷体简体" w:cs="Times New Roman"/>
          <w:color w:val="auto"/>
          <w:kern w:val="2"/>
          <w:sz w:val="32"/>
          <w:szCs w:val="32"/>
          <w:highlight w:val="none"/>
          <w:shd w:val="clear"/>
          <w:lang w:val="en-US" w:eastAsia="zh-CN"/>
        </w:rPr>
        <w:t>评价结论</w:t>
      </w:r>
      <w:bookmarkEnd w:id="112"/>
      <w:bookmarkEnd w:id="113"/>
      <w:bookmarkEnd w:id="114"/>
      <w:bookmarkEnd w:id="115"/>
      <w:bookmarkEnd w:id="116"/>
      <w:bookmarkEnd w:id="117"/>
    </w:p>
    <w:bookmarkEnd w:id="109"/>
    <w:bookmarkEnd w:id="110"/>
    <w:bookmarkEnd w:id="111"/>
    <w:p w14:paraId="11D0484D">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
        </w:rPr>
        <w:t>202</w:t>
      </w:r>
      <w:r>
        <w:rPr>
          <w:rFonts w:hint="default" w:ascii="Times New Roman" w:hAnsi="Times New Roman" w:eastAsia="方正仿宋_GB2312" w:cs="Times New Roman"/>
          <w:color w:val="auto"/>
          <w:sz w:val="32"/>
          <w:szCs w:val="32"/>
          <w:highlight w:val="none"/>
          <w:lang w:val="en-US" w:eastAsia="zh-CN"/>
        </w:rPr>
        <w:t>4年度，县残联强力推进残疾人民生实事，弘扬人道主义，宣传残疾人事业，沟通政府、社会与残疾人之间的联系，为社会主义建设贡献了力量。县残联在维持部门运转的基础上，完成了部门职责范围内的各项工作，部门履职情况较好。</w:t>
      </w:r>
    </w:p>
    <w:p w14:paraId="38EC8196">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按照设定的评价指标体系</w:t>
      </w:r>
      <w:r>
        <w:rPr>
          <w:rFonts w:hint="eastAsia" w:ascii="Times New Roman" w:hAnsi="Times New Roman" w:eastAsia="方正仿宋_GB2312" w:cs="Times New Roman"/>
          <w:color w:val="auto"/>
          <w:sz w:val="32"/>
          <w:szCs w:val="32"/>
          <w:highlight w:val="none"/>
          <w:lang w:val="en-US" w:eastAsia="zh-CN"/>
        </w:rPr>
        <w:t>，</w:t>
      </w:r>
      <w:r>
        <w:rPr>
          <w:rFonts w:hint="default" w:ascii="Times New Roman" w:hAnsi="Times New Roman" w:eastAsia="方正仿宋_GB2312" w:cs="Times New Roman"/>
          <w:color w:val="auto"/>
          <w:sz w:val="32"/>
          <w:szCs w:val="32"/>
          <w:highlight w:val="none"/>
          <w:lang w:val="en-US" w:eastAsia="zh-CN"/>
        </w:rPr>
        <w:t>对县残联</w:t>
      </w:r>
      <w:r>
        <w:rPr>
          <w:rFonts w:hint="default" w:ascii="Times New Roman" w:hAnsi="Times New Roman" w:eastAsia="方正仿宋_GB2312" w:cs="Times New Roman"/>
          <w:color w:val="auto"/>
          <w:sz w:val="32"/>
          <w:szCs w:val="32"/>
          <w:highlight w:val="none"/>
          <w:lang w:val="en-US" w:eastAsia="zh"/>
        </w:rPr>
        <w:t>202</w:t>
      </w:r>
      <w:r>
        <w:rPr>
          <w:rFonts w:hint="default" w:ascii="Times New Roman" w:hAnsi="Times New Roman" w:eastAsia="方正仿宋_GB2312" w:cs="Times New Roman"/>
          <w:color w:val="auto"/>
          <w:sz w:val="32"/>
          <w:szCs w:val="32"/>
          <w:highlight w:val="none"/>
          <w:lang w:val="en-US" w:eastAsia="zh-CN"/>
        </w:rPr>
        <w:t>4年度部门整体支出情况在预算编制、预算执行、完成结果、信息公开、整改反馈、自评质量方面进行综合评价，</w:t>
      </w:r>
      <w:r>
        <w:rPr>
          <w:rFonts w:hint="default" w:ascii="Times New Roman" w:hAnsi="Times New Roman" w:eastAsia="方正仿宋_GB2312" w:cs="Times New Roman"/>
          <w:color w:val="auto"/>
          <w:sz w:val="32"/>
          <w:szCs w:val="32"/>
          <w:highlight w:val="none"/>
          <w:lang w:val="en-US" w:eastAsia="zh"/>
        </w:rPr>
        <w:t>202</w:t>
      </w:r>
      <w:r>
        <w:rPr>
          <w:rFonts w:hint="default" w:ascii="Times New Roman" w:hAnsi="Times New Roman" w:eastAsia="方正仿宋_GB2312" w:cs="Times New Roman"/>
          <w:color w:val="auto"/>
          <w:sz w:val="32"/>
          <w:szCs w:val="32"/>
          <w:highlight w:val="none"/>
          <w:lang w:val="en-US" w:eastAsia="zh-CN"/>
        </w:rPr>
        <w:t>4年度县残联部门整体支出绩效评价指标分值100.00分，得分89.77分。详见下表：</w:t>
      </w:r>
    </w:p>
    <w:p w14:paraId="586E1AED">
      <w:pPr>
        <w:keepNext w:val="0"/>
        <w:keepLines w:val="0"/>
        <w:pageBreakBefore w:val="0"/>
        <w:widowControl w:val="0"/>
        <w:kinsoku/>
        <w:wordWrap/>
        <w:overflowPunct/>
        <w:topLinePunct w:val="0"/>
        <w:autoSpaceDE/>
        <w:autoSpaceDN/>
        <w:bidi w:val="0"/>
        <w:adjustRightInd/>
        <w:snapToGrid/>
        <w:spacing w:line="600" w:lineRule="exact"/>
        <w:ind w:left="0" w:firstLine="0" w:firstLineChars="0"/>
        <w:jc w:val="center"/>
        <w:textAlignment w:val="auto"/>
        <w:outlineLvl w:val="9"/>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县残联</w:t>
      </w:r>
      <w:r>
        <w:rPr>
          <w:rFonts w:hint="default" w:ascii="Times New Roman" w:hAnsi="Times New Roman" w:eastAsia="方正仿宋_GB2312" w:cs="Times New Roman"/>
          <w:color w:val="auto"/>
          <w:sz w:val="32"/>
          <w:szCs w:val="32"/>
          <w:highlight w:val="none"/>
          <w:lang w:val="en-US" w:eastAsia="zh"/>
        </w:rPr>
        <w:t>202</w:t>
      </w:r>
      <w:r>
        <w:rPr>
          <w:rFonts w:hint="default" w:ascii="Times New Roman" w:hAnsi="Times New Roman" w:eastAsia="方正仿宋_GB2312" w:cs="Times New Roman"/>
          <w:color w:val="auto"/>
          <w:sz w:val="32"/>
          <w:szCs w:val="32"/>
          <w:highlight w:val="none"/>
          <w:lang w:val="en-US" w:eastAsia="zh-CN"/>
        </w:rPr>
        <w:t>4年部门整体支出绩效评价评分表</w:t>
      </w:r>
    </w:p>
    <w:tbl>
      <w:tblPr>
        <w:tblStyle w:val="19"/>
        <w:tblW w:w="4998"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039"/>
        <w:gridCol w:w="2580"/>
        <w:gridCol w:w="1139"/>
        <w:gridCol w:w="1145"/>
        <w:gridCol w:w="1305"/>
        <w:gridCol w:w="1305"/>
      </w:tblGrid>
      <w:tr w14:paraId="0E5D20E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6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600219">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b/>
                <w:bCs/>
                <w:i w:val="0"/>
                <w:iCs w:val="0"/>
                <w:color w:val="000000"/>
                <w:sz w:val="20"/>
                <w:szCs w:val="20"/>
                <w:u w:val="none"/>
              </w:rPr>
            </w:pPr>
            <w:bookmarkStart w:id="118" w:name="_Toc13729"/>
            <w:bookmarkStart w:id="119" w:name="_Toc14707"/>
            <w:bookmarkStart w:id="120" w:name="_Toc4242"/>
            <w:bookmarkStart w:id="121" w:name="_Toc16394"/>
            <w:bookmarkStart w:id="122" w:name="_Toc26985"/>
            <w:bookmarkStart w:id="123" w:name="_Toc109483841"/>
            <w:bookmarkStart w:id="124" w:name="_Toc1687911260"/>
            <w:bookmarkStart w:id="125" w:name="_Toc24818"/>
            <w:bookmarkStart w:id="126" w:name="_Toc28266"/>
            <w:bookmarkStart w:id="127" w:name="_Toc31945"/>
            <w:r>
              <w:rPr>
                <w:rFonts w:hint="default" w:ascii="Times New Roman" w:hAnsi="Times New Roman" w:eastAsia="方正仿宋_GB2312" w:cs="Times New Roman"/>
                <w:b/>
                <w:bCs/>
                <w:i w:val="0"/>
                <w:iCs w:val="0"/>
                <w:color w:val="000000"/>
                <w:kern w:val="0"/>
                <w:sz w:val="20"/>
                <w:szCs w:val="20"/>
                <w:u w:val="none"/>
                <w:lang w:val="en-US" w:eastAsia="zh-CN" w:bidi="ar"/>
              </w:rPr>
              <w:t>一级指标</w:t>
            </w:r>
          </w:p>
        </w:tc>
        <w:tc>
          <w:tcPr>
            <w:tcW w:w="15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8F123A">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b/>
                <w:bCs/>
                <w:i w:val="0"/>
                <w:iCs w:val="0"/>
                <w:color w:val="000000"/>
                <w:sz w:val="20"/>
                <w:szCs w:val="20"/>
                <w:u w:val="none"/>
              </w:rPr>
            </w:pPr>
            <w:r>
              <w:rPr>
                <w:rFonts w:hint="default" w:ascii="Times New Roman" w:hAnsi="Times New Roman" w:eastAsia="方正仿宋_GB2312" w:cs="Times New Roman"/>
                <w:b/>
                <w:bCs/>
                <w:i w:val="0"/>
                <w:iCs w:val="0"/>
                <w:color w:val="000000"/>
                <w:kern w:val="0"/>
                <w:sz w:val="20"/>
                <w:szCs w:val="20"/>
                <w:u w:val="none"/>
                <w:lang w:val="en-US" w:eastAsia="zh-CN" w:bidi="ar"/>
              </w:rPr>
              <w:t>二级指标</w:t>
            </w:r>
          </w:p>
        </w:tc>
        <w:tc>
          <w:tcPr>
            <w:tcW w:w="6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794606">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b/>
                <w:bCs/>
                <w:i w:val="0"/>
                <w:iCs w:val="0"/>
                <w:color w:val="000000"/>
                <w:sz w:val="20"/>
                <w:szCs w:val="20"/>
                <w:u w:val="none"/>
              </w:rPr>
            </w:pPr>
            <w:r>
              <w:rPr>
                <w:rFonts w:hint="default" w:ascii="Times New Roman" w:hAnsi="Times New Roman" w:eastAsia="方正仿宋_GB2312" w:cs="Times New Roman"/>
                <w:b/>
                <w:bCs/>
                <w:i w:val="0"/>
                <w:iCs w:val="0"/>
                <w:color w:val="000000"/>
                <w:kern w:val="0"/>
                <w:sz w:val="20"/>
                <w:szCs w:val="20"/>
                <w:u w:val="none"/>
                <w:lang w:val="en-US" w:eastAsia="zh-CN" w:bidi="ar"/>
              </w:rPr>
              <w:t>三级指标</w:t>
            </w:r>
          </w:p>
        </w:tc>
        <w:tc>
          <w:tcPr>
            <w:tcW w:w="6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655B71">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b/>
                <w:bCs/>
                <w:i w:val="0"/>
                <w:iCs w:val="0"/>
                <w:color w:val="000000"/>
                <w:sz w:val="20"/>
                <w:szCs w:val="20"/>
                <w:u w:val="none"/>
              </w:rPr>
            </w:pPr>
            <w:r>
              <w:rPr>
                <w:rFonts w:hint="default" w:ascii="Times New Roman" w:hAnsi="Times New Roman" w:eastAsia="方正仿宋_GB2312" w:cs="Times New Roman"/>
                <w:b/>
                <w:bCs/>
                <w:i w:val="0"/>
                <w:iCs w:val="0"/>
                <w:color w:val="000000"/>
                <w:kern w:val="0"/>
                <w:sz w:val="20"/>
                <w:szCs w:val="20"/>
                <w:u w:val="none"/>
                <w:lang w:val="en-US" w:eastAsia="zh-CN" w:bidi="ar"/>
              </w:rPr>
              <w:t>分值</w:t>
            </w:r>
          </w:p>
        </w:tc>
        <w:tc>
          <w:tcPr>
            <w:tcW w:w="7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BCED8C">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b/>
                <w:bCs/>
                <w:i w:val="0"/>
                <w:iCs w:val="0"/>
                <w:color w:val="000000"/>
                <w:sz w:val="20"/>
                <w:szCs w:val="20"/>
                <w:u w:val="none"/>
              </w:rPr>
            </w:pPr>
            <w:r>
              <w:rPr>
                <w:rFonts w:hint="default" w:ascii="Times New Roman" w:hAnsi="Times New Roman" w:eastAsia="方正仿宋_GB2312" w:cs="Times New Roman"/>
                <w:b/>
                <w:bCs/>
                <w:i w:val="0"/>
                <w:iCs w:val="0"/>
                <w:color w:val="000000"/>
                <w:kern w:val="0"/>
                <w:sz w:val="20"/>
                <w:szCs w:val="20"/>
                <w:u w:val="none"/>
                <w:lang w:val="en-US" w:eastAsia="zh-CN" w:bidi="ar"/>
              </w:rPr>
              <w:t>扣分</w:t>
            </w:r>
          </w:p>
        </w:tc>
        <w:tc>
          <w:tcPr>
            <w:tcW w:w="7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CF0293">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b/>
                <w:bCs/>
                <w:i w:val="0"/>
                <w:iCs w:val="0"/>
                <w:color w:val="000000"/>
                <w:sz w:val="20"/>
                <w:szCs w:val="20"/>
                <w:u w:val="none"/>
              </w:rPr>
            </w:pPr>
            <w:r>
              <w:rPr>
                <w:rFonts w:hint="default" w:ascii="Times New Roman" w:hAnsi="Times New Roman" w:eastAsia="方正仿宋_GB2312" w:cs="Times New Roman"/>
                <w:b/>
                <w:bCs/>
                <w:i w:val="0"/>
                <w:iCs w:val="0"/>
                <w:color w:val="000000"/>
                <w:kern w:val="0"/>
                <w:sz w:val="20"/>
                <w:szCs w:val="20"/>
                <w:u w:val="none"/>
                <w:lang w:val="en-US" w:eastAsia="zh-CN" w:bidi="ar"/>
              </w:rPr>
              <w:t>得分</w:t>
            </w:r>
          </w:p>
        </w:tc>
      </w:tr>
      <w:tr w14:paraId="7C88BA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0" w:hRule="atLeast"/>
        </w:trPr>
        <w:tc>
          <w:tcPr>
            <w:tcW w:w="61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DE0BB45">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部门预算管理（50分）</w:t>
            </w:r>
          </w:p>
        </w:tc>
        <w:tc>
          <w:tcPr>
            <w:tcW w:w="151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6352588">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目标管理（15分）</w:t>
            </w:r>
          </w:p>
        </w:tc>
        <w:tc>
          <w:tcPr>
            <w:tcW w:w="6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D56694">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目标制定</w:t>
            </w:r>
          </w:p>
        </w:tc>
        <w:tc>
          <w:tcPr>
            <w:tcW w:w="6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688416">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10</w:t>
            </w:r>
          </w:p>
        </w:tc>
        <w:tc>
          <w:tcPr>
            <w:tcW w:w="7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4EF828">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4</w:t>
            </w:r>
          </w:p>
        </w:tc>
        <w:tc>
          <w:tcPr>
            <w:tcW w:w="7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04D5F5">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6</w:t>
            </w:r>
          </w:p>
        </w:tc>
      </w:tr>
      <w:tr w14:paraId="0C4FD4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61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F3F552">
            <w:pPr>
              <w:keepNext w:val="0"/>
              <w:keepLines w:val="0"/>
              <w:pageBreakBefore w:val="0"/>
              <w:widowControl/>
              <w:kinsoku/>
              <w:wordWrap/>
              <w:overflowPunct/>
              <w:topLinePunct w:val="0"/>
              <w:autoSpaceDE/>
              <w:autoSpaceDN/>
              <w:bidi w:val="0"/>
              <w:adjustRightInd/>
              <w:snapToGrid/>
              <w:ind w:firstLine="0" w:firstLineChars="0"/>
              <w:jc w:val="center"/>
              <w:rPr>
                <w:rFonts w:hint="default" w:ascii="Times New Roman" w:hAnsi="Times New Roman" w:eastAsia="方正仿宋_GB2312" w:cs="Times New Roman"/>
                <w:i w:val="0"/>
                <w:iCs w:val="0"/>
                <w:color w:val="000000"/>
                <w:sz w:val="20"/>
                <w:szCs w:val="20"/>
                <w:u w:val="none"/>
              </w:rPr>
            </w:pPr>
          </w:p>
        </w:tc>
        <w:tc>
          <w:tcPr>
            <w:tcW w:w="15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05CFAD">
            <w:pPr>
              <w:keepNext w:val="0"/>
              <w:keepLines w:val="0"/>
              <w:pageBreakBefore w:val="0"/>
              <w:widowControl/>
              <w:kinsoku/>
              <w:wordWrap/>
              <w:overflowPunct/>
              <w:topLinePunct w:val="0"/>
              <w:autoSpaceDE/>
              <w:autoSpaceDN/>
              <w:bidi w:val="0"/>
              <w:adjustRightInd/>
              <w:snapToGrid/>
              <w:ind w:firstLine="0" w:firstLineChars="0"/>
              <w:jc w:val="center"/>
              <w:rPr>
                <w:rFonts w:hint="default" w:ascii="Times New Roman" w:hAnsi="Times New Roman" w:eastAsia="方正仿宋_GB2312" w:cs="Times New Roman"/>
                <w:i w:val="0"/>
                <w:iCs w:val="0"/>
                <w:color w:val="000000"/>
                <w:sz w:val="20"/>
                <w:szCs w:val="20"/>
                <w:u w:val="none"/>
              </w:rPr>
            </w:pPr>
          </w:p>
        </w:tc>
        <w:tc>
          <w:tcPr>
            <w:tcW w:w="6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B96747">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目标实现</w:t>
            </w:r>
          </w:p>
        </w:tc>
        <w:tc>
          <w:tcPr>
            <w:tcW w:w="6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5A146F">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5</w:t>
            </w:r>
          </w:p>
        </w:tc>
        <w:tc>
          <w:tcPr>
            <w:tcW w:w="7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EB3AE5">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0.24</w:t>
            </w:r>
          </w:p>
        </w:tc>
        <w:tc>
          <w:tcPr>
            <w:tcW w:w="7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C4FF66">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4.76</w:t>
            </w:r>
          </w:p>
        </w:tc>
      </w:tr>
      <w:tr w14:paraId="5D0887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61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19B7BF">
            <w:pPr>
              <w:keepNext w:val="0"/>
              <w:keepLines w:val="0"/>
              <w:pageBreakBefore w:val="0"/>
              <w:widowControl/>
              <w:kinsoku/>
              <w:wordWrap/>
              <w:overflowPunct/>
              <w:topLinePunct w:val="0"/>
              <w:autoSpaceDE/>
              <w:autoSpaceDN/>
              <w:bidi w:val="0"/>
              <w:adjustRightInd/>
              <w:snapToGrid/>
              <w:ind w:firstLine="0" w:firstLineChars="0"/>
              <w:jc w:val="center"/>
              <w:rPr>
                <w:rFonts w:hint="default" w:ascii="Times New Roman" w:hAnsi="Times New Roman" w:eastAsia="方正仿宋_GB2312" w:cs="Times New Roman"/>
                <w:i w:val="0"/>
                <w:iCs w:val="0"/>
                <w:color w:val="000000"/>
                <w:sz w:val="20"/>
                <w:szCs w:val="20"/>
                <w:u w:val="none"/>
              </w:rPr>
            </w:pPr>
          </w:p>
        </w:tc>
        <w:tc>
          <w:tcPr>
            <w:tcW w:w="151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67B74A5">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过程控制（10分）</w:t>
            </w:r>
          </w:p>
        </w:tc>
        <w:tc>
          <w:tcPr>
            <w:tcW w:w="6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89F3AA">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执行进度</w:t>
            </w:r>
          </w:p>
        </w:tc>
        <w:tc>
          <w:tcPr>
            <w:tcW w:w="6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2B7431">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4</w:t>
            </w:r>
          </w:p>
        </w:tc>
        <w:tc>
          <w:tcPr>
            <w:tcW w:w="7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8852D4">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0.62</w:t>
            </w:r>
          </w:p>
        </w:tc>
        <w:tc>
          <w:tcPr>
            <w:tcW w:w="7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347B15">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3.38</w:t>
            </w:r>
          </w:p>
        </w:tc>
      </w:tr>
      <w:tr w14:paraId="28FBA2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61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5634FC">
            <w:pPr>
              <w:keepNext w:val="0"/>
              <w:keepLines w:val="0"/>
              <w:pageBreakBefore w:val="0"/>
              <w:widowControl/>
              <w:kinsoku/>
              <w:wordWrap/>
              <w:overflowPunct/>
              <w:topLinePunct w:val="0"/>
              <w:autoSpaceDE/>
              <w:autoSpaceDN/>
              <w:bidi w:val="0"/>
              <w:adjustRightInd/>
              <w:snapToGrid/>
              <w:ind w:firstLine="0" w:firstLineChars="0"/>
              <w:jc w:val="center"/>
              <w:rPr>
                <w:rFonts w:hint="default" w:ascii="Times New Roman" w:hAnsi="Times New Roman" w:eastAsia="方正仿宋_GB2312" w:cs="Times New Roman"/>
                <w:i w:val="0"/>
                <w:iCs w:val="0"/>
                <w:color w:val="000000"/>
                <w:sz w:val="20"/>
                <w:szCs w:val="20"/>
                <w:u w:val="none"/>
              </w:rPr>
            </w:pPr>
          </w:p>
        </w:tc>
        <w:tc>
          <w:tcPr>
            <w:tcW w:w="15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9C6405">
            <w:pPr>
              <w:keepNext w:val="0"/>
              <w:keepLines w:val="0"/>
              <w:pageBreakBefore w:val="0"/>
              <w:widowControl/>
              <w:kinsoku/>
              <w:wordWrap/>
              <w:overflowPunct/>
              <w:topLinePunct w:val="0"/>
              <w:autoSpaceDE/>
              <w:autoSpaceDN/>
              <w:bidi w:val="0"/>
              <w:adjustRightInd/>
              <w:snapToGrid/>
              <w:ind w:firstLine="0" w:firstLineChars="0"/>
              <w:jc w:val="center"/>
              <w:rPr>
                <w:rFonts w:hint="default" w:ascii="Times New Roman" w:hAnsi="Times New Roman" w:eastAsia="方正仿宋_GB2312" w:cs="Times New Roman"/>
                <w:i w:val="0"/>
                <w:iCs w:val="0"/>
                <w:color w:val="000000"/>
                <w:sz w:val="20"/>
                <w:szCs w:val="20"/>
                <w:u w:val="none"/>
              </w:rPr>
            </w:pPr>
          </w:p>
        </w:tc>
        <w:tc>
          <w:tcPr>
            <w:tcW w:w="6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FFC2E9">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同步调整</w:t>
            </w:r>
          </w:p>
        </w:tc>
        <w:tc>
          <w:tcPr>
            <w:tcW w:w="6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C03B34">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3</w:t>
            </w:r>
          </w:p>
        </w:tc>
        <w:tc>
          <w:tcPr>
            <w:tcW w:w="7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90FA19">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0</w:t>
            </w:r>
          </w:p>
        </w:tc>
        <w:tc>
          <w:tcPr>
            <w:tcW w:w="7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4976E8">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3</w:t>
            </w:r>
          </w:p>
        </w:tc>
      </w:tr>
      <w:tr w14:paraId="25CC79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61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A5EBF8">
            <w:pPr>
              <w:keepNext w:val="0"/>
              <w:keepLines w:val="0"/>
              <w:pageBreakBefore w:val="0"/>
              <w:widowControl/>
              <w:kinsoku/>
              <w:wordWrap/>
              <w:overflowPunct/>
              <w:topLinePunct w:val="0"/>
              <w:autoSpaceDE/>
              <w:autoSpaceDN/>
              <w:bidi w:val="0"/>
              <w:adjustRightInd/>
              <w:snapToGrid/>
              <w:ind w:firstLine="0" w:firstLineChars="0"/>
              <w:jc w:val="center"/>
              <w:rPr>
                <w:rFonts w:hint="default" w:ascii="Times New Roman" w:hAnsi="Times New Roman" w:eastAsia="方正仿宋_GB2312" w:cs="Times New Roman"/>
                <w:i w:val="0"/>
                <w:iCs w:val="0"/>
                <w:color w:val="000000"/>
                <w:sz w:val="20"/>
                <w:szCs w:val="20"/>
                <w:u w:val="none"/>
              </w:rPr>
            </w:pPr>
          </w:p>
        </w:tc>
        <w:tc>
          <w:tcPr>
            <w:tcW w:w="15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2C2683">
            <w:pPr>
              <w:keepNext w:val="0"/>
              <w:keepLines w:val="0"/>
              <w:pageBreakBefore w:val="0"/>
              <w:widowControl/>
              <w:kinsoku/>
              <w:wordWrap/>
              <w:overflowPunct/>
              <w:topLinePunct w:val="0"/>
              <w:autoSpaceDE/>
              <w:autoSpaceDN/>
              <w:bidi w:val="0"/>
              <w:adjustRightInd/>
              <w:snapToGrid/>
              <w:ind w:firstLine="0" w:firstLineChars="0"/>
              <w:jc w:val="center"/>
              <w:rPr>
                <w:rFonts w:hint="default" w:ascii="Times New Roman" w:hAnsi="Times New Roman" w:eastAsia="方正仿宋_GB2312" w:cs="Times New Roman"/>
                <w:i w:val="0"/>
                <w:iCs w:val="0"/>
                <w:color w:val="000000"/>
                <w:sz w:val="20"/>
                <w:szCs w:val="20"/>
                <w:u w:val="none"/>
              </w:rPr>
            </w:pPr>
          </w:p>
        </w:tc>
        <w:tc>
          <w:tcPr>
            <w:tcW w:w="6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624F40">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及时处置</w:t>
            </w:r>
          </w:p>
        </w:tc>
        <w:tc>
          <w:tcPr>
            <w:tcW w:w="6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9781C4">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3</w:t>
            </w:r>
          </w:p>
        </w:tc>
        <w:tc>
          <w:tcPr>
            <w:tcW w:w="7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741D64">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0</w:t>
            </w:r>
          </w:p>
        </w:tc>
        <w:tc>
          <w:tcPr>
            <w:tcW w:w="7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B26033">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3</w:t>
            </w:r>
          </w:p>
        </w:tc>
      </w:tr>
      <w:tr w14:paraId="31D31C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61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3182CD">
            <w:pPr>
              <w:keepNext w:val="0"/>
              <w:keepLines w:val="0"/>
              <w:pageBreakBefore w:val="0"/>
              <w:widowControl/>
              <w:kinsoku/>
              <w:wordWrap/>
              <w:overflowPunct/>
              <w:topLinePunct w:val="0"/>
              <w:autoSpaceDE/>
              <w:autoSpaceDN/>
              <w:bidi w:val="0"/>
              <w:adjustRightInd/>
              <w:snapToGrid/>
              <w:ind w:firstLine="0" w:firstLineChars="0"/>
              <w:jc w:val="center"/>
              <w:rPr>
                <w:rFonts w:hint="default" w:ascii="Times New Roman" w:hAnsi="Times New Roman" w:eastAsia="方正仿宋_GB2312" w:cs="Times New Roman"/>
                <w:i w:val="0"/>
                <w:iCs w:val="0"/>
                <w:color w:val="000000"/>
                <w:sz w:val="20"/>
                <w:szCs w:val="20"/>
                <w:u w:val="none"/>
              </w:rPr>
            </w:pPr>
          </w:p>
        </w:tc>
        <w:tc>
          <w:tcPr>
            <w:tcW w:w="15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38A0DA">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完成效率（5分）</w:t>
            </w:r>
          </w:p>
        </w:tc>
        <w:tc>
          <w:tcPr>
            <w:tcW w:w="6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8BF388">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预算结余率</w:t>
            </w:r>
          </w:p>
        </w:tc>
        <w:tc>
          <w:tcPr>
            <w:tcW w:w="6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11990B">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5</w:t>
            </w:r>
          </w:p>
        </w:tc>
        <w:tc>
          <w:tcPr>
            <w:tcW w:w="7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BADF29">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1.5</w:t>
            </w:r>
          </w:p>
        </w:tc>
        <w:tc>
          <w:tcPr>
            <w:tcW w:w="7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7DC8C8">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3.5</w:t>
            </w:r>
          </w:p>
        </w:tc>
      </w:tr>
      <w:tr w14:paraId="08C140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61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081401">
            <w:pPr>
              <w:keepNext w:val="0"/>
              <w:keepLines w:val="0"/>
              <w:pageBreakBefore w:val="0"/>
              <w:widowControl/>
              <w:kinsoku/>
              <w:wordWrap/>
              <w:overflowPunct/>
              <w:topLinePunct w:val="0"/>
              <w:autoSpaceDE/>
              <w:autoSpaceDN/>
              <w:bidi w:val="0"/>
              <w:adjustRightInd/>
              <w:snapToGrid/>
              <w:ind w:firstLine="0" w:firstLineChars="0"/>
              <w:jc w:val="center"/>
              <w:rPr>
                <w:rFonts w:hint="default" w:ascii="Times New Roman" w:hAnsi="Times New Roman" w:eastAsia="方正仿宋_GB2312" w:cs="Times New Roman"/>
                <w:i w:val="0"/>
                <w:iCs w:val="0"/>
                <w:color w:val="000000"/>
                <w:sz w:val="20"/>
                <w:szCs w:val="20"/>
                <w:u w:val="none"/>
              </w:rPr>
            </w:pPr>
          </w:p>
        </w:tc>
        <w:tc>
          <w:tcPr>
            <w:tcW w:w="15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7E38C9">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完成效果（20分）</w:t>
            </w:r>
          </w:p>
        </w:tc>
        <w:tc>
          <w:tcPr>
            <w:tcW w:w="6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3C57B9">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实施效果</w:t>
            </w:r>
          </w:p>
        </w:tc>
        <w:tc>
          <w:tcPr>
            <w:tcW w:w="6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1FCF9C">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20</w:t>
            </w:r>
          </w:p>
        </w:tc>
        <w:tc>
          <w:tcPr>
            <w:tcW w:w="7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C93ECE">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0.52</w:t>
            </w:r>
          </w:p>
        </w:tc>
        <w:tc>
          <w:tcPr>
            <w:tcW w:w="7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680125">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19.48</w:t>
            </w:r>
          </w:p>
        </w:tc>
      </w:tr>
      <w:tr w14:paraId="305844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0" w:hRule="atLeast"/>
        </w:trPr>
        <w:tc>
          <w:tcPr>
            <w:tcW w:w="6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E1063A">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专项预算绩效（30分）</w:t>
            </w:r>
          </w:p>
        </w:tc>
        <w:tc>
          <w:tcPr>
            <w:tcW w:w="15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8BDFA9">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整体完成（30分）</w:t>
            </w:r>
          </w:p>
        </w:tc>
        <w:tc>
          <w:tcPr>
            <w:tcW w:w="6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D96F20">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完成率</w:t>
            </w:r>
          </w:p>
        </w:tc>
        <w:tc>
          <w:tcPr>
            <w:tcW w:w="6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ADED28">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30</w:t>
            </w:r>
          </w:p>
        </w:tc>
        <w:tc>
          <w:tcPr>
            <w:tcW w:w="7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6E2A38">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0.35</w:t>
            </w:r>
          </w:p>
        </w:tc>
        <w:tc>
          <w:tcPr>
            <w:tcW w:w="7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7D1232">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29.65</w:t>
            </w:r>
          </w:p>
        </w:tc>
      </w:tr>
      <w:tr w14:paraId="06A787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61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791223D">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绩效结果应用（14分）</w:t>
            </w:r>
          </w:p>
        </w:tc>
        <w:tc>
          <w:tcPr>
            <w:tcW w:w="15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9AF2A5">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内部应用（4分）</w:t>
            </w:r>
          </w:p>
        </w:tc>
        <w:tc>
          <w:tcPr>
            <w:tcW w:w="6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40A71B">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预算挂钩</w:t>
            </w:r>
          </w:p>
        </w:tc>
        <w:tc>
          <w:tcPr>
            <w:tcW w:w="6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410694">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4</w:t>
            </w:r>
          </w:p>
        </w:tc>
        <w:tc>
          <w:tcPr>
            <w:tcW w:w="7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D229AA">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3</w:t>
            </w:r>
          </w:p>
        </w:tc>
        <w:tc>
          <w:tcPr>
            <w:tcW w:w="7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D50FA4">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1</w:t>
            </w:r>
          </w:p>
        </w:tc>
      </w:tr>
      <w:tr w14:paraId="520F16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61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281B94">
            <w:pPr>
              <w:keepNext w:val="0"/>
              <w:keepLines w:val="0"/>
              <w:pageBreakBefore w:val="0"/>
              <w:widowControl/>
              <w:kinsoku/>
              <w:wordWrap/>
              <w:overflowPunct/>
              <w:topLinePunct w:val="0"/>
              <w:autoSpaceDE/>
              <w:autoSpaceDN/>
              <w:bidi w:val="0"/>
              <w:adjustRightInd/>
              <w:snapToGrid/>
              <w:ind w:firstLine="0" w:firstLineChars="0"/>
              <w:jc w:val="center"/>
              <w:rPr>
                <w:rFonts w:hint="default" w:ascii="Times New Roman" w:hAnsi="Times New Roman" w:eastAsia="方正仿宋_GB2312" w:cs="Times New Roman"/>
                <w:i w:val="0"/>
                <w:iCs w:val="0"/>
                <w:color w:val="000000"/>
                <w:sz w:val="20"/>
                <w:szCs w:val="20"/>
                <w:u w:val="none"/>
              </w:rPr>
            </w:pPr>
          </w:p>
        </w:tc>
        <w:tc>
          <w:tcPr>
            <w:tcW w:w="15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B62341">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信息公开（4分）</w:t>
            </w:r>
          </w:p>
        </w:tc>
        <w:tc>
          <w:tcPr>
            <w:tcW w:w="6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3A08ED">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自评公开</w:t>
            </w:r>
          </w:p>
        </w:tc>
        <w:tc>
          <w:tcPr>
            <w:tcW w:w="6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A103AA">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4</w:t>
            </w:r>
          </w:p>
        </w:tc>
        <w:tc>
          <w:tcPr>
            <w:tcW w:w="7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4B4B62">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0</w:t>
            </w:r>
          </w:p>
        </w:tc>
        <w:tc>
          <w:tcPr>
            <w:tcW w:w="7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644800">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4</w:t>
            </w:r>
          </w:p>
        </w:tc>
      </w:tr>
      <w:tr w14:paraId="33C72D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61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FBDD3E">
            <w:pPr>
              <w:keepNext w:val="0"/>
              <w:keepLines w:val="0"/>
              <w:pageBreakBefore w:val="0"/>
              <w:widowControl/>
              <w:kinsoku/>
              <w:wordWrap/>
              <w:overflowPunct/>
              <w:topLinePunct w:val="0"/>
              <w:autoSpaceDE/>
              <w:autoSpaceDN/>
              <w:bidi w:val="0"/>
              <w:adjustRightInd/>
              <w:snapToGrid/>
              <w:ind w:firstLine="0" w:firstLineChars="0"/>
              <w:jc w:val="center"/>
              <w:rPr>
                <w:rFonts w:hint="default" w:ascii="Times New Roman" w:hAnsi="Times New Roman" w:eastAsia="方正仿宋_GB2312" w:cs="Times New Roman"/>
                <w:i w:val="0"/>
                <w:iCs w:val="0"/>
                <w:color w:val="000000"/>
                <w:sz w:val="20"/>
                <w:szCs w:val="20"/>
                <w:u w:val="none"/>
              </w:rPr>
            </w:pPr>
          </w:p>
        </w:tc>
        <w:tc>
          <w:tcPr>
            <w:tcW w:w="15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0F0974">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整改反馈（6分）</w:t>
            </w:r>
          </w:p>
        </w:tc>
        <w:tc>
          <w:tcPr>
            <w:tcW w:w="6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785092">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问题整改</w:t>
            </w:r>
          </w:p>
        </w:tc>
        <w:tc>
          <w:tcPr>
            <w:tcW w:w="6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CA49FE">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6</w:t>
            </w:r>
          </w:p>
        </w:tc>
        <w:tc>
          <w:tcPr>
            <w:tcW w:w="7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2258E2">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0</w:t>
            </w:r>
          </w:p>
        </w:tc>
        <w:tc>
          <w:tcPr>
            <w:tcW w:w="7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FA33F8">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6</w:t>
            </w:r>
          </w:p>
        </w:tc>
      </w:tr>
      <w:tr w14:paraId="5A2739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70" w:hRule="atLeast"/>
        </w:trPr>
        <w:tc>
          <w:tcPr>
            <w:tcW w:w="6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51AB19">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自评质量（6分）</w:t>
            </w:r>
          </w:p>
        </w:tc>
        <w:tc>
          <w:tcPr>
            <w:tcW w:w="15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1B6708">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自评质量（6分）</w:t>
            </w:r>
          </w:p>
        </w:tc>
        <w:tc>
          <w:tcPr>
            <w:tcW w:w="6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CDDCAA">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自评质量</w:t>
            </w:r>
          </w:p>
        </w:tc>
        <w:tc>
          <w:tcPr>
            <w:tcW w:w="6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7899F6">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6</w:t>
            </w:r>
          </w:p>
        </w:tc>
        <w:tc>
          <w:tcPr>
            <w:tcW w:w="7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614DE4">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0</w:t>
            </w:r>
          </w:p>
        </w:tc>
        <w:tc>
          <w:tcPr>
            <w:tcW w:w="7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21951A">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6</w:t>
            </w:r>
          </w:p>
        </w:tc>
      </w:tr>
      <w:tr w14:paraId="0F05F4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2794"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68B088">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合计</w:t>
            </w:r>
          </w:p>
        </w:tc>
        <w:tc>
          <w:tcPr>
            <w:tcW w:w="6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382A41">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100</w:t>
            </w:r>
          </w:p>
        </w:tc>
        <w:tc>
          <w:tcPr>
            <w:tcW w:w="7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02CAB9">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10.23</w:t>
            </w:r>
          </w:p>
        </w:tc>
        <w:tc>
          <w:tcPr>
            <w:tcW w:w="7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34D89C">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89.77</w:t>
            </w:r>
          </w:p>
        </w:tc>
      </w:tr>
    </w:tbl>
    <w:p w14:paraId="7CAEDB59">
      <w:pPr>
        <w:keepNext w:val="0"/>
        <w:keepLines w:val="0"/>
        <w:pageBreakBefore w:val="0"/>
        <w:widowControl w:val="0"/>
        <w:kinsoku/>
        <w:wordWrap/>
        <w:overflowPunct/>
        <w:topLinePunct w:val="0"/>
        <w:autoSpaceDE/>
        <w:autoSpaceDN/>
        <w:bidi w:val="0"/>
        <w:snapToGrid/>
        <w:spacing w:line="560" w:lineRule="exact"/>
        <w:ind w:left="0" w:leftChars="0" w:right="0" w:rightChars="0" w:firstLine="640" w:firstLineChars="200"/>
        <w:jc w:val="both"/>
        <w:textAlignment w:val="auto"/>
        <w:outlineLvl w:val="1"/>
        <w:rPr>
          <w:rFonts w:hint="default" w:ascii="Times New Roman" w:hAnsi="Times New Roman" w:eastAsia="方正楷体简体" w:cs="Times New Roman"/>
          <w:color w:val="auto"/>
          <w:kern w:val="2"/>
          <w:sz w:val="32"/>
          <w:szCs w:val="32"/>
          <w:highlight w:val="none"/>
          <w:shd w:val="clear"/>
          <w:lang w:val="en-US" w:eastAsia="zh-CN"/>
        </w:rPr>
      </w:pPr>
      <w:r>
        <w:rPr>
          <w:rFonts w:hint="default" w:ascii="Times New Roman" w:hAnsi="Times New Roman" w:eastAsia="方正楷体简体" w:cs="Times New Roman"/>
          <w:color w:val="auto"/>
          <w:kern w:val="2"/>
          <w:sz w:val="32"/>
          <w:szCs w:val="32"/>
          <w:highlight w:val="none"/>
          <w:shd w:val="clear"/>
          <w:lang w:val="en-US" w:eastAsia="zh-CN"/>
        </w:rPr>
        <w:t>（三）绩效结果应用</w:t>
      </w:r>
      <w:bookmarkEnd w:id="118"/>
      <w:bookmarkEnd w:id="119"/>
      <w:bookmarkEnd w:id="120"/>
    </w:p>
    <w:p w14:paraId="3974C46A">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县残联单位资金管理严格按照有关规定执行，建立健全组织机构，明确职责分工；公用经费坚持厉行节约、量入为出、收支平衡的原则进行管理与使用；全面推进绩效预算管理，高度重视绩效预算管理在目标绩效管理工作中的重大意义，</w:t>
      </w:r>
      <w:r>
        <w:rPr>
          <w:rFonts w:hint="eastAsia" w:ascii="Times New Roman" w:hAnsi="Times New Roman" w:eastAsia="方正仿宋_GB2312" w:cs="Times New Roman"/>
          <w:color w:val="auto"/>
          <w:sz w:val="32"/>
          <w:szCs w:val="32"/>
          <w:highlight w:val="none"/>
          <w:lang w:val="en-US" w:eastAsia="zh-CN"/>
        </w:rPr>
        <w:t>推进</w:t>
      </w:r>
      <w:r>
        <w:rPr>
          <w:rFonts w:hint="default" w:ascii="Times New Roman" w:hAnsi="Times New Roman" w:eastAsia="方正仿宋_GB2312" w:cs="Times New Roman"/>
          <w:color w:val="auto"/>
          <w:sz w:val="32"/>
          <w:szCs w:val="32"/>
          <w:highlight w:val="none"/>
          <w:lang w:val="en-US" w:eastAsia="zh-CN"/>
        </w:rPr>
        <w:t>绩效预算管理进程。通过评价组对县残联进行事后评价，最终县残联绩效等级为“良”。秉承科学公正、统筹兼顾、激励约束和公开透明的财政绩效原则，我局建议泸定县财政局针对部门预算绩效管理，进一步要求县残联完善绩效目标编制、建立预算绩效挂钩机制、提高年初预算编制的准确性。</w:t>
      </w:r>
    </w:p>
    <w:p w14:paraId="0651BF79">
      <w:pPr>
        <w:keepNext w:val="0"/>
        <w:keepLines w:val="0"/>
        <w:pageBreakBefore w:val="0"/>
        <w:widowControl w:val="0"/>
        <w:kinsoku/>
        <w:wordWrap/>
        <w:overflowPunct/>
        <w:topLinePunct w:val="0"/>
        <w:autoSpaceDE/>
        <w:autoSpaceDN/>
        <w:bidi w:val="0"/>
        <w:snapToGrid/>
        <w:spacing w:line="560" w:lineRule="exact"/>
        <w:ind w:left="0" w:leftChars="0" w:right="0" w:rightChars="0" w:firstLine="640" w:firstLineChars="200"/>
        <w:jc w:val="both"/>
        <w:textAlignment w:val="auto"/>
        <w:outlineLvl w:val="1"/>
        <w:rPr>
          <w:rFonts w:hint="default" w:ascii="Times New Roman" w:hAnsi="Times New Roman" w:eastAsia="方正楷体简体" w:cs="Times New Roman"/>
          <w:color w:val="auto"/>
          <w:kern w:val="2"/>
          <w:sz w:val="32"/>
          <w:szCs w:val="32"/>
          <w:highlight w:val="none"/>
          <w:shd w:val="clear"/>
          <w:lang w:val="en-US" w:eastAsia="zh-CN"/>
        </w:rPr>
      </w:pPr>
      <w:bookmarkStart w:id="128" w:name="_Toc11390"/>
      <w:bookmarkStart w:id="129" w:name="_Toc6100"/>
      <w:bookmarkStart w:id="130" w:name="_Toc26977"/>
      <w:r>
        <w:rPr>
          <w:rFonts w:hint="default" w:ascii="Times New Roman" w:hAnsi="Times New Roman" w:eastAsia="方正楷体简体" w:cs="Times New Roman"/>
          <w:color w:val="auto"/>
          <w:kern w:val="2"/>
          <w:sz w:val="32"/>
          <w:szCs w:val="32"/>
          <w:highlight w:val="none"/>
          <w:shd w:val="clear"/>
          <w:lang w:val="en-US" w:eastAsia="zh-CN"/>
        </w:rPr>
        <w:t>（四）</w:t>
      </w:r>
      <w:bookmarkEnd w:id="121"/>
      <w:bookmarkEnd w:id="122"/>
      <w:bookmarkEnd w:id="123"/>
      <w:bookmarkEnd w:id="124"/>
      <w:r>
        <w:rPr>
          <w:rFonts w:hint="default" w:ascii="Times New Roman" w:hAnsi="Times New Roman" w:eastAsia="方正楷体简体" w:cs="Times New Roman"/>
          <w:color w:val="auto"/>
          <w:kern w:val="2"/>
          <w:sz w:val="32"/>
          <w:szCs w:val="32"/>
          <w:highlight w:val="none"/>
          <w:shd w:val="clear"/>
          <w:lang w:val="en-US" w:eastAsia="zh-CN"/>
        </w:rPr>
        <w:t>评价分析</w:t>
      </w:r>
      <w:bookmarkEnd w:id="125"/>
      <w:bookmarkEnd w:id="126"/>
      <w:bookmarkEnd w:id="127"/>
      <w:bookmarkEnd w:id="128"/>
      <w:bookmarkEnd w:id="129"/>
      <w:bookmarkEnd w:id="130"/>
    </w:p>
    <w:p w14:paraId="6BF6F19C">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1.部门预算总体绩效管理情况</w:t>
      </w:r>
    </w:p>
    <w:p w14:paraId="18E76880">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（1）目标管理</w:t>
      </w:r>
    </w:p>
    <w:p w14:paraId="14F83EDD">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二级指标“目标管理”下设两个三级指标分别为：目标制定、目标实现。</w:t>
      </w:r>
    </w:p>
    <w:p w14:paraId="5852C135">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①目标制定</w:t>
      </w:r>
    </w:p>
    <w:p w14:paraId="6BF4B43E">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根据县残联在泸定县人民政府门户网站公开的2024年度部门预算和绩效目标，制定了年度部门及项目整体支出绩效目标，绩效目标涵盖数量、质量、时效、效益等指标，绩效目标随预算已上报人大完成审核，但未对部门整体项目进行集体决策，未将部门绩效目标纳入集体决策范围。根据现场评价情况，泸定县残疾人联合会《部门（单位）整体支出绩效目标申报表》目标要素齐全，但存在整体目标不够细化，绩效目标设置不明确、不完整等问题。</w:t>
      </w:r>
    </w:p>
    <w:p w14:paraId="4392A5A9">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本项分值为10.00分，扣4.00分，得分为6.00分。</w:t>
      </w:r>
    </w:p>
    <w:p w14:paraId="051439E4">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②目标实现</w:t>
      </w:r>
    </w:p>
    <w:p w14:paraId="70FBA9EB">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根据县残联提供的2024年度年初预算项目绩效目标申报表及项目完成资料，县残联整体涉及16个数量指标，5个成本指标。根据现场评价情况，实际完成2个数量指标，完成率100%；实际完成4个成本指标，完成率80%，其中未完成的1个成本指标为“差旅费成本≤30000元/年”，根据查看决算报表，差旅费实际支出5.88万元，偏离度为96%。</w:t>
      </w:r>
    </w:p>
    <w:p w14:paraId="35DC9D77">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本项分值为5.00分，扣0.24分，得分为4.76分。</w:t>
      </w:r>
    </w:p>
    <w:p w14:paraId="07A84896">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（2）过程控制</w:t>
      </w:r>
    </w:p>
    <w:p w14:paraId="51D011BB">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二级指标“过程控制”下设三个三级指标分别为：执行进度、同步调整、及时处置。</w:t>
      </w:r>
    </w:p>
    <w:p w14:paraId="2AC6A60C">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①执行进度</w:t>
      </w:r>
    </w:p>
    <w:p w14:paraId="507D1927">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根据《2025年泸定县部门整体支出绩效评价指标体系》，部门预算执行进度在6、9、11月应达到序时进度的80%、90%、90%，即实际支出进度分别达到40%、67.5%、82.5%。</w:t>
      </w:r>
    </w:p>
    <w:p w14:paraId="056BADAE">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根据被评价单位提供的1-6月、1-9月、1-11月可执行指标执行情况表显示，2024年县残疾人联合会1-6月月预算数322.87万元，实际执行数77.18万元，进度为23.91%；1-9月预算数418.28万元，实际执行数227.51万元，进度为54.39%；1-11月预算数419.74万元，实际执行数342.11万元，进度为81.50%。</w:t>
      </w:r>
    </w:p>
    <w:p w14:paraId="41277505">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上述三个阶段中，根据可执行指标执行情况表被评价单位1-6月、1-9月、1-11月实际支出进度均未达到目标进度。</w:t>
      </w:r>
    </w:p>
    <w:p w14:paraId="51F3DF05">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本项分值为4.00分，扣0.62分，得分为3.38分。</w:t>
      </w:r>
    </w:p>
    <w:p w14:paraId="22956C49">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②同步调整</w:t>
      </w:r>
    </w:p>
    <w:p w14:paraId="6C6EECA3">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2024年县残联预算项目20个，根据被评价单位提供的可执行指标执行情况表，预算调整项目14个，其中14个均随预算调整同步完成绩效目标调整。</w:t>
      </w:r>
    </w:p>
    <w:p w14:paraId="67B9BB74">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本项分值为3.00分，扣0.00分，得分为3.00分。</w:t>
      </w:r>
    </w:p>
    <w:p w14:paraId="2756E4FE">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③及时处置</w:t>
      </w:r>
    </w:p>
    <w:p w14:paraId="0210B894">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2024年，县残联自行开展了绩效运行监控，未发现绩效相关问题，未提出预算收回、调整处置意见</w:t>
      </w:r>
    </w:p>
    <w:p w14:paraId="3F0CF77E">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本项分值为3.00分，扣0.00分，得分为3.00分。</w:t>
      </w:r>
    </w:p>
    <w:p w14:paraId="28F3F602">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（3）完成效率</w:t>
      </w:r>
    </w:p>
    <w:p w14:paraId="6AD9472A">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二级指标“完成效率”下设一个三级指标为：预算结余率。</w:t>
      </w:r>
    </w:p>
    <w:p w14:paraId="73B5FAFD">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根据县残联2024年决算报表与可执行指标执行情况表被评价单位2024年度预算项目共计20个，部门预算项目资金结余率小于10%有14个，大于10%有6个。</w:t>
      </w:r>
    </w:p>
    <w:p w14:paraId="4A928BD9">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本项分值为5.00分，扣1.50，得分为3.50分。</w:t>
      </w:r>
    </w:p>
    <w:p w14:paraId="38BE5EDF">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2.部门预算项目绩效管理情况</w:t>
      </w:r>
    </w:p>
    <w:p w14:paraId="5AC66852">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（1）完成效果</w:t>
      </w:r>
    </w:p>
    <w:p w14:paraId="2B68E035">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二级指标“完成效果”下设一个三级指标为实施效果。</w:t>
      </w:r>
    </w:p>
    <w:p w14:paraId="37D66CB3">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2024年，泸定县2024年预算项目共计12个，涉及预算资金237.38万元，评价组抽取项目3个，抽取项目预算资金143.66万元；抽取率为60.52%。抽取项目为：村社区专委劳务补贴项目、残疾人康复项目、残疾人居家灵活就业、创业项目。评价组抽取项目的绩效评价指标体系均采用《2025年泸定县部门整体支出绩效评价指标体系》。经评价小组复核评分，抽查的预算项目平均得分97.40分。</w:t>
      </w:r>
    </w:p>
    <w:p w14:paraId="4ADF518D">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本项分值为20.00分，扣0.52分，得分为19.48分。</w:t>
      </w:r>
    </w:p>
    <w:p w14:paraId="3B1C687A">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3.专项预算绩效管理情况</w:t>
      </w:r>
    </w:p>
    <w:p w14:paraId="19A5BE0D">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（1）整体完成</w:t>
      </w:r>
    </w:p>
    <w:p w14:paraId="1B9DC6F4">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二级指标“整体完成”下设一个三级指标为：完成率。</w:t>
      </w:r>
    </w:p>
    <w:p w14:paraId="70C3112A">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2024年，县残联专项预算项目8个，涉及预算资金105.67万元，评价组抽取项目样本2个，抽取项目预算资金87.000万元，抽取率为82.33%。抽取项目为：泸定县2024年残疾人事业发展项目、甘孜州关爱残疾人项目。抽查的项目中，绩效评价指标体系均采用《泸定县2025年部门预算项目绩效评价指标体系》。经评价小组复核评分，抽查的预算项目得分98.83分。</w:t>
      </w:r>
    </w:p>
    <w:p w14:paraId="7C50EB7D">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本项分值为30.00分，扣0.35分，得分为29.65分。</w:t>
      </w:r>
    </w:p>
    <w:p w14:paraId="6B552CA4">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4.绩效结果应用</w:t>
      </w:r>
    </w:p>
    <w:p w14:paraId="0AF25A09">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（1）内部应用</w:t>
      </w:r>
    </w:p>
    <w:p w14:paraId="1C81E90C">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二级指标“内部应用”下设一个三级指标为：预算挂钩。</w:t>
      </w:r>
    </w:p>
    <w:p w14:paraId="501E5719">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截至评价日，县残联未制定《预决算制度》，单位绩效管理情况未纳入内部考核体系且内部绩效结果未与预算挂钩。</w:t>
      </w:r>
    </w:p>
    <w:p w14:paraId="26F62B8E">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本项分值为4.00分，扣3.00分，得分为1.00分。</w:t>
      </w:r>
    </w:p>
    <w:p w14:paraId="3DFC40C8">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（2）信息公开</w:t>
      </w:r>
    </w:p>
    <w:p w14:paraId="02CEE864">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二级指标“信息公开”下设一个三级指标为：自评公开。</w:t>
      </w:r>
    </w:p>
    <w:p w14:paraId="74A12D08">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①预决算公开。县残联于2024年4月1日在泸定县人民政府网上进行了部门预算及项目绩效目标的公开。截至评价日，代表大会常务委员会暂未召开，未对2024年泸定县决算（草案）和决算报告进行审查，故未进行2024年决算信息的公开。</w:t>
      </w:r>
    </w:p>
    <w:p w14:paraId="4A2F8C25">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②绩效信息公开。截至评价日，因2024年决算信息未公开，即被评价单位部门整体自评报告及项目自评等相关绩效信息情况均未随决算公开。</w:t>
      </w:r>
    </w:p>
    <w:p w14:paraId="101CBC09">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本项分值为4.00分，扣0.00分，得分为4.00分。</w:t>
      </w:r>
    </w:p>
    <w:p w14:paraId="6B3C2C52">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（3）整改反馈</w:t>
      </w:r>
    </w:p>
    <w:p w14:paraId="23157FC1">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二级指标“整改反馈”下设两个三级指标为：问题整改、应用反馈。</w:t>
      </w:r>
    </w:p>
    <w:p w14:paraId="149F0DFA">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①2024年度，2024年县残联未收到绩效目标核查、绩效重点监控和重点绩效评价等方面整改意见，无需整改。</w:t>
      </w:r>
    </w:p>
    <w:p w14:paraId="0E6FAB34">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本项分值为3.00分，扣0.00分，得分为3.00分。</w:t>
      </w:r>
    </w:p>
    <w:p w14:paraId="477FA3F0">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②2024年度，县残联在规定时间内向财政部门反馈绩效结果应用报告，报告内容翔实、问题整改到位、结果应用充分。</w:t>
      </w:r>
    </w:p>
    <w:p w14:paraId="192AD229">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本项分值为3.00分，扣0.00分，得分为3.00分。</w:t>
      </w:r>
    </w:p>
    <w:p w14:paraId="714DA500">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5.自评质量</w:t>
      </w:r>
    </w:p>
    <w:p w14:paraId="772DA100">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二级指标“自评质量”下设一个三级指标为：自评质量。</w:t>
      </w:r>
    </w:p>
    <w:p w14:paraId="4145457C">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县残联2024年部门整体支出绩效自评得分87分（不包括“自评质量”指标分值，满分为94分），根据现场评价情况，评价组对县残联的考评得分83.77分（不包括“自评质量”指标分值，满分为94分），自评差异率3.86%，低于10.00%。</w:t>
      </w:r>
    </w:p>
    <w:p w14:paraId="62CC1504">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本项分值为6.00分，扣0.00分，得分为6.00分。</w:t>
      </w:r>
    </w:p>
    <w:bookmarkEnd w:id="2"/>
    <w:p w14:paraId="6478B652">
      <w:pPr>
        <w:keepNext w:val="0"/>
        <w:keepLines w:val="0"/>
        <w:pageBreakBefore w:val="0"/>
        <w:widowControl w:val="0"/>
        <w:kinsoku/>
        <w:wordWrap/>
        <w:overflowPunct/>
        <w:topLinePunct w:val="0"/>
        <w:autoSpaceDE/>
        <w:autoSpaceDN/>
        <w:bidi w:val="0"/>
        <w:snapToGrid/>
        <w:spacing w:line="560" w:lineRule="exact"/>
        <w:ind w:left="0" w:leftChars="0" w:right="0" w:rightChars="0" w:firstLine="640" w:firstLineChars="200"/>
        <w:jc w:val="both"/>
        <w:textAlignment w:val="auto"/>
        <w:outlineLvl w:val="0"/>
        <w:rPr>
          <w:rFonts w:hint="default" w:ascii="Times New Roman" w:hAnsi="Times New Roman" w:eastAsia="方正黑体简体" w:cs="Times New Roman"/>
          <w:color w:val="auto"/>
          <w:kern w:val="0"/>
          <w:sz w:val="32"/>
          <w:szCs w:val="32"/>
          <w:highlight w:val="none"/>
          <w:shd w:val="clear" w:color="auto" w:fill="FFFFFF"/>
        </w:rPr>
      </w:pPr>
      <w:bookmarkStart w:id="131" w:name="_Toc30515"/>
      <w:bookmarkStart w:id="132" w:name="_Toc25603"/>
      <w:bookmarkStart w:id="133" w:name="_Toc823448808"/>
      <w:bookmarkStart w:id="134" w:name="_Toc21218"/>
      <w:bookmarkStart w:id="135" w:name="_Toc7306"/>
      <w:bookmarkStart w:id="136" w:name="_Toc5060"/>
      <w:bookmarkStart w:id="137" w:name="_Toc248033833"/>
      <w:bookmarkStart w:id="138" w:name="_Toc4350"/>
      <w:bookmarkStart w:id="139" w:name="_Toc30339"/>
      <w:bookmarkStart w:id="140" w:name="_Toc14032"/>
      <w:bookmarkStart w:id="141" w:name="_Toc8336"/>
      <w:bookmarkStart w:id="142" w:name="_Toc19973"/>
      <w:r>
        <w:rPr>
          <w:rFonts w:hint="default" w:ascii="Times New Roman" w:hAnsi="Times New Roman" w:eastAsia="方正黑体简体" w:cs="Times New Roman"/>
          <w:color w:val="auto"/>
          <w:kern w:val="0"/>
          <w:sz w:val="32"/>
          <w:szCs w:val="32"/>
          <w:highlight w:val="none"/>
          <w:shd w:val="clear" w:color="auto" w:fill="FFFFFF"/>
          <w:lang w:val="en-US" w:eastAsia="zh-CN"/>
        </w:rPr>
        <w:t>五</w:t>
      </w:r>
      <w:r>
        <w:rPr>
          <w:rFonts w:hint="default" w:ascii="Times New Roman" w:hAnsi="Times New Roman" w:eastAsia="方正黑体简体" w:cs="Times New Roman"/>
          <w:color w:val="auto"/>
          <w:kern w:val="0"/>
          <w:sz w:val="32"/>
          <w:szCs w:val="32"/>
          <w:highlight w:val="none"/>
          <w:shd w:val="clear" w:color="auto" w:fill="FFFFFF"/>
        </w:rPr>
        <w:t>、存在的主要问题</w:t>
      </w:r>
      <w:bookmarkEnd w:id="131"/>
      <w:bookmarkEnd w:id="132"/>
      <w:bookmarkEnd w:id="133"/>
      <w:bookmarkEnd w:id="134"/>
      <w:bookmarkEnd w:id="135"/>
      <w:bookmarkEnd w:id="136"/>
      <w:bookmarkEnd w:id="137"/>
      <w:bookmarkEnd w:id="138"/>
      <w:bookmarkEnd w:id="139"/>
      <w:bookmarkEnd w:id="140"/>
    </w:p>
    <w:p w14:paraId="1E5F6583">
      <w:pPr>
        <w:keepNext w:val="0"/>
        <w:keepLines w:val="0"/>
        <w:pageBreakBefore w:val="0"/>
        <w:widowControl w:val="0"/>
        <w:kinsoku/>
        <w:wordWrap/>
        <w:overflowPunct/>
        <w:topLinePunct w:val="0"/>
        <w:bidi w:val="0"/>
        <w:snapToGrid/>
        <w:spacing w:line="560" w:lineRule="exact"/>
        <w:ind w:leftChars="0" w:right="0" w:firstLine="640" w:firstLineChars="200"/>
        <w:textAlignment w:val="auto"/>
        <w:rPr>
          <w:rFonts w:hint="default" w:ascii="Times New Roman" w:hAnsi="Times New Roman" w:eastAsia="方正楷体简体" w:cs="Times New Roman"/>
          <w:b w:val="0"/>
          <w:bCs w:val="0"/>
          <w:sz w:val="32"/>
          <w:szCs w:val="32"/>
        </w:rPr>
      </w:pPr>
      <w:bookmarkStart w:id="143" w:name="_Toc3240"/>
      <w:bookmarkStart w:id="144" w:name="_Toc464104487"/>
      <w:bookmarkStart w:id="145" w:name="_Toc22968"/>
      <w:bookmarkStart w:id="146" w:name="_Toc771997543"/>
      <w:bookmarkStart w:id="147" w:name="_Toc10426"/>
      <w:bookmarkStart w:id="148" w:name="_Toc15651"/>
      <w:bookmarkStart w:id="149" w:name="_Toc31629"/>
      <w:r>
        <w:rPr>
          <w:rFonts w:hint="default" w:ascii="Times New Roman" w:hAnsi="Times New Roman" w:eastAsia="方正楷体简体" w:cs="Times New Roman"/>
          <w:b w:val="0"/>
          <w:bCs w:val="0"/>
          <w:sz w:val="32"/>
          <w:szCs w:val="32"/>
        </w:rPr>
        <w:t>（一）绩效目标编制和上报不准确</w:t>
      </w:r>
    </w:p>
    <w:p w14:paraId="7B373FBF">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评价中发现，县残联2024年部门综合绩效目标与个别预算项目绩效目标均不同程度存在编制不规范，指标设置不够科学准确、具体明确等问题，导致绩效目标科学性、合理性不够强，不便于考核评价。具体情况表现为：</w:t>
      </w:r>
    </w:p>
    <w:p w14:paraId="4896F6E8">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bookmarkStart w:id="150" w:name="_Toc5324"/>
      <w:bookmarkStart w:id="151" w:name="_Toc22775"/>
      <w:bookmarkStart w:id="152" w:name="_Toc29227"/>
      <w:r>
        <w:rPr>
          <w:rFonts w:hint="default" w:ascii="Times New Roman" w:hAnsi="Times New Roman" w:eastAsia="方正仿宋_GB2312" w:cs="Times New Roman"/>
          <w:color w:val="auto"/>
          <w:sz w:val="32"/>
          <w:szCs w:val="32"/>
          <w:highlight w:val="none"/>
          <w:lang w:val="en-US" w:eastAsia="zh-CN"/>
        </w:rPr>
        <w:t>1.部门整体绩效目标</w:t>
      </w:r>
    </w:p>
    <w:p w14:paraId="2DFFF5D0">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根据现场评价情况，县残联《部门（单位）整体支出绩效目标申报表》目标要素齐全，但存在整体目标不够细化，绩效目标设置不明确等问题，具体情况：一是整体绩效目标不够细化，绩效目标申报表中年度总体目标主要聚焦于定性描述，未与数量指标质量指标挂钩，缺乏具体的数量，建议在年度目标中加入主要任务或大额资金项目的可量化指标。二是指标值设置不明确，不便于考核，如经济效益指标中的“受助困难人口数量保障情况”其指标值为“高中低”，社会效益指标中的“残疾人出行方便，提高残疾人生活环境”其指标值为“高中低”该指标值设置不够明确，未具体明确细化考核任务，不便于考核。三是指标值与二级指标不匹配，如：时效指标中的“补助发放时间”指标值为“不低于500不高于1000元。”与时效指标不匹配。</w:t>
      </w:r>
    </w:p>
    <w:p w14:paraId="7327B076">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2.项目支出绩效目标</w:t>
      </w:r>
    </w:p>
    <w:p w14:paraId="43A51946">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县残联预算20个项目，各项目均编制了绩效目标申报表，但个别项目存在绩效目标设置不够准确的情况。具体情况为：指标值设置不够准确与二级指标不匹配，如：“残疾学生救助补贴”时效指标中的“补助发放时间”指标值为“不低于500不高于1000元。”与时效指标不匹配。</w:t>
      </w:r>
    </w:p>
    <w:p w14:paraId="0DF4F3C9">
      <w:pPr>
        <w:keepNext w:val="0"/>
        <w:keepLines w:val="0"/>
        <w:pageBreakBefore w:val="0"/>
        <w:widowControl w:val="0"/>
        <w:numPr>
          <w:ilvl w:val="0"/>
          <w:numId w:val="0"/>
        </w:numPr>
        <w:tabs>
          <w:tab w:val="left" w:pos="479"/>
        </w:tabs>
        <w:kinsoku/>
        <w:wordWrap/>
        <w:overflowPunct/>
        <w:topLinePunct w:val="0"/>
        <w:bidi w:val="0"/>
        <w:snapToGrid/>
        <w:spacing w:line="560" w:lineRule="exact"/>
        <w:ind w:leftChars="0" w:right="0" w:firstLine="640" w:firstLineChars="200"/>
        <w:jc w:val="both"/>
        <w:textAlignment w:val="auto"/>
        <w:rPr>
          <w:rFonts w:hint="default" w:ascii="Times New Roman" w:hAnsi="Times New Roman" w:eastAsia="方正楷体简体" w:cs="Times New Roman"/>
          <w:sz w:val="32"/>
          <w:szCs w:val="32"/>
          <w:lang w:val="en-US" w:eastAsia="zh-CN"/>
        </w:rPr>
      </w:pPr>
      <w:r>
        <w:rPr>
          <w:rFonts w:hint="default" w:ascii="Times New Roman" w:hAnsi="Times New Roman" w:eastAsia="方正楷体简体" w:cs="Times New Roman"/>
          <w:sz w:val="32"/>
          <w:szCs w:val="32"/>
          <w:lang w:val="en-US" w:eastAsia="zh-CN"/>
        </w:rPr>
        <w:t>（二）部门绩效目标制定未纳入本部门集体决策范围</w:t>
      </w:r>
    </w:p>
    <w:p w14:paraId="672DB4EB">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2024年，泸定县残疾人联合会已编报《部门（单位）整体支出绩效目标申报表》，绩效目标随预算已上报人大完成审核，但未对部门整体项目进行集体决策，未将部门绩效目标纳入集体决策范围。</w:t>
      </w:r>
    </w:p>
    <w:p w14:paraId="0D406F85">
      <w:pPr>
        <w:keepNext w:val="0"/>
        <w:keepLines w:val="0"/>
        <w:pageBreakBefore w:val="0"/>
        <w:widowControl w:val="0"/>
        <w:numPr>
          <w:ilvl w:val="0"/>
          <w:numId w:val="0"/>
        </w:numPr>
        <w:kinsoku/>
        <w:wordWrap/>
        <w:overflowPunct/>
        <w:topLinePunct w:val="0"/>
        <w:bidi w:val="0"/>
        <w:snapToGrid/>
        <w:spacing w:line="560" w:lineRule="exact"/>
        <w:ind w:leftChars="0" w:right="0" w:rightChars="0" w:firstLine="640" w:firstLineChars="200"/>
        <w:jc w:val="both"/>
        <w:textAlignment w:val="auto"/>
        <w:rPr>
          <w:rFonts w:hint="default" w:ascii="Times New Roman" w:hAnsi="Times New Roman" w:eastAsia="方正楷体简体" w:cs="Times New Roman"/>
          <w:b w:val="0"/>
          <w:bCs w:val="0"/>
          <w:sz w:val="32"/>
          <w:szCs w:val="32"/>
          <w:lang w:val="en-US" w:eastAsia="zh-CN"/>
        </w:rPr>
      </w:pPr>
      <w:r>
        <w:rPr>
          <w:rFonts w:hint="default" w:ascii="Times New Roman" w:hAnsi="Times New Roman" w:eastAsia="方正楷体简体" w:cs="Times New Roman"/>
          <w:b w:val="0"/>
          <w:bCs w:val="0"/>
          <w:sz w:val="32"/>
          <w:szCs w:val="32"/>
          <w:lang w:val="en-US" w:eastAsia="zh-CN"/>
        </w:rPr>
        <w:t>（三）预算执行进度缓慢</w:t>
      </w:r>
    </w:p>
    <w:p w14:paraId="1B7E8E6D">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根据被评价单位提供的1-6月、1-9月、1-11月可执行指标执行情况表显示，2024年县残联1—6月月预算数322.87万元，实际执行数77.18万元，进度为23.91%；1-9月预算数418.28万元，实际执行数227.51万元，进度为54.39%；1-11月预算数419.74万元，实际执行数342.11万元，进度为81.50%。</w:t>
      </w:r>
    </w:p>
    <w:p w14:paraId="6D967ADD">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上述三个阶段中，根据可执行指标执行情况表被评价单位1-6月、1-9月、1-11月实际支出进度均未达到目标进度。</w:t>
      </w:r>
    </w:p>
    <w:p w14:paraId="687859CC">
      <w:pPr>
        <w:keepNext w:val="0"/>
        <w:keepLines w:val="0"/>
        <w:pageBreakBefore w:val="0"/>
        <w:widowControl w:val="0"/>
        <w:numPr>
          <w:ilvl w:val="0"/>
          <w:numId w:val="0"/>
        </w:numPr>
        <w:kinsoku/>
        <w:wordWrap/>
        <w:overflowPunct/>
        <w:topLinePunct w:val="0"/>
        <w:bidi w:val="0"/>
        <w:snapToGrid/>
        <w:spacing w:line="560" w:lineRule="exact"/>
        <w:ind w:leftChars="0" w:right="0" w:rightChars="0" w:firstLine="640" w:firstLineChars="200"/>
        <w:jc w:val="both"/>
        <w:textAlignment w:val="auto"/>
        <w:rPr>
          <w:rFonts w:hint="default" w:ascii="Times New Roman" w:hAnsi="Times New Roman" w:eastAsia="方正楷体简体" w:cs="Times New Roman"/>
          <w:b w:val="0"/>
          <w:bCs w:val="0"/>
          <w:sz w:val="32"/>
          <w:szCs w:val="32"/>
          <w:lang w:val="en-US" w:eastAsia="zh-CN"/>
        </w:rPr>
      </w:pPr>
      <w:r>
        <w:rPr>
          <w:rFonts w:hint="default" w:ascii="Times New Roman" w:hAnsi="Times New Roman" w:eastAsia="方正楷体简体" w:cs="Times New Roman"/>
          <w:b w:val="0"/>
          <w:bCs w:val="0"/>
          <w:sz w:val="32"/>
          <w:szCs w:val="32"/>
          <w:lang w:val="en-US" w:eastAsia="zh-CN"/>
        </w:rPr>
        <w:t>（四）预算绩效管理制度机制不够健全完善</w:t>
      </w:r>
    </w:p>
    <w:p w14:paraId="730C8C6A">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截至评价日，县残联未制定《预决算制度》，单位绩效管理情况未纳入内部考核体系且内部绩效结果未与预算挂钩。</w:t>
      </w:r>
    </w:p>
    <w:p w14:paraId="4EFDC167">
      <w:pPr>
        <w:keepNext w:val="0"/>
        <w:keepLines w:val="0"/>
        <w:pageBreakBefore w:val="0"/>
        <w:widowControl w:val="0"/>
        <w:kinsoku/>
        <w:wordWrap/>
        <w:overflowPunct/>
        <w:topLinePunct w:val="0"/>
        <w:autoSpaceDE/>
        <w:autoSpaceDN/>
        <w:bidi w:val="0"/>
        <w:snapToGrid/>
        <w:spacing w:line="560" w:lineRule="exact"/>
        <w:ind w:left="0" w:leftChars="0" w:right="0" w:rightChars="0" w:firstLine="640" w:firstLineChars="200"/>
        <w:jc w:val="both"/>
        <w:textAlignment w:val="auto"/>
        <w:outlineLvl w:val="0"/>
        <w:rPr>
          <w:rFonts w:hint="default" w:ascii="Times New Roman" w:hAnsi="Times New Roman" w:eastAsia="方正黑体简体" w:cs="Times New Roman"/>
          <w:color w:val="auto"/>
          <w:kern w:val="0"/>
          <w:sz w:val="32"/>
          <w:szCs w:val="32"/>
          <w:highlight w:val="none"/>
          <w:shd w:val="clear" w:color="auto" w:fill="FFFFFF"/>
        </w:rPr>
      </w:pPr>
      <w:r>
        <w:rPr>
          <w:rFonts w:hint="default" w:ascii="Times New Roman" w:hAnsi="Times New Roman" w:eastAsia="方正黑体简体" w:cs="Times New Roman"/>
          <w:color w:val="auto"/>
          <w:kern w:val="0"/>
          <w:sz w:val="32"/>
          <w:szCs w:val="32"/>
          <w:highlight w:val="none"/>
          <w:shd w:val="clear" w:color="auto" w:fill="FFFFFF"/>
          <w:lang w:val="en-US" w:eastAsia="zh-CN"/>
        </w:rPr>
        <w:t>六</w:t>
      </w:r>
      <w:r>
        <w:rPr>
          <w:rFonts w:hint="default" w:ascii="Times New Roman" w:hAnsi="Times New Roman" w:eastAsia="方正黑体简体" w:cs="Times New Roman"/>
          <w:color w:val="auto"/>
          <w:kern w:val="0"/>
          <w:sz w:val="32"/>
          <w:szCs w:val="32"/>
          <w:highlight w:val="none"/>
          <w:shd w:val="clear" w:color="auto" w:fill="FFFFFF"/>
        </w:rPr>
        <w:t>、相关措施建议</w:t>
      </w:r>
      <w:bookmarkEnd w:id="143"/>
      <w:bookmarkEnd w:id="144"/>
      <w:bookmarkEnd w:id="145"/>
      <w:bookmarkEnd w:id="146"/>
      <w:bookmarkEnd w:id="147"/>
      <w:bookmarkEnd w:id="148"/>
      <w:bookmarkEnd w:id="149"/>
      <w:bookmarkEnd w:id="150"/>
      <w:bookmarkEnd w:id="151"/>
      <w:bookmarkEnd w:id="152"/>
    </w:p>
    <w:p w14:paraId="164C1013">
      <w:pPr>
        <w:keepNext w:val="0"/>
        <w:keepLines w:val="0"/>
        <w:pageBreakBefore w:val="0"/>
        <w:widowControl w:val="0"/>
        <w:kinsoku/>
        <w:wordWrap/>
        <w:overflowPunct/>
        <w:topLinePunct w:val="0"/>
        <w:autoSpaceDE/>
        <w:autoSpaceDN/>
        <w:bidi w:val="0"/>
        <w:snapToGrid/>
        <w:spacing w:line="560" w:lineRule="exact"/>
        <w:ind w:left="0" w:leftChars="0" w:right="0" w:rightChars="0" w:firstLine="640" w:firstLineChars="200"/>
        <w:jc w:val="both"/>
        <w:textAlignment w:val="auto"/>
        <w:outlineLvl w:val="1"/>
        <w:rPr>
          <w:rFonts w:hint="default" w:ascii="Times New Roman" w:hAnsi="Times New Roman" w:eastAsia="方正楷体简体" w:cs="Times New Roman"/>
          <w:color w:val="auto"/>
          <w:kern w:val="2"/>
          <w:sz w:val="32"/>
          <w:szCs w:val="32"/>
          <w:highlight w:val="none"/>
          <w:shd w:val="clear"/>
          <w:lang w:val="en-US" w:eastAsia="zh-CN"/>
        </w:rPr>
      </w:pPr>
      <w:r>
        <w:rPr>
          <w:rFonts w:hint="default" w:ascii="Times New Roman" w:hAnsi="Times New Roman" w:eastAsia="方正楷体简体" w:cs="Times New Roman"/>
          <w:color w:val="auto"/>
          <w:kern w:val="2"/>
          <w:sz w:val="32"/>
          <w:szCs w:val="32"/>
          <w:highlight w:val="none"/>
          <w:shd w:val="clear"/>
          <w:lang w:val="en-US" w:eastAsia="zh-CN"/>
        </w:rPr>
        <w:t>（一）规范项目绩效目标设置</w:t>
      </w:r>
    </w:p>
    <w:p w14:paraId="3D54519D">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严格单位自评指标设置，注重采用定量和定性评价相结合的方法，设置最具代表性，最能直接反映产出和效益的核心绩效指标和标准体系。对此次评价中未完成绩效目标或偏离绩效目标较大的项目要分析原因，对由于年初指标值设定明显偏低造成的，要按照偏离度适度调减分值。</w:t>
      </w:r>
    </w:p>
    <w:bookmarkEnd w:id="141"/>
    <w:bookmarkEnd w:id="142"/>
    <w:p w14:paraId="3386D369">
      <w:pPr>
        <w:keepNext w:val="0"/>
        <w:keepLines w:val="0"/>
        <w:pageBreakBefore w:val="0"/>
        <w:widowControl w:val="0"/>
        <w:numPr>
          <w:ilvl w:val="0"/>
          <w:numId w:val="0"/>
        </w:numPr>
        <w:tabs>
          <w:tab w:val="left" w:pos="479"/>
        </w:tabs>
        <w:kinsoku/>
        <w:wordWrap/>
        <w:overflowPunct/>
        <w:topLinePunct w:val="0"/>
        <w:autoSpaceDE/>
        <w:autoSpaceDN/>
        <w:bidi w:val="0"/>
        <w:adjustRightInd/>
        <w:snapToGrid/>
        <w:spacing w:line="560" w:lineRule="exact"/>
        <w:ind w:leftChars="0" w:right="0" w:firstLine="640" w:firstLineChars="200"/>
        <w:jc w:val="both"/>
        <w:textAlignment w:val="auto"/>
        <w:rPr>
          <w:rFonts w:hint="default" w:ascii="Times New Roman" w:hAnsi="Times New Roman" w:eastAsia="方正楷体简体" w:cs="Times New Roman"/>
          <w:sz w:val="32"/>
          <w:szCs w:val="32"/>
          <w:lang w:val="en-US" w:eastAsia="zh-CN"/>
        </w:rPr>
      </w:pPr>
      <w:r>
        <w:rPr>
          <w:rFonts w:hint="default" w:ascii="Times New Roman" w:hAnsi="Times New Roman" w:eastAsia="方正楷体简体" w:cs="Times New Roman"/>
          <w:kern w:val="2"/>
          <w:sz w:val="32"/>
          <w:szCs w:val="32"/>
          <w:lang w:val="en-US" w:eastAsia="zh-CN" w:bidi="ar-SA"/>
        </w:rPr>
        <w:t>（二）绩</w:t>
      </w:r>
      <w:r>
        <w:rPr>
          <w:rFonts w:hint="default" w:ascii="Times New Roman" w:hAnsi="Times New Roman" w:eastAsia="方正楷体简体" w:cs="Times New Roman"/>
          <w:sz w:val="32"/>
          <w:szCs w:val="32"/>
          <w:lang w:val="en-US" w:eastAsia="zh-CN"/>
        </w:rPr>
        <w:t>效目标制定纳入部门集体决策范围</w:t>
      </w:r>
    </w:p>
    <w:p w14:paraId="1BEC240A">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建议将绩效目标制定纳入部门集体决策范围，通过集体决策增强绩效目标制定的科学性、可行性与准确性。</w:t>
      </w:r>
    </w:p>
    <w:p w14:paraId="764AB9E1">
      <w:pPr>
        <w:keepNext w:val="0"/>
        <w:keepLines w:val="0"/>
        <w:pageBreakBefore w:val="0"/>
        <w:widowControl w:val="0"/>
        <w:kinsoku/>
        <w:wordWrap/>
        <w:overflowPunct/>
        <w:topLinePunct w:val="0"/>
        <w:bidi w:val="0"/>
        <w:snapToGrid/>
        <w:spacing w:line="560" w:lineRule="exact"/>
        <w:ind w:leftChars="0" w:right="0" w:firstLine="640" w:firstLineChars="200"/>
        <w:jc w:val="both"/>
        <w:textAlignment w:val="auto"/>
        <w:rPr>
          <w:rFonts w:hint="default" w:ascii="Times New Roman" w:hAnsi="Times New Roman" w:eastAsia="方正楷体简体" w:cs="Times New Roman"/>
          <w:b w:val="0"/>
          <w:bCs w:val="0"/>
          <w:sz w:val="32"/>
          <w:szCs w:val="32"/>
          <w:lang w:val="en-US" w:eastAsia="zh-CN"/>
        </w:rPr>
      </w:pPr>
      <w:r>
        <w:rPr>
          <w:rFonts w:hint="default" w:ascii="Times New Roman" w:hAnsi="Times New Roman" w:eastAsia="方正楷体简体" w:cs="Times New Roman"/>
          <w:b w:val="0"/>
          <w:bCs w:val="0"/>
          <w:sz w:val="32"/>
          <w:szCs w:val="32"/>
          <w:lang w:eastAsia="zh-CN"/>
        </w:rPr>
        <w:t>（</w:t>
      </w:r>
      <w:r>
        <w:rPr>
          <w:rFonts w:hint="default" w:ascii="Times New Roman" w:hAnsi="Times New Roman" w:eastAsia="方正楷体简体" w:cs="Times New Roman"/>
          <w:b w:val="0"/>
          <w:bCs w:val="0"/>
          <w:sz w:val="32"/>
          <w:szCs w:val="32"/>
          <w:lang w:val="en-US" w:eastAsia="zh-CN"/>
        </w:rPr>
        <w:t>三</w:t>
      </w:r>
      <w:r>
        <w:rPr>
          <w:rFonts w:hint="default" w:ascii="Times New Roman" w:hAnsi="Times New Roman" w:eastAsia="方正楷体简体" w:cs="Times New Roman"/>
          <w:b w:val="0"/>
          <w:bCs w:val="0"/>
          <w:sz w:val="32"/>
          <w:szCs w:val="32"/>
          <w:lang w:eastAsia="zh-CN"/>
        </w:rPr>
        <w:t>）</w:t>
      </w:r>
      <w:r>
        <w:rPr>
          <w:rFonts w:hint="default" w:ascii="Times New Roman" w:hAnsi="Times New Roman" w:eastAsia="方正楷体简体" w:cs="Times New Roman"/>
          <w:b w:val="0"/>
          <w:bCs w:val="0"/>
          <w:sz w:val="32"/>
          <w:szCs w:val="32"/>
          <w:lang w:val="en-US" w:eastAsia="zh-CN"/>
        </w:rPr>
        <w:t>提高预算执行率</w:t>
      </w:r>
    </w:p>
    <w:p w14:paraId="3FB86E1F">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加强对各部门预算执行过程的动态监督，及时掌握各部门预算执行过程中的情况和实时动态，完善预算执行情况定期通报机制，根据情况强化对财政资金拨款的管控，倒逼各部门加快项目进度。同时，各部门要切实履行好预算执行主体的职责，加强对本单位预算执行过程的调度管理，大力推进项目进度和支出进度，促进预算的有效执行和支出的及时实现，从而促进预算执行率的提升。</w:t>
      </w:r>
    </w:p>
    <w:p w14:paraId="25229D0F">
      <w:pPr>
        <w:keepNext w:val="0"/>
        <w:keepLines w:val="0"/>
        <w:pageBreakBefore w:val="0"/>
        <w:widowControl w:val="0"/>
        <w:kinsoku/>
        <w:wordWrap/>
        <w:overflowPunct/>
        <w:topLinePunct w:val="0"/>
        <w:bidi w:val="0"/>
        <w:snapToGrid/>
        <w:spacing w:line="560" w:lineRule="exact"/>
        <w:ind w:leftChars="0" w:right="0" w:firstLine="640" w:firstLineChars="200"/>
        <w:jc w:val="both"/>
        <w:textAlignment w:val="auto"/>
        <w:rPr>
          <w:rFonts w:hint="default" w:ascii="Times New Roman" w:hAnsi="Times New Roman" w:eastAsia="方正楷体简体" w:cs="Times New Roman"/>
          <w:b w:val="0"/>
          <w:bCs w:val="0"/>
          <w:sz w:val="32"/>
          <w:szCs w:val="32"/>
          <w:lang w:val="en-US" w:eastAsia="zh-CN"/>
        </w:rPr>
      </w:pPr>
      <w:r>
        <w:rPr>
          <w:rFonts w:hint="default" w:ascii="Times New Roman" w:hAnsi="Times New Roman" w:eastAsia="方正楷体简体" w:cs="Times New Roman"/>
          <w:b w:val="0"/>
          <w:bCs w:val="0"/>
          <w:sz w:val="32"/>
          <w:szCs w:val="32"/>
          <w:lang w:val="en-US" w:eastAsia="zh-CN"/>
        </w:rPr>
        <w:t>（四）健全完善预算绩效管理制度建设</w:t>
      </w:r>
    </w:p>
    <w:p w14:paraId="383C6335">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应结合部门内部实际，在预算绩效管理方面，建立部门内部预算与绩效结果挂钩的机制，将部门内部预算自评纳入考核体系。进一步加强预算绩效管理制度建设，完善工作机制，强化责任落实，提高制度执行力，为部门预算管理的实施提供具体的指导意见，以确保财政资金使用的质量和效果。</w:t>
      </w:r>
    </w:p>
    <w:p w14:paraId="2A71C72D">
      <w:pPr>
        <w:keepNext w:val="0"/>
        <w:keepLines w:val="0"/>
        <w:pageBreakBefore w:val="0"/>
        <w:widowControl w:val="0"/>
        <w:kinsoku/>
        <w:wordWrap/>
        <w:overflowPunct/>
        <w:topLinePunct w:val="0"/>
        <w:autoSpaceDE/>
        <w:autoSpaceDN/>
        <w:bidi w:val="0"/>
        <w:spacing w:line="560" w:lineRule="exact"/>
        <w:ind w:left="0" w:leftChars="0" w:right="0" w:rightChars="0" w:firstLine="0" w:firstLineChars="0"/>
        <w:textAlignment w:val="auto"/>
        <w:rPr>
          <w:rFonts w:hint="default" w:ascii="Times New Roman" w:hAnsi="Times New Roman" w:eastAsia="方正仿宋_GB2312" w:cs="Times New Roman"/>
          <w:color w:val="auto"/>
          <w:sz w:val="32"/>
          <w:szCs w:val="32"/>
          <w:highlight w:val="none"/>
          <w:lang w:val="en-US" w:eastAsia="zh-CN"/>
        </w:rPr>
      </w:pPr>
    </w:p>
    <w:p w14:paraId="6FC6A30D">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附件</w:t>
      </w:r>
      <w:r>
        <w:rPr>
          <w:rFonts w:hint="default" w:ascii="Times New Roman" w:hAnsi="Times New Roman" w:eastAsia="方正仿宋_GB2312" w:cs="Times New Roman"/>
          <w:color w:val="auto"/>
          <w:sz w:val="32"/>
          <w:szCs w:val="32"/>
          <w:highlight w:val="none"/>
          <w:lang w:val="en-US" w:eastAsia="zh"/>
        </w:rPr>
        <w:t>：</w:t>
      </w:r>
      <w:r>
        <w:rPr>
          <w:rFonts w:hint="default" w:ascii="Times New Roman" w:hAnsi="Times New Roman" w:eastAsia="方正仿宋_GB2312" w:cs="Times New Roman"/>
          <w:color w:val="auto"/>
          <w:sz w:val="32"/>
          <w:szCs w:val="32"/>
          <w:highlight w:val="none"/>
          <w:lang w:val="en-US" w:eastAsia="zh-CN"/>
        </w:rPr>
        <w:t>泸定县残疾人联合会部门整体支出绩效评价指标体系表（评分表）</w:t>
      </w:r>
    </w:p>
    <w:p w14:paraId="03CDB3A5">
      <w:pPr>
        <w:pStyle w:val="7"/>
        <w:rPr>
          <w:rFonts w:hint="default" w:ascii="Times New Roman" w:hAnsi="Times New Roman" w:eastAsia="仿宋" w:cs="Times New Roman"/>
          <w:b w:val="0"/>
          <w:bCs w:val="0"/>
          <w:color w:val="auto"/>
          <w:sz w:val="32"/>
          <w:szCs w:val="32"/>
          <w:highlight w:val="none"/>
          <w:lang w:val="en-US" w:eastAsia="zh-CN"/>
        </w:rPr>
      </w:pPr>
    </w:p>
    <w:p w14:paraId="4A208FE8">
      <w:pPr>
        <w:rPr>
          <w:rFonts w:hint="default" w:ascii="Times New Roman" w:hAnsi="Times New Roman" w:eastAsia="仿宋" w:cs="Times New Roman"/>
          <w:b w:val="0"/>
          <w:bCs w:val="0"/>
          <w:color w:val="auto"/>
          <w:sz w:val="32"/>
          <w:szCs w:val="32"/>
          <w:highlight w:val="none"/>
          <w:lang w:val="en-US" w:eastAsia="zh-CN"/>
        </w:rPr>
      </w:pPr>
    </w:p>
    <w:p w14:paraId="5270FE9F">
      <w:pPr>
        <w:rPr>
          <w:rFonts w:hint="default" w:ascii="Times New Roman" w:hAnsi="Times New Roman" w:eastAsia="仿宋" w:cs="Times New Roman"/>
          <w:b w:val="0"/>
          <w:bCs w:val="0"/>
          <w:color w:val="auto"/>
          <w:sz w:val="32"/>
          <w:szCs w:val="32"/>
          <w:highlight w:val="none"/>
          <w:lang w:val="en-US" w:eastAsia="zh-CN"/>
        </w:rPr>
      </w:pPr>
      <w:bookmarkStart w:id="153" w:name="_GoBack"/>
      <w:bookmarkEnd w:id="153"/>
    </w:p>
    <w:p w14:paraId="7E1714C9">
      <w:pPr>
        <w:rPr>
          <w:rFonts w:hint="default" w:ascii="Times New Roman" w:hAnsi="Times New Roman" w:cs="Times New Roman"/>
          <w:sz w:val="32"/>
          <w:szCs w:val="32"/>
          <w:highlight w:val="none"/>
          <w:lang w:val="en-US" w:eastAsia="zh-CN"/>
        </w:rPr>
      </w:pPr>
    </w:p>
    <w:p w14:paraId="599F7CA8">
      <w:pPr>
        <w:spacing w:line="600" w:lineRule="exact"/>
        <w:ind w:firstLine="640"/>
        <w:jc w:val="right"/>
        <w:rPr>
          <w:rFonts w:hint="default" w:ascii="Times New Roman" w:hAnsi="Times New Roman" w:eastAsia="方正仿宋_GB2312" w:cs="Times New Roman"/>
          <w:sz w:val="32"/>
          <w:szCs w:val="32"/>
          <w:highlight w:val="none"/>
        </w:rPr>
      </w:pPr>
      <w:r>
        <w:rPr>
          <w:rFonts w:hint="default" w:ascii="Times New Roman" w:hAnsi="Times New Roman" w:eastAsia="仿宋" w:cs="Times New Roman"/>
          <w:b w:val="0"/>
          <w:bCs w:val="0"/>
          <w:sz w:val="32"/>
          <w:szCs w:val="32"/>
          <w:highlight w:val="none"/>
          <w:lang w:eastAsia="zh-CN"/>
        </w:rPr>
        <w:t>　　　　</w:t>
      </w:r>
      <w:r>
        <w:rPr>
          <w:rFonts w:hint="default" w:ascii="Times New Roman" w:hAnsi="Times New Roman" w:eastAsia="方正仿宋_GB2312" w:cs="Times New Roman"/>
          <w:sz w:val="32"/>
          <w:szCs w:val="32"/>
          <w:highlight w:val="none"/>
        </w:rPr>
        <w:t>泸定县财政局</w:t>
      </w:r>
    </w:p>
    <w:p w14:paraId="567E22FB">
      <w:pPr>
        <w:spacing w:line="600" w:lineRule="exact"/>
        <w:ind w:firstLine="640"/>
        <w:jc w:val="right"/>
        <w:rPr>
          <w:rFonts w:hint="default" w:ascii="Times New Roman" w:hAnsi="Times New Roman" w:eastAsia="方正仿宋_GB2312" w:cs="Times New Roman"/>
          <w:sz w:val="32"/>
          <w:szCs w:val="32"/>
          <w:highlight w:val="none"/>
        </w:rPr>
      </w:pPr>
      <w:r>
        <w:rPr>
          <w:rFonts w:hint="default" w:ascii="Times New Roman" w:hAnsi="Times New Roman" w:eastAsia="方正仿宋_GB2312" w:cs="Times New Roman"/>
          <w:sz w:val="32"/>
          <w:szCs w:val="32"/>
          <w:highlight w:val="none"/>
        </w:rPr>
        <w:t>　　　　　　　　　　　2025年11月11日</w:t>
      </w:r>
    </w:p>
    <w:p w14:paraId="03A8E035">
      <w:pPr>
        <w:keepNext w:val="0"/>
        <w:keepLines w:val="0"/>
        <w:pageBreakBefore w:val="0"/>
        <w:widowControl w:val="0"/>
        <w:kinsoku/>
        <w:wordWrap/>
        <w:overflowPunct/>
        <w:topLinePunct w:val="0"/>
        <w:autoSpaceDE/>
        <w:autoSpaceDN/>
        <w:bidi w:val="0"/>
        <w:adjustRightInd/>
        <w:snapToGrid/>
        <w:spacing w:line="600" w:lineRule="exact"/>
        <w:ind w:left="0"/>
        <w:jc w:val="right"/>
        <w:textAlignment w:val="auto"/>
        <w:rPr>
          <w:rFonts w:hint="default" w:ascii="Times New Roman" w:hAnsi="Times New Roman" w:eastAsia="方正仿宋_GB2312" w:cs="Times New Roman"/>
          <w:sz w:val="32"/>
          <w:szCs w:val="32"/>
          <w:highlight w:val="none"/>
          <w:lang w:val="en-US" w:eastAsia="zh-CN"/>
        </w:rPr>
      </w:pPr>
    </w:p>
    <w:sectPr>
      <w:headerReference r:id="rId5" w:type="default"/>
      <w:footerReference r:id="rId6" w:type="default"/>
      <w:pgSz w:w="11906" w:h="16838"/>
      <w:pgMar w:top="1440" w:right="1803" w:bottom="1440" w:left="1803" w:header="680" w:footer="737" w:gutter="0"/>
      <w:pgNumType w:fmt="decimal"/>
      <w:cols w:space="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560"/>
      </w:pPr>
      <w:r>
        <w:separator/>
      </w:r>
    </w:p>
  </w:endnote>
  <w:endnote w:type="continuationSeparator" w:id="1">
    <w:p>
      <w:pPr>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embedRegular r:id="rId1" w:fontKey="{43FC2AB6-0F48-4CA6-84C2-9B3CBF3B3EBA}"/>
  </w:font>
  <w:font w:name="等线 Light">
    <w:altName w:val="宋体"/>
    <w:panose1 w:val="02010600030101010101"/>
    <w:charset w:val="86"/>
    <w:family w:val="auto"/>
    <w:pitch w:val="default"/>
    <w:sig w:usb0="00000000" w:usb1="00000000" w:usb2="00000016" w:usb3="00000000" w:csb0="0004000F" w:csb1="00000000"/>
  </w:font>
  <w:font w:name="方正小标宋_GBK">
    <w:panose1 w:val="02000000000000000000"/>
    <w:charset w:val="86"/>
    <w:family w:val="auto"/>
    <w:pitch w:val="default"/>
    <w:sig w:usb0="A00002BF" w:usb1="38CF7CFA" w:usb2="00082016" w:usb3="00000000" w:csb0="00040001" w:csb1="00000000"/>
  </w:font>
  <w:font w:name="方正仿宋_GB2312">
    <w:panose1 w:val="02000000000000000000"/>
    <w:charset w:val="86"/>
    <w:family w:val="auto"/>
    <w:pitch w:val="default"/>
    <w:sig w:usb0="A00002BF" w:usb1="184F6CFA" w:usb2="00000012" w:usb3="00000000" w:csb0="00040001" w:csb1="00000000"/>
    <w:embedRegular r:id="rId2" w:fontKey="{C21ACF09-5E92-451F-96DF-B5DBB016F390}"/>
  </w:font>
  <w:font w:name="方正黑体简体">
    <w:panose1 w:val="03000509000000000000"/>
    <w:charset w:val="86"/>
    <w:family w:val="auto"/>
    <w:pitch w:val="default"/>
    <w:sig w:usb0="00000001" w:usb1="080E0000" w:usb2="00000000" w:usb3="00000000" w:csb0="00040000" w:csb1="00000000"/>
    <w:embedRegular r:id="rId3" w:fontKey="{582FDF17-E922-44DA-A48B-6CA12212428A}"/>
  </w:font>
  <w:font w:name="方正楷体简体">
    <w:panose1 w:val="03000509000000000000"/>
    <w:charset w:val="86"/>
    <w:family w:val="auto"/>
    <w:pitch w:val="default"/>
    <w:sig w:usb0="00000001" w:usb1="080E0000" w:usb2="00000000" w:usb3="00000000" w:csb0="00040000" w:csb1="00000000"/>
    <w:embedRegular r:id="rId4" w:fontKey="{3306268C-7073-417F-99D4-171E97BD2504}"/>
  </w:font>
  <w:font w:name="方正小标宋简体">
    <w:panose1 w:val="03000509000000000000"/>
    <w:charset w:val="86"/>
    <w:family w:val="auto"/>
    <w:pitch w:val="default"/>
    <w:sig w:usb0="00000001" w:usb1="080E0000" w:usb2="00000000" w:usb3="00000000" w:csb0="00040000" w:csb1="00000000"/>
    <w:embedRegular r:id="rId5" w:fontKey="{7B71DBA8-F27E-4AC4-B5FB-25F41F27829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20D31C">
    <w:pPr>
      <w:pStyle w:val="12"/>
      <w:ind w:firstLine="0" w:firstLineChars="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016C51E">
                          <w:pPr>
                            <w:pStyle w:val="12"/>
                            <w:ind w:left="0" w:leftChars="0" w:firstLine="0" w:firstLineChars="0"/>
                            <w:rPr>
                              <w:sz w:val="32"/>
                              <w:szCs w:val="32"/>
                            </w:rPr>
                          </w:pPr>
                          <w:r>
                            <w:rPr>
                              <w:sz w:val="32"/>
                              <w:szCs w:val="32"/>
                            </w:rPr>
                            <w:t xml:space="preserve">— </w:t>
                          </w:r>
                          <w:r>
                            <w:rPr>
                              <w:sz w:val="32"/>
                              <w:szCs w:val="32"/>
                            </w:rPr>
                            <w:fldChar w:fldCharType="begin"/>
                          </w:r>
                          <w:r>
                            <w:rPr>
                              <w:sz w:val="32"/>
                              <w:szCs w:val="32"/>
                            </w:rPr>
                            <w:instrText xml:space="preserve"> PAGE  \* MERGEFORMAT </w:instrText>
                          </w:r>
                          <w:r>
                            <w:rPr>
                              <w:sz w:val="32"/>
                              <w:szCs w:val="32"/>
                            </w:rPr>
                            <w:fldChar w:fldCharType="separate"/>
                          </w:r>
                          <w:r>
                            <w:rPr>
                              <w:sz w:val="32"/>
                              <w:szCs w:val="32"/>
                            </w:rPr>
                            <w:t>1</w:t>
                          </w:r>
                          <w:r>
                            <w:rPr>
                              <w:sz w:val="32"/>
                              <w:szCs w:val="32"/>
                            </w:rPr>
                            <w:fldChar w:fldCharType="end"/>
                          </w:r>
                          <w:r>
                            <w:rPr>
                              <w:sz w:val="32"/>
                              <w:szCs w:val="32"/>
                            </w:rP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BikIRMKwIAAFcEAAAOAAAAAAAAAAEAIAAAAB8BAABkcnMvZTJvRG9jLnhtbFBLBQYAAAAABgAG&#10;AFkBAAC8BQAAAAA=&#10;">
              <v:fill on="f" focussize="0,0"/>
              <v:stroke on="f" weight="0.5pt"/>
              <v:imagedata o:title=""/>
              <o:lock v:ext="edit" aspectratio="f"/>
              <v:textbox inset="0mm,0mm,0mm,0mm" style="mso-fit-shape-to-text:t;">
                <w:txbxContent>
                  <w:p w14:paraId="2016C51E">
                    <w:pPr>
                      <w:pStyle w:val="12"/>
                      <w:ind w:left="0" w:leftChars="0" w:firstLine="0" w:firstLineChars="0"/>
                      <w:rPr>
                        <w:sz w:val="32"/>
                        <w:szCs w:val="32"/>
                      </w:rPr>
                    </w:pPr>
                    <w:r>
                      <w:rPr>
                        <w:sz w:val="32"/>
                        <w:szCs w:val="32"/>
                      </w:rPr>
                      <w:t xml:space="preserve">— </w:t>
                    </w:r>
                    <w:r>
                      <w:rPr>
                        <w:sz w:val="32"/>
                        <w:szCs w:val="32"/>
                      </w:rPr>
                      <w:fldChar w:fldCharType="begin"/>
                    </w:r>
                    <w:r>
                      <w:rPr>
                        <w:sz w:val="32"/>
                        <w:szCs w:val="32"/>
                      </w:rPr>
                      <w:instrText xml:space="preserve"> PAGE  \* MERGEFORMAT </w:instrText>
                    </w:r>
                    <w:r>
                      <w:rPr>
                        <w:sz w:val="32"/>
                        <w:szCs w:val="32"/>
                      </w:rPr>
                      <w:fldChar w:fldCharType="separate"/>
                    </w:r>
                    <w:r>
                      <w:rPr>
                        <w:sz w:val="32"/>
                        <w:szCs w:val="32"/>
                      </w:rPr>
                      <w:t>1</w:t>
                    </w:r>
                    <w:r>
                      <w:rPr>
                        <w:sz w:val="32"/>
                        <w:szCs w:val="32"/>
                      </w:rPr>
                      <w:fldChar w:fldCharType="end"/>
                    </w:r>
                    <w:r>
                      <w:rPr>
                        <w:sz w:val="32"/>
                        <w:szCs w:val="32"/>
                      </w:rPr>
                      <w:t xml:space="preserve"> —</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560"/>
      </w:pPr>
      <w:r>
        <w:separator/>
      </w:r>
    </w:p>
  </w:footnote>
  <w:footnote w:type="continuationSeparator" w:id="1">
    <w:p>
      <w:pPr>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0BAFDF">
    <w:pPr>
      <w:pBdr>
        <w:top w:val="none" w:color="auto" w:sz="0" w:space="1"/>
        <w:left w:val="none" w:color="auto" w:sz="0" w:space="4"/>
        <w:bottom w:val="none" w:color="auto" w:sz="0" w:space="1"/>
        <w:right w:val="none" w:color="auto" w:sz="0" w:space="4"/>
      </w:pBdr>
      <w:tabs>
        <w:tab w:val="center" w:pos="4150"/>
        <w:tab w:val="right" w:pos="8306"/>
      </w:tabs>
      <w:snapToGrid w:val="0"/>
      <w:ind w:firstLine="0" w:firstLineChars="0"/>
      <w:jc w:val="left"/>
      <w:rPr>
        <w:u w:val="non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72F3B84"/>
    <w:multiLevelType w:val="multilevel"/>
    <w:tmpl w:val="372F3B84"/>
    <w:lvl w:ilvl="0" w:tentative="0">
      <w:start w:val="1"/>
      <w:numFmt w:val="japaneseCounting"/>
      <w:pStyle w:val="4"/>
      <w:lvlText w:val="（%1）"/>
      <w:lvlJc w:val="left"/>
      <w:pPr>
        <w:ind w:left="1937" w:hanging="977"/>
      </w:pPr>
      <w:rPr>
        <w:rFonts w:hint="default"/>
      </w:rPr>
    </w:lvl>
    <w:lvl w:ilvl="1" w:tentative="0">
      <w:start w:val="1"/>
      <w:numFmt w:val="lowerLetter"/>
      <w:lvlText w:val="%2)"/>
      <w:lvlJc w:val="left"/>
      <w:pPr>
        <w:ind w:left="1840" w:hanging="440"/>
      </w:pPr>
    </w:lvl>
    <w:lvl w:ilvl="2" w:tentative="0">
      <w:start w:val="1"/>
      <w:numFmt w:val="lowerRoman"/>
      <w:lvlText w:val="%3."/>
      <w:lvlJc w:val="right"/>
      <w:pPr>
        <w:ind w:left="2280" w:hanging="440"/>
      </w:pPr>
    </w:lvl>
    <w:lvl w:ilvl="3" w:tentative="0">
      <w:start w:val="1"/>
      <w:numFmt w:val="decimal"/>
      <w:lvlText w:val="%4."/>
      <w:lvlJc w:val="left"/>
      <w:pPr>
        <w:ind w:left="2720" w:hanging="440"/>
      </w:pPr>
    </w:lvl>
    <w:lvl w:ilvl="4" w:tentative="0">
      <w:start w:val="1"/>
      <w:numFmt w:val="lowerLetter"/>
      <w:lvlText w:val="%5)"/>
      <w:lvlJc w:val="left"/>
      <w:pPr>
        <w:ind w:left="3160" w:hanging="440"/>
      </w:pPr>
    </w:lvl>
    <w:lvl w:ilvl="5" w:tentative="0">
      <w:start w:val="1"/>
      <w:numFmt w:val="lowerRoman"/>
      <w:lvlText w:val="%6."/>
      <w:lvlJc w:val="right"/>
      <w:pPr>
        <w:ind w:left="3600" w:hanging="440"/>
      </w:pPr>
    </w:lvl>
    <w:lvl w:ilvl="6" w:tentative="0">
      <w:start w:val="1"/>
      <w:numFmt w:val="decimal"/>
      <w:lvlText w:val="%7."/>
      <w:lvlJc w:val="left"/>
      <w:pPr>
        <w:ind w:left="4040" w:hanging="440"/>
      </w:pPr>
    </w:lvl>
    <w:lvl w:ilvl="7" w:tentative="0">
      <w:start w:val="1"/>
      <w:numFmt w:val="lowerLetter"/>
      <w:lvlText w:val="%8)"/>
      <w:lvlJc w:val="left"/>
      <w:pPr>
        <w:ind w:left="4480" w:hanging="440"/>
      </w:pPr>
    </w:lvl>
    <w:lvl w:ilvl="8" w:tentative="0">
      <w:start w:val="1"/>
      <w:numFmt w:val="lowerRoman"/>
      <w:lvlText w:val="%9."/>
      <w:lvlJc w:val="right"/>
      <w:pPr>
        <w:ind w:left="4920" w:hanging="440"/>
      </w:pPr>
    </w:lvl>
  </w:abstractNum>
  <w:abstractNum w:abstractNumId="1">
    <w:nsid w:val="60A4DF1E"/>
    <w:multiLevelType w:val="multilevel"/>
    <w:tmpl w:val="60A4DF1E"/>
    <w:lvl w:ilvl="0" w:tentative="0">
      <w:start w:val="1"/>
      <w:numFmt w:val="chineseCounting"/>
      <w:suff w:val="nothing"/>
      <w:lvlText w:val="%1、"/>
      <w:lvlJc w:val="left"/>
      <w:pPr>
        <w:tabs>
          <w:tab w:val="left" w:pos="0"/>
        </w:tabs>
        <w:ind w:left="0" w:firstLine="0"/>
      </w:pPr>
      <w:rPr>
        <w:rFonts w:hint="eastAsia" w:ascii="宋体" w:hAnsi="宋体" w:eastAsia="宋体" w:cs="宋体"/>
      </w:rPr>
    </w:lvl>
    <w:lvl w:ilvl="1" w:tentative="0">
      <w:start w:val="1"/>
      <w:numFmt w:val="chineseCounting"/>
      <w:suff w:val="nothing"/>
      <w:lvlText w:val="（%2）"/>
      <w:lvlJc w:val="left"/>
      <w:pPr>
        <w:ind w:left="0" w:firstLine="0"/>
      </w:pPr>
      <w:rPr>
        <w:rFonts w:hint="eastAsia" w:ascii="宋体" w:hAnsi="宋体" w:eastAsia="宋体" w:cs="宋体"/>
      </w:rPr>
    </w:lvl>
    <w:lvl w:ilvl="2" w:tentative="0">
      <w:start w:val="1"/>
      <w:numFmt w:val="decimal"/>
      <w:pStyle w:val="3"/>
      <w:suff w:val="nothing"/>
      <w:lvlText w:val="%3．"/>
      <w:lvlJc w:val="left"/>
      <w:pPr>
        <w:ind w:left="0" w:firstLine="400"/>
      </w:pPr>
      <w:rPr>
        <w:rFonts w:hint="eastAsia" w:ascii="宋体" w:hAnsi="宋体" w:eastAsia="宋体" w:cs="宋体"/>
      </w:rPr>
    </w:lvl>
    <w:lvl w:ilvl="3" w:tentative="0">
      <w:start w:val="1"/>
      <w:numFmt w:val="decimal"/>
      <w:suff w:val="nothing"/>
      <w:lvlText w:val="（%4）"/>
      <w:lvlJc w:val="left"/>
      <w:pPr>
        <w:ind w:left="0" w:firstLine="402"/>
      </w:pPr>
      <w:rPr>
        <w:rFonts w:hint="eastAsia" w:ascii="宋体" w:hAnsi="宋体" w:eastAsia="宋体" w:cs="宋体"/>
      </w:rPr>
    </w:lvl>
    <w:lvl w:ilvl="4" w:tentative="0">
      <w:start w:val="1"/>
      <w:numFmt w:val="decimalEnclosedCircleChinese"/>
      <w:suff w:val="nothing"/>
      <w:lvlText w:val="%5"/>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E5M2JhZjNlZGRmY2I3MDBiNjBkZWI3YTgzNWY3NWEifQ=="/>
  </w:docVars>
  <w:rsids>
    <w:rsidRoot w:val="00172A27"/>
    <w:rsid w:val="00072D71"/>
    <w:rsid w:val="00097BF8"/>
    <w:rsid w:val="000C45D6"/>
    <w:rsid w:val="000C754C"/>
    <w:rsid w:val="000E2AA0"/>
    <w:rsid w:val="00127F9D"/>
    <w:rsid w:val="00145DD7"/>
    <w:rsid w:val="00147C82"/>
    <w:rsid w:val="00163525"/>
    <w:rsid w:val="00172A27"/>
    <w:rsid w:val="001A6E39"/>
    <w:rsid w:val="00202FA3"/>
    <w:rsid w:val="00272C1D"/>
    <w:rsid w:val="002F7B42"/>
    <w:rsid w:val="0032304E"/>
    <w:rsid w:val="003655C8"/>
    <w:rsid w:val="003F0E80"/>
    <w:rsid w:val="004267A7"/>
    <w:rsid w:val="00443DB6"/>
    <w:rsid w:val="00451894"/>
    <w:rsid w:val="00452C50"/>
    <w:rsid w:val="004549BF"/>
    <w:rsid w:val="005D0FB9"/>
    <w:rsid w:val="00610FBA"/>
    <w:rsid w:val="00646411"/>
    <w:rsid w:val="0067664F"/>
    <w:rsid w:val="006E2F08"/>
    <w:rsid w:val="007221E5"/>
    <w:rsid w:val="00757BEA"/>
    <w:rsid w:val="007E5CD9"/>
    <w:rsid w:val="00804DDE"/>
    <w:rsid w:val="0085646D"/>
    <w:rsid w:val="00870DA1"/>
    <w:rsid w:val="0088162A"/>
    <w:rsid w:val="008956AD"/>
    <w:rsid w:val="008B2190"/>
    <w:rsid w:val="00934B72"/>
    <w:rsid w:val="00950253"/>
    <w:rsid w:val="00963AA7"/>
    <w:rsid w:val="00970070"/>
    <w:rsid w:val="009B5855"/>
    <w:rsid w:val="00A1757E"/>
    <w:rsid w:val="00A60B13"/>
    <w:rsid w:val="00AD1C0E"/>
    <w:rsid w:val="00AD64C4"/>
    <w:rsid w:val="00AE1EFF"/>
    <w:rsid w:val="00B11E73"/>
    <w:rsid w:val="00BB4B64"/>
    <w:rsid w:val="00BF1745"/>
    <w:rsid w:val="00BF55A4"/>
    <w:rsid w:val="00C46DF1"/>
    <w:rsid w:val="00C54B59"/>
    <w:rsid w:val="00CB3663"/>
    <w:rsid w:val="00CF395F"/>
    <w:rsid w:val="00D10437"/>
    <w:rsid w:val="00D33BD1"/>
    <w:rsid w:val="00EB673D"/>
    <w:rsid w:val="00EE1A30"/>
    <w:rsid w:val="00EE3529"/>
    <w:rsid w:val="00F80E20"/>
    <w:rsid w:val="00FF076D"/>
    <w:rsid w:val="015B3238"/>
    <w:rsid w:val="0174274A"/>
    <w:rsid w:val="01AE1362"/>
    <w:rsid w:val="0209008E"/>
    <w:rsid w:val="0221101D"/>
    <w:rsid w:val="028212C5"/>
    <w:rsid w:val="02A14C7A"/>
    <w:rsid w:val="02B56978"/>
    <w:rsid w:val="031D77B8"/>
    <w:rsid w:val="03435D32"/>
    <w:rsid w:val="034B0AC6"/>
    <w:rsid w:val="03B62E52"/>
    <w:rsid w:val="03BD26AA"/>
    <w:rsid w:val="03C46413"/>
    <w:rsid w:val="03F043C9"/>
    <w:rsid w:val="03F5560D"/>
    <w:rsid w:val="05370DC3"/>
    <w:rsid w:val="05704583"/>
    <w:rsid w:val="05AE5131"/>
    <w:rsid w:val="05DC421B"/>
    <w:rsid w:val="069B1F26"/>
    <w:rsid w:val="06E2185D"/>
    <w:rsid w:val="071C5217"/>
    <w:rsid w:val="074574B7"/>
    <w:rsid w:val="077F711D"/>
    <w:rsid w:val="0815093A"/>
    <w:rsid w:val="08280844"/>
    <w:rsid w:val="08321414"/>
    <w:rsid w:val="08BC09C7"/>
    <w:rsid w:val="08CA0DBA"/>
    <w:rsid w:val="094B7C4B"/>
    <w:rsid w:val="0AA10A64"/>
    <w:rsid w:val="0AAA2B3A"/>
    <w:rsid w:val="0BD10723"/>
    <w:rsid w:val="0C0A3890"/>
    <w:rsid w:val="0C82214A"/>
    <w:rsid w:val="0CC90B55"/>
    <w:rsid w:val="0CF63E15"/>
    <w:rsid w:val="0D4639D6"/>
    <w:rsid w:val="0D7C008D"/>
    <w:rsid w:val="0DA06897"/>
    <w:rsid w:val="0DF462ED"/>
    <w:rsid w:val="0DF90060"/>
    <w:rsid w:val="0E19564B"/>
    <w:rsid w:val="0E3E5A73"/>
    <w:rsid w:val="0E522B49"/>
    <w:rsid w:val="0E5E23AA"/>
    <w:rsid w:val="0E6050D4"/>
    <w:rsid w:val="0E7F3C56"/>
    <w:rsid w:val="0EE36988"/>
    <w:rsid w:val="0EE4486D"/>
    <w:rsid w:val="0EF40828"/>
    <w:rsid w:val="0EF610D2"/>
    <w:rsid w:val="0EF97BEC"/>
    <w:rsid w:val="0F207817"/>
    <w:rsid w:val="0F24115F"/>
    <w:rsid w:val="0F7D48CD"/>
    <w:rsid w:val="0F895427"/>
    <w:rsid w:val="0FA36556"/>
    <w:rsid w:val="100F5919"/>
    <w:rsid w:val="10607EBA"/>
    <w:rsid w:val="10857989"/>
    <w:rsid w:val="10A609B0"/>
    <w:rsid w:val="10C177C0"/>
    <w:rsid w:val="10FB12CE"/>
    <w:rsid w:val="11034D52"/>
    <w:rsid w:val="11641A35"/>
    <w:rsid w:val="11A54F88"/>
    <w:rsid w:val="11A55E09"/>
    <w:rsid w:val="1256364C"/>
    <w:rsid w:val="12F71BB3"/>
    <w:rsid w:val="13445E84"/>
    <w:rsid w:val="13463C67"/>
    <w:rsid w:val="134E407D"/>
    <w:rsid w:val="136916A0"/>
    <w:rsid w:val="13BF191E"/>
    <w:rsid w:val="13DD5D2E"/>
    <w:rsid w:val="144B4CE8"/>
    <w:rsid w:val="14827494"/>
    <w:rsid w:val="14DA48CB"/>
    <w:rsid w:val="14DA73CD"/>
    <w:rsid w:val="151B6B0E"/>
    <w:rsid w:val="155B04E5"/>
    <w:rsid w:val="15762967"/>
    <w:rsid w:val="15C0420D"/>
    <w:rsid w:val="15C42D02"/>
    <w:rsid w:val="16310CFC"/>
    <w:rsid w:val="164E7445"/>
    <w:rsid w:val="16521418"/>
    <w:rsid w:val="167B192A"/>
    <w:rsid w:val="16BA737C"/>
    <w:rsid w:val="17404D18"/>
    <w:rsid w:val="178D5376"/>
    <w:rsid w:val="179E79D9"/>
    <w:rsid w:val="17FD7EEE"/>
    <w:rsid w:val="180A196B"/>
    <w:rsid w:val="181B0371"/>
    <w:rsid w:val="186A5A33"/>
    <w:rsid w:val="18A93AFC"/>
    <w:rsid w:val="18DA3FE0"/>
    <w:rsid w:val="18DD5A8A"/>
    <w:rsid w:val="195A2D50"/>
    <w:rsid w:val="196B6F54"/>
    <w:rsid w:val="19CD71FA"/>
    <w:rsid w:val="19E605C7"/>
    <w:rsid w:val="1A48253C"/>
    <w:rsid w:val="1A94413A"/>
    <w:rsid w:val="1AC02064"/>
    <w:rsid w:val="1AF776D6"/>
    <w:rsid w:val="1B0B2AA5"/>
    <w:rsid w:val="1B334486"/>
    <w:rsid w:val="1BDF6BC8"/>
    <w:rsid w:val="1C2C3D72"/>
    <w:rsid w:val="1C535707"/>
    <w:rsid w:val="1C580E62"/>
    <w:rsid w:val="1C975E00"/>
    <w:rsid w:val="1D046172"/>
    <w:rsid w:val="1D484219"/>
    <w:rsid w:val="1D4F18C5"/>
    <w:rsid w:val="1D9A1CE4"/>
    <w:rsid w:val="1DD67D6F"/>
    <w:rsid w:val="1E036392"/>
    <w:rsid w:val="1E0C3498"/>
    <w:rsid w:val="1ED16069"/>
    <w:rsid w:val="1ED24185"/>
    <w:rsid w:val="1ED35C04"/>
    <w:rsid w:val="1ED903FD"/>
    <w:rsid w:val="1EE16233"/>
    <w:rsid w:val="1EFB57A6"/>
    <w:rsid w:val="1F372797"/>
    <w:rsid w:val="1F406C39"/>
    <w:rsid w:val="1FB262C1"/>
    <w:rsid w:val="1FD20322"/>
    <w:rsid w:val="1FE92B41"/>
    <w:rsid w:val="1FFEDEEE"/>
    <w:rsid w:val="201E1FEE"/>
    <w:rsid w:val="202E7632"/>
    <w:rsid w:val="20533B33"/>
    <w:rsid w:val="207456E4"/>
    <w:rsid w:val="20A3724F"/>
    <w:rsid w:val="20CB7E98"/>
    <w:rsid w:val="211C5340"/>
    <w:rsid w:val="21CC56B8"/>
    <w:rsid w:val="21F711A6"/>
    <w:rsid w:val="22460F43"/>
    <w:rsid w:val="22612BC4"/>
    <w:rsid w:val="2297354C"/>
    <w:rsid w:val="22DD16D2"/>
    <w:rsid w:val="22F7E8FF"/>
    <w:rsid w:val="234C0C7F"/>
    <w:rsid w:val="23A67EEB"/>
    <w:rsid w:val="23BE0374"/>
    <w:rsid w:val="23F46FD7"/>
    <w:rsid w:val="24283899"/>
    <w:rsid w:val="242A734D"/>
    <w:rsid w:val="24436E8F"/>
    <w:rsid w:val="24612E4E"/>
    <w:rsid w:val="248C4080"/>
    <w:rsid w:val="24C04FDC"/>
    <w:rsid w:val="24FD16C3"/>
    <w:rsid w:val="25F533FB"/>
    <w:rsid w:val="26331263"/>
    <w:rsid w:val="263F3713"/>
    <w:rsid w:val="265058AE"/>
    <w:rsid w:val="265F3B15"/>
    <w:rsid w:val="269C2300"/>
    <w:rsid w:val="271534C4"/>
    <w:rsid w:val="271E56C4"/>
    <w:rsid w:val="27391076"/>
    <w:rsid w:val="273B0505"/>
    <w:rsid w:val="277338DD"/>
    <w:rsid w:val="27A6495D"/>
    <w:rsid w:val="27F31AB9"/>
    <w:rsid w:val="27F60C89"/>
    <w:rsid w:val="27FFC5C7"/>
    <w:rsid w:val="282446FC"/>
    <w:rsid w:val="282B56B9"/>
    <w:rsid w:val="28371A2F"/>
    <w:rsid w:val="284452E7"/>
    <w:rsid w:val="28523CBE"/>
    <w:rsid w:val="28757938"/>
    <w:rsid w:val="28860508"/>
    <w:rsid w:val="28950ECF"/>
    <w:rsid w:val="291B3F45"/>
    <w:rsid w:val="294B0B24"/>
    <w:rsid w:val="29581F66"/>
    <w:rsid w:val="29942B89"/>
    <w:rsid w:val="2A0E67EA"/>
    <w:rsid w:val="2A14341E"/>
    <w:rsid w:val="2A257690"/>
    <w:rsid w:val="2A817549"/>
    <w:rsid w:val="2AC554D1"/>
    <w:rsid w:val="2ADB2B70"/>
    <w:rsid w:val="2B275DB5"/>
    <w:rsid w:val="2B625A5F"/>
    <w:rsid w:val="2BBE5215"/>
    <w:rsid w:val="2BD70482"/>
    <w:rsid w:val="2C2F0835"/>
    <w:rsid w:val="2CBB4441"/>
    <w:rsid w:val="2CC80ED2"/>
    <w:rsid w:val="2CD1263C"/>
    <w:rsid w:val="2CF37A27"/>
    <w:rsid w:val="2CF74E38"/>
    <w:rsid w:val="2D241E80"/>
    <w:rsid w:val="2D324D1A"/>
    <w:rsid w:val="2D525A3B"/>
    <w:rsid w:val="2D6319D3"/>
    <w:rsid w:val="2D9D27E0"/>
    <w:rsid w:val="2DE812E1"/>
    <w:rsid w:val="2E750BE6"/>
    <w:rsid w:val="2E7B50BC"/>
    <w:rsid w:val="2E982D28"/>
    <w:rsid w:val="2EAE40F8"/>
    <w:rsid w:val="2ED1320F"/>
    <w:rsid w:val="2F040BD9"/>
    <w:rsid w:val="2F3274A5"/>
    <w:rsid w:val="2FBBA5AB"/>
    <w:rsid w:val="2FBF381C"/>
    <w:rsid w:val="2FC260AC"/>
    <w:rsid w:val="2FD91648"/>
    <w:rsid w:val="2FEF2A5C"/>
    <w:rsid w:val="3052247A"/>
    <w:rsid w:val="305D77B8"/>
    <w:rsid w:val="3090670D"/>
    <w:rsid w:val="312B48AF"/>
    <w:rsid w:val="31B5579D"/>
    <w:rsid w:val="32A47AB4"/>
    <w:rsid w:val="32CB27BC"/>
    <w:rsid w:val="33105381"/>
    <w:rsid w:val="336B6A5B"/>
    <w:rsid w:val="337B49B9"/>
    <w:rsid w:val="33BD27DF"/>
    <w:rsid w:val="33EB569F"/>
    <w:rsid w:val="33FA0C54"/>
    <w:rsid w:val="34113BD6"/>
    <w:rsid w:val="34140406"/>
    <w:rsid w:val="342C7375"/>
    <w:rsid w:val="34B42BB5"/>
    <w:rsid w:val="34C73C1C"/>
    <w:rsid w:val="350D6544"/>
    <w:rsid w:val="35EE2E3C"/>
    <w:rsid w:val="36001598"/>
    <w:rsid w:val="360308FA"/>
    <w:rsid w:val="36527A5E"/>
    <w:rsid w:val="36870F62"/>
    <w:rsid w:val="369B1CB2"/>
    <w:rsid w:val="36BF54EC"/>
    <w:rsid w:val="36C17759"/>
    <w:rsid w:val="36DC449D"/>
    <w:rsid w:val="36F56951"/>
    <w:rsid w:val="37E36263"/>
    <w:rsid w:val="37EE368E"/>
    <w:rsid w:val="38554F2F"/>
    <w:rsid w:val="38693545"/>
    <w:rsid w:val="38C96200"/>
    <w:rsid w:val="38D85C62"/>
    <w:rsid w:val="390E6F8C"/>
    <w:rsid w:val="39131F2C"/>
    <w:rsid w:val="39374DDA"/>
    <w:rsid w:val="393C614A"/>
    <w:rsid w:val="39411EEC"/>
    <w:rsid w:val="39935632"/>
    <w:rsid w:val="39E6508D"/>
    <w:rsid w:val="3A3949DD"/>
    <w:rsid w:val="3A4A7C37"/>
    <w:rsid w:val="3A7649A2"/>
    <w:rsid w:val="3A81279A"/>
    <w:rsid w:val="3AE5274E"/>
    <w:rsid w:val="3B072D35"/>
    <w:rsid w:val="3B3301C2"/>
    <w:rsid w:val="3B626037"/>
    <w:rsid w:val="3BD70C1C"/>
    <w:rsid w:val="3C065573"/>
    <w:rsid w:val="3C4B567C"/>
    <w:rsid w:val="3C837FE5"/>
    <w:rsid w:val="3CB15DE8"/>
    <w:rsid w:val="3D1F22E5"/>
    <w:rsid w:val="3D3960CA"/>
    <w:rsid w:val="3D741DDE"/>
    <w:rsid w:val="3D997564"/>
    <w:rsid w:val="3DB744C0"/>
    <w:rsid w:val="3DB8289D"/>
    <w:rsid w:val="3DE87F46"/>
    <w:rsid w:val="3DFC2E05"/>
    <w:rsid w:val="3E0D7049"/>
    <w:rsid w:val="3E144470"/>
    <w:rsid w:val="3E432DCF"/>
    <w:rsid w:val="3E8E1632"/>
    <w:rsid w:val="3F3E2FE9"/>
    <w:rsid w:val="3F5605BF"/>
    <w:rsid w:val="3F646F3E"/>
    <w:rsid w:val="3F7B5870"/>
    <w:rsid w:val="3FAD280D"/>
    <w:rsid w:val="3FAFC9F3"/>
    <w:rsid w:val="3FBD0AA0"/>
    <w:rsid w:val="3FBFE8A3"/>
    <w:rsid w:val="3FBFF11E"/>
    <w:rsid w:val="3FC78042"/>
    <w:rsid w:val="3FCF6EEE"/>
    <w:rsid w:val="3FFA9567"/>
    <w:rsid w:val="3FFBC9EC"/>
    <w:rsid w:val="3FFFEA14"/>
    <w:rsid w:val="400D7690"/>
    <w:rsid w:val="4069560F"/>
    <w:rsid w:val="412070D7"/>
    <w:rsid w:val="41322966"/>
    <w:rsid w:val="41670862"/>
    <w:rsid w:val="41731B45"/>
    <w:rsid w:val="41DC7289"/>
    <w:rsid w:val="41FD2ABB"/>
    <w:rsid w:val="421C165C"/>
    <w:rsid w:val="42811671"/>
    <w:rsid w:val="428B71EF"/>
    <w:rsid w:val="42A2347D"/>
    <w:rsid w:val="43251644"/>
    <w:rsid w:val="43802285"/>
    <w:rsid w:val="43A7F1A6"/>
    <w:rsid w:val="43D2284D"/>
    <w:rsid w:val="43ED42A2"/>
    <w:rsid w:val="44865DC2"/>
    <w:rsid w:val="44986F84"/>
    <w:rsid w:val="44A86EA6"/>
    <w:rsid w:val="44B03869"/>
    <w:rsid w:val="44B958DC"/>
    <w:rsid w:val="44E65F41"/>
    <w:rsid w:val="44FE2B7A"/>
    <w:rsid w:val="45221C05"/>
    <w:rsid w:val="45576E3F"/>
    <w:rsid w:val="455812EC"/>
    <w:rsid w:val="456F5F37"/>
    <w:rsid w:val="45761D23"/>
    <w:rsid w:val="45913DC1"/>
    <w:rsid w:val="4593493B"/>
    <w:rsid w:val="459B16D3"/>
    <w:rsid w:val="459E4A6E"/>
    <w:rsid w:val="45F31D67"/>
    <w:rsid w:val="45FF29D4"/>
    <w:rsid w:val="462A15BD"/>
    <w:rsid w:val="4633306D"/>
    <w:rsid w:val="46625636"/>
    <w:rsid w:val="46E2098A"/>
    <w:rsid w:val="4712301E"/>
    <w:rsid w:val="47970F04"/>
    <w:rsid w:val="48D56225"/>
    <w:rsid w:val="493C0826"/>
    <w:rsid w:val="49D23684"/>
    <w:rsid w:val="49E41186"/>
    <w:rsid w:val="49F243D5"/>
    <w:rsid w:val="4A3F0AC3"/>
    <w:rsid w:val="4A6E0EB3"/>
    <w:rsid w:val="4AD1435D"/>
    <w:rsid w:val="4AFA2C7B"/>
    <w:rsid w:val="4B0435C5"/>
    <w:rsid w:val="4B58271A"/>
    <w:rsid w:val="4B6B11A9"/>
    <w:rsid w:val="4B9C6B82"/>
    <w:rsid w:val="4BDE4024"/>
    <w:rsid w:val="4C1635B0"/>
    <w:rsid w:val="4C907F6D"/>
    <w:rsid w:val="4CA46E0E"/>
    <w:rsid w:val="4CAE35BE"/>
    <w:rsid w:val="4CFC2039"/>
    <w:rsid w:val="4D101EA3"/>
    <w:rsid w:val="4D3E2370"/>
    <w:rsid w:val="4D6E449B"/>
    <w:rsid w:val="4F0A34DF"/>
    <w:rsid w:val="4F5F5C7E"/>
    <w:rsid w:val="4F7241B1"/>
    <w:rsid w:val="4FCD04DF"/>
    <w:rsid w:val="4FF7181A"/>
    <w:rsid w:val="4FFE309A"/>
    <w:rsid w:val="507D0BBC"/>
    <w:rsid w:val="507E6B2A"/>
    <w:rsid w:val="51290B58"/>
    <w:rsid w:val="51381763"/>
    <w:rsid w:val="51842D6A"/>
    <w:rsid w:val="51960840"/>
    <w:rsid w:val="51D7639A"/>
    <w:rsid w:val="51E2208C"/>
    <w:rsid w:val="52017FD1"/>
    <w:rsid w:val="5221572C"/>
    <w:rsid w:val="52265F38"/>
    <w:rsid w:val="52291B63"/>
    <w:rsid w:val="52EF2BDF"/>
    <w:rsid w:val="535B753F"/>
    <w:rsid w:val="53B16AD7"/>
    <w:rsid w:val="543748C0"/>
    <w:rsid w:val="54B716A8"/>
    <w:rsid w:val="55516FE9"/>
    <w:rsid w:val="55681707"/>
    <w:rsid w:val="55AC2CD2"/>
    <w:rsid w:val="55B812E3"/>
    <w:rsid w:val="55D82153"/>
    <w:rsid w:val="561A2F05"/>
    <w:rsid w:val="566E5A78"/>
    <w:rsid w:val="56A7003A"/>
    <w:rsid w:val="575D29C4"/>
    <w:rsid w:val="577B4EF8"/>
    <w:rsid w:val="57950BEC"/>
    <w:rsid w:val="579A41D9"/>
    <w:rsid w:val="57BD01C5"/>
    <w:rsid w:val="57BE73BD"/>
    <w:rsid w:val="57C56C55"/>
    <w:rsid w:val="57E13BCA"/>
    <w:rsid w:val="57EAF5E5"/>
    <w:rsid w:val="58334AD1"/>
    <w:rsid w:val="5864421C"/>
    <w:rsid w:val="58F55AD6"/>
    <w:rsid w:val="5901172B"/>
    <w:rsid w:val="59561F19"/>
    <w:rsid w:val="596B1981"/>
    <w:rsid w:val="59821BED"/>
    <w:rsid w:val="59CF4D9E"/>
    <w:rsid w:val="59DE4A58"/>
    <w:rsid w:val="5A720E19"/>
    <w:rsid w:val="5AB4383C"/>
    <w:rsid w:val="5AED719F"/>
    <w:rsid w:val="5B0A7A07"/>
    <w:rsid w:val="5B1433B1"/>
    <w:rsid w:val="5B353327"/>
    <w:rsid w:val="5B3C271A"/>
    <w:rsid w:val="5B3F384B"/>
    <w:rsid w:val="5B5F5E1B"/>
    <w:rsid w:val="5B685559"/>
    <w:rsid w:val="5B8F6EDB"/>
    <w:rsid w:val="5BE414C5"/>
    <w:rsid w:val="5BFBC47E"/>
    <w:rsid w:val="5BFBFEEF"/>
    <w:rsid w:val="5BFE6DE9"/>
    <w:rsid w:val="5C1E1F40"/>
    <w:rsid w:val="5C5537BA"/>
    <w:rsid w:val="5C694A22"/>
    <w:rsid w:val="5C7458E1"/>
    <w:rsid w:val="5CBF46AD"/>
    <w:rsid w:val="5CE479D1"/>
    <w:rsid w:val="5CFF3025"/>
    <w:rsid w:val="5D3C5456"/>
    <w:rsid w:val="5D3E2967"/>
    <w:rsid w:val="5D7B4679"/>
    <w:rsid w:val="5D7C3989"/>
    <w:rsid w:val="5DCDBD87"/>
    <w:rsid w:val="5E6D6710"/>
    <w:rsid w:val="5E7C5B9B"/>
    <w:rsid w:val="5EA82B76"/>
    <w:rsid w:val="5EB1D3F4"/>
    <w:rsid w:val="5ECB38AD"/>
    <w:rsid w:val="5EDB5F93"/>
    <w:rsid w:val="5F246AEA"/>
    <w:rsid w:val="5F3B183F"/>
    <w:rsid w:val="5F5617FE"/>
    <w:rsid w:val="5F562031"/>
    <w:rsid w:val="5F774ACC"/>
    <w:rsid w:val="5F9C373E"/>
    <w:rsid w:val="5FBF7263"/>
    <w:rsid w:val="5FCF84ED"/>
    <w:rsid w:val="5FDFC83C"/>
    <w:rsid w:val="5FF7A0DE"/>
    <w:rsid w:val="60017C7C"/>
    <w:rsid w:val="6020741B"/>
    <w:rsid w:val="60695F4D"/>
    <w:rsid w:val="608914CC"/>
    <w:rsid w:val="6094289E"/>
    <w:rsid w:val="60A725D1"/>
    <w:rsid w:val="60F11867"/>
    <w:rsid w:val="61035425"/>
    <w:rsid w:val="61492D1C"/>
    <w:rsid w:val="615C16D6"/>
    <w:rsid w:val="618A3DC3"/>
    <w:rsid w:val="61C15430"/>
    <w:rsid w:val="61E46B12"/>
    <w:rsid w:val="62102CE3"/>
    <w:rsid w:val="62222B09"/>
    <w:rsid w:val="62311D7E"/>
    <w:rsid w:val="62350D51"/>
    <w:rsid w:val="627C5614"/>
    <w:rsid w:val="62BA758E"/>
    <w:rsid w:val="62BB6119"/>
    <w:rsid w:val="62D11B87"/>
    <w:rsid w:val="630D7F41"/>
    <w:rsid w:val="630F26B0"/>
    <w:rsid w:val="636724EC"/>
    <w:rsid w:val="636C18B0"/>
    <w:rsid w:val="63A71F74"/>
    <w:rsid w:val="63ED0D4F"/>
    <w:rsid w:val="64FE5F84"/>
    <w:rsid w:val="652F1904"/>
    <w:rsid w:val="65835D1E"/>
    <w:rsid w:val="65BF660F"/>
    <w:rsid w:val="65C7404D"/>
    <w:rsid w:val="65F17436"/>
    <w:rsid w:val="66BB8914"/>
    <w:rsid w:val="66C0483B"/>
    <w:rsid w:val="66CC410D"/>
    <w:rsid w:val="66EE54A9"/>
    <w:rsid w:val="67152FB8"/>
    <w:rsid w:val="67367D95"/>
    <w:rsid w:val="67551304"/>
    <w:rsid w:val="676254A4"/>
    <w:rsid w:val="678D0D6C"/>
    <w:rsid w:val="67AB4C59"/>
    <w:rsid w:val="67C96B35"/>
    <w:rsid w:val="67D8ED11"/>
    <w:rsid w:val="684306E9"/>
    <w:rsid w:val="68723580"/>
    <w:rsid w:val="68994500"/>
    <w:rsid w:val="69172000"/>
    <w:rsid w:val="697F1380"/>
    <w:rsid w:val="699A1F8A"/>
    <w:rsid w:val="69A93917"/>
    <w:rsid w:val="69F84725"/>
    <w:rsid w:val="6A4A3BFD"/>
    <w:rsid w:val="6B43739A"/>
    <w:rsid w:val="6BFFA4D9"/>
    <w:rsid w:val="6C196A9A"/>
    <w:rsid w:val="6C590980"/>
    <w:rsid w:val="6C75429C"/>
    <w:rsid w:val="6C7D23DE"/>
    <w:rsid w:val="6C8163CC"/>
    <w:rsid w:val="6C862912"/>
    <w:rsid w:val="6CFA1652"/>
    <w:rsid w:val="6CFD7E08"/>
    <w:rsid w:val="6D0F4A6A"/>
    <w:rsid w:val="6D3D4391"/>
    <w:rsid w:val="6D4F2BB4"/>
    <w:rsid w:val="6D8E68B6"/>
    <w:rsid w:val="6DB91B96"/>
    <w:rsid w:val="6DCD214C"/>
    <w:rsid w:val="6E3C3302"/>
    <w:rsid w:val="6E7E0482"/>
    <w:rsid w:val="6E7F1593"/>
    <w:rsid w:val="6E8A11BB"/>
    <w:rsid w:val="6E8B15BA"/>
    <w:rsid w:val="6EC3F98A"/>
    <w:rsid w:val="6EDE010C"/>
    <w:rsid w:val="6EFE7E0F"/>
    <w:rsid w:val="6F5F3DDC"/>
    <w:rsid w:val="6FBF4705"/>
    <w:rsid w:val="6FC06BC3"/>
    <w:rsid w:val="6FC24E02"/>
    <w:rsid w:val="6FCD2B35"/>
    <w:rsid w:val="6FEFDAF3"/>
    <w:rsid w:val="6FF658FB"/>
    <w:rsid w:val="6FFB1FF0"/>
    <w:rsid w:val="6FFEF6BD"/>
    <w:rsid w:val="70161521"/>
    <w:rsid w:val="70756248"/>
    <w:rsid w:val="70983CE4"/>
    <w:rsid w:val="70BB65E4"/>
    <w:rsid w:val="70E817A2"/>
    <w:rsid w:val="70EF71B7"/>
    <w:rsid w:val="70FAFB2A"/>
    <w:rsid w:val="71506ACE"/>
    <w:rsid w:val="716138A0"/>
    <w:rsid w:val="716314ED"/>
    <w:rsid w:val="71753151"/>
    <w:rsid w:val="71867FE1"/>
    <w:rsid w:val="71A73D3E"/>
    <w:rsid w:val="71D4087A"/>
    <w:rsid w:val="71E34413"/>
    <w:rsid w:val="71FE401B"/>
    <w:rsid w:val="726A16B0"/>
    <w:rsid w:val="727D4F24"/>
    <w:rsid w:val="72822E9E"/>
    <w:rsid w:val="72A146DD"/>
    <w:rsid w:val="72A70FAA"/>
    <w:rsid w:val="72DD1E82"/>
    <w:rsid w:val="72E66F89"/>
    <w:rsid w:val="73113F43"/>
    <w:rsid w:val="734944D8"/>
    <w:rsid w:val="7357511D"/>
    <w:rsid w:val="737446DD"/>
    <w:rsid w:val="737A3B75"/>
    <w:rsid w:val="737C1264"/>
    <w:rsid w:val="739B12EB"/>
    <w:rsid w:val="73AB6533"/>
    <w:rsid w:val="74620891"/>
    <w:rsid w:val="74D774D1"/>
    <w:rsid w:val="74E42203"/>
    <w:rsid w:val="751F197F"/>
    <w:rsid w:val="75297601"/>
    <w:rsid w:val="752C5839"/>
    <w:rsid w:val="758650B4"/>
    <w:rsid w:val="759E9462"/>
    <w:rsid w:val="75AB7F59"/>
    <w:rsid w:val="75D9457B"/>
    <w:rsid w:val="75E579CC"/>
    <w:rsid w:val="7613520C"/>
    <w:rsid w:val="76301170"/>
    <w:rsid w:val="763E70DC"/>
    <w:rsid w:val="76937428"/>
    <w:rsid w:val="76EB7264"/>
    <w:rsid w:val="76EEE66D"/>
    <w:rsid w:val="76EF82A2"/>
    <w:rsid w:val="76F20DAE"/>
    <w:rsid w:val="76FBFBCD"/>
    <w:rsid w:val="77245415"/>
    <w:rsid w:val="77503BA8"/>
    <w:rsid w:val="77B627D2"/>
    <w:rsid w:val="77BDFB3C"/>
    <w:rsid w:val="77BF2551"/>
    <w:rsid w:val="77CB4ADD"/>
    <w:rsid w:val="77F50D0E"/>
    <w:rsid w:val="77FCCDF3"/>
    <w:rsid w:val="7821727C"/>
    <w:rsid w:val="78243701"/>
    <w:rsid w:val="782E0A91"/>
    <w:rsid w:val="7866291A"/>
    <w:rsid w:val="788E7EA5"/>
    <w:rsid w:val="78F74A7F"/>
    <w:rsid w:val="7922343B"/>
    <w:rsid w:val="7926388B"/>
    <w:rsid w:val="79521C10"/>
    <w:rsid w:val="795E17F1"/>
    <w:rsid w:val="795FF9E4"/>
    <w:rsid w:val="79D42C0A"/>
    <w:rsid w:val="79FFF26D"/>
    <w:rsid w:val="7A142583"/>
    <w:rsid w:val="7A267238"/>
    <w:rsid w:val="7A30225F"/>
    <w:rsid w:val="7AAE7979"/>
    <w:rsid w:val="7AD5E80B"/>
    <w:rsid w:val="7AE7FD2B"/>
    <w:rsid w:val="7AF3D7EA"/>
    <w:rsid w:val="7AFE98C0"/>
    <w:rsid w:val="7B0A37F3"/>
    <w:rsid w:val="7B2EC99E"/>
    <w:rsid w:val="7B3E4BF5"/>
    <w:rsid w:val="7B676EB1"/>
    <w:rsid w:val="7B93031C"/>
    <w:rsid w:val="7BB3345A"/>
    <w:rsid w:val="7BBE09F0"/>
    <w:rsid w:val="7BCF7C7E"/>
    <w:rsid w:val="7BD61AD5"/>
    <w:rsid w:val="7BF9C739"/>
    <w:rsid w:val="7BFB259B"/>
    <w:rsid w:val="7BFF440A"/>
    <w:rsid w:val="7BFF8FB5"/>
    <w:rsid w:val="7C8549E9"/>
    <w:rsid w:val="7C9E2A4A"/>
    <w:rsid w:val="7CCD70F6"/>
    <w:rsid w:val="7CFC4664"/>
    <w:rsid w:val="7D4E5235"/>
    <w:rsid w:val="7D7B61FA"/>
    <w:rsid w:val="7D7D8DD1"/>
    <w:rsid w:val="7D9F8B72"/>
    <w:rsid w:val="7DBBA20B"/>
    <w:rsid w:val="7DC66335"/>
    <w:rsid w:val="7DDEDC0D"/>
    <w:rsid w:val="7DEF7A8A"/>
    <w:rsid w:val="7DF3FD3E"/>
    <w:rsid w:val="7DF7F354"/>
    <w:rsid w:val="7DFB0575"/>
    <w:rsid w:val="7E154BC6"/>
    <w:rsid w:val="7E6B12CB"/>
    <w:rsid w:val="7E7273D9"/>
    <w:rsid w:val="7E7F81E4"/>
    <w:rsid w:val="7E8D051D"/>
    <w:rsid w:val="7EACC565"/>
    <w:rsid w:val="7EB151EC"/>
    <w:rsid w:val="7EBB205B"/>
    <w:rsid w:val="7EBF2D50"/>
    <w:rsid w:val="7ECF1D1B"/>
    <w:rsid w:val="7ED22AB7"/>
    <w:rsid w:val="7ED7E605"/>
    <w:rsid w:val="7EDD74B9"/>
    <w:rsid w:val="7EF62516"/>
    <w:rsid w:val="7EFFE568"/>
    <w:rsid w:val="7F4B6054"/>
    <w:rsid w:val="7F5ABD7A"/>
    <w:rsid w:val="7F5CEBBD"/>
    <w:rsid w:val="7F7D7081"/>
    <w:rsid w:val="7F824F8C"/>
    <w:rsid w:val="7F8C4AD9"/>
    <w:rsid w:val="7FBF1A71"/>
    <w:rsid w:val="7FDFB4E3"/>
    <w:rsid w:val="7FDFE4A1"/>
    <w:rsid w:val="7FEF3380"/>
    <w:rsid w:val="7FFF3A16"/>
    <w:rsid w:val="7FFF5A94"/>
    <w:rsid w:val="83FF91AF"/>
    <w:rsid w:val="8AF62299"/>
    <w:rsid w:val="8D9E5958"/>
    <w:rsid w:val="8FEBAE37"/>
    <w:rsid w:val="8FF8B082"/>
    <w:rsid w:val="9FFC6A98"/>
    <w:rsid w:val="9FFF4B72"/>
    <w:rsid w:val="9FFFED75"/>
    <w:rsid w:val="A4FE2DAB"/>
    <w:rsid w:val="AD3B6A3F"/>
    <w:rsid w:val="AFE10A07"/>
    <w:rsid w:val="AFFE6005"/>
    <w:rsid w:val="B6FC2E9B"/>
    <w:rsid w:val="B7E7B2A0"/>
    <w:rsid w:val="B7EB1F3F"/>
    <w:rsid w:val="B9EB0C7F"/>
    <w:rsid w:val="B9FBD9F7"/>
    <w:rsid w:val="BBD563B5"/>
    <w:rsid w:val="BBFE7B1E"/>
    <w:rsid w:val="BBFF130D"/>
    <w:rsid w:val="BBFFDCD7"/>
    <w:rsid w:val="BCDCE214"/>
    <w:rsid w:val="BDAD1B8A"/>
    <w:rsid w:val="BDB9A1BB"/>
    <w:rsid w:val="BDFFCF40"/>
    <w:rsid w:val="BE7D5B73"/>
    <w:rsid w:val="BEEC8E32"/>
    <w:rsid w:val="BF7E0626"/>
    <w:rsid w:val="C76803D6"/>
    <w:rsid w:val="C77B49A1"/>
    <w:rsid w:val="CB9B34A2"/>
    <w:rsid w:val="CBB3A44B"/>
    <w:rsid w:val="CBDFAE21"/>
    <w:rsid w:val="CF1E2C65"/>
    <w:rsid w:val="CFFECBF1"/>
    <w:rsid w:val="D1D7B40E"/>
    <w:rsid w:val="D267D29C"/>
    <w:rsid w:val="D3ECC95C"/>
    <w:rsid w:val="D3ED3C8A"/>
    <w:rsid w:val="D6C76697"/>
    <w:rsid w:val="D70AFC06"/>
    <w:rsid w:val="D7DD1870"/>
    <w:rsid w:val="D9BFE668"/>
    <w:rsid w:val="D9F7E4F1"/>
    <w:rsid w:val="DA6CDFCE"/>
    <w:rsid w:val="DAFFE3D0"/>
    <w:rsid w:val="DB7F72A7"/>
    <w:rsid w:val="DBFF9A6B"/>
    <w:rsid w:val="DCDBFDC9"/>
    <w:rsid w:val="DD27FCAC"/>
    <w:rsid w:val="DD2D3FF7"/>
    <w:rsid w:val="DDCC86CA"/>
    <w:rsid w:val="DEFD6240"/>
    <w:rsid w:val="DEFF9AA2"/>
    <w:rsid w:val="DF5F6244"/>
    <w:rsid w:val="DFFE046B"/>
    <w:rsid w:val="E5B7349A"/>
    <w:rsid w:val="E5FFA019"/>
    <w:rsid w:val="E6DD0BF9"/>
    <w:rsid w:val="E7D6CC62"/>
    <w:rsid w:val="EBDE771E"/>
    <w:rsid w:val="EC6F8A7D"/>
    <w:rsid w:val="ED574481"/>
    <w:rsid w:val="EDBD7309"/>
    <w:rsid w:val="EDDFEE17"/>
    <w:rsid w:val="EDFDC52D"/>
    <w:rsid w:val="EEDBFCB9"/>
    <w:rsid w:val="EEDF5C73"/>
    <w:rsid w:val="EFB7FA07"/>
    <w:rsid w:val="EFDD9E34"/>
    <w:rsid w:val="EFEC0D03"/>
    <w:rsid w:val="EFF9121F"/>
    <w:rsid w:val="F4FEB764"/>
    <w:rsid w:val="F5DCD828"/>
    <w:rsid w:val="F6FFEE89"/>
    <w:rsid w:val="F77F6848"/>
    <w:rsid w:val="F77FB31B"/>
    <w:rsid w:val="F79FF762"/>
    <w:rsid w:val="F7D8FE1B"/>
    <w:rsid w:val="F7F540A6"/>
    <w:rsid w:val="F7F99798"/>
    <w:rsid w:val="F7FF2F46"/>
    <w:rsid w:val="F7FF624F"/>
    <w:rsid w:val="F8A20F1B"/>
    <w:rsid w:val="F8DF9610"/>
    <w:rsid w:val="F8ED456B"/>
    <w:rsid w:val="F8FC959D"/>
    <w:rsid w:val="F9FE23CE"/>
    <w:rsid w:val="FBED27CB"/>
    <w:rsid w:val="FD77E073"/>
    <w:rsid w:val="FDA3C67D"/>
    <w:rsid w:val="FDBFCCB1"/>
    <w:rsid w:val="FDE76F5F"/>
    <w:rsid w:val="FDF70401"/>
    <w:rsid w:val="FDFBBA80"/>
    <w:rsid w:val="FE9A4642"/>
    <w:rsid w:val="FEF71790"/>
    <w:rsid w:val="FEFEEE24"/>
    <w:rsid w:val="FEFF1801"/>
    <w:rsid w:val="FF256A0D"/>
    <w:rsid w:val="FF825E8E"/>
    <w:rsid w:val="FF9EC63C"/>
    <w:rsid w:val="FF9F7E4F"/>
    <w:rsid w:val="FFAE71A9"/>
    <w:rsid w:val="FFDDD3F3"/>
    <w:rsid w:val="FFDF345C"/>
    <w:rsid w:val="FFDF71A8"/>
    <w:rsid w:val="FFF358D4"/>
    <w:rsid w:val="FFF6C637"/>
    <w:rsid w:val="FFF7C73D"/>
    <w:rsid w:val="FFFF91E4"/>
    <w:rsid w:val="FFFFC2AD"/>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qFormat="1" w:unhideWhenUsed="0" w:uiPriority="0"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nhideWhenUsed="0" w:uiPriority="0" w:semiHidden="0" w:name="Salutation"/>
    <w:lsdException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ind w:firstLine="1044" w:firstLineChars="200"/>
      <w:jc w:val="both"/>
    </w:pPr>
    <w:rPr>
      <w:rFonts w:ascii="Times New Roman" w:hAnsi="Times New Roman" w:eastAsia="仿宋_GB2312" w:cstheme="minorBidi"/>
      <w:kern w:val="2"/>
      <w:sz w:val="28"/>
      <w:szCs w:val="22"/>
      <w:lang w:val="en-US" w:eastAsia="zh-CN" w:bidi="ar-SA"/>
    </w:rPr>
  </w:style>
  <w:style w:type="paragraph" w:styleId="2">
    <w:name w:val="heading 2"/>
    <w:basedOn w:val="1"/>
    <w:next w:val="1"/>
    <w:unhideWhenUsed/>
    <w:qFormat/>
    <w:uiPriority w:val="9"/>
    <w:pPr>
      <w:keepNext/>
      <w:keepLines/>
      <w:spacing w:before="260" w:after="260" w:line="413" w:lineRule="auto"/>
      <w:outlineLvl w:val="1"/>
    </w:pPr>
    <w:rPr>
      <w:rFonts w:ascii="Arial" w:hAnsi="Arial" w:eastAsia="黑体"/>
      <w:b/>
      <w:sz w:val="32"/>
    </w:rPr>
  </w:style>
  <w:style w:type="paragraph" w:styleId="3">
    <w:name w:val="heading 3"/>
    <w:basedOn w:val="1"/>
    <w:next w:val="1"/>
    <w:qFormat/>
    <w:uiPriority w:val="0"/>
    <w:pPr>
      <w:keepNext/>
      <w:keepLines/>
      <w:numPr>
        <w:ilvl w:val="2"/>
        <w:numId w:val="1"/>
      </w:numPr>
      <w:spacing w:line="560" w:lineRule="exact"/>
      <w:ind w:firstLine="880"/>
      <w:outlineLvl w:val="2"/>
    </w:pPr>
    <w:rPr>
      <w:b/>
      <w:bCs/>
      <w:szCs w:val="32"/>
    </w:rPr>
  </w:style>
  <w:style w:type="character" w:default="1" w:styleId="21">
    <w:name w:val="Default Paragraph Font"/>
    <w:semiHidden/>
    <w:unhideWhenUsed/>
    <w:qFormat/>
    <w:uiPriority w:val="1"/>
  </w:style>
  <w:style w:type="table" w:default="1" w:styleId="19">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4">
    <w:name w:val="Normal Indent"/>
    <w:basedOn w:val="1"/>
    <w:unhideWhenUsed/>
    <w:qFormat/>
    <w:uiPriority w:val="99"/>
    <w:pPr>
      <w:numPr>
        <w:ilvl w:val="0"/>
        <w:numId w:val="2"/>
      </w:numPr>
      <w:spacing w:line="560" w:lineRule="exact"/>
    </w:pPr>
    <w:rPr>
      <w:rFonts w:ascii="楷体" w:hAnsi="楷体" w:eastAsia="楷体" w:cs="楷体"/>
      <w:szCs w:val="32"/>
    </w:rPr>
  </w:style>
  <w:style w:type="paragraph" w:styleId="5">
    <w:name w:val="annotation text"/>
    <w:basedOn w:val="1"/>
    <w:semiHidden/>
    <w:unhideWhenUsed/>
    <w:qFormat/>
    <w:uiPriority w:val="99"/>
    <w:pPr>
      <w:jc w:val="left"/>
    </w:pPr>
  </w:style>
  <w:style w:type="paragraph" w:styleId="6">
    <w:name w:val="Salutation"/>
    <w:basedOn w:val="1"/>
    <w:next w:val="1"/>
    <w:qFormat/>
    <w:uiPriority w:val="0"/>
  </w:style>
  <w:style w:type="paragraph" w:styleId="7">
    <w:name w:val="Body Text"/>
    <w:basedOn w:val="1"/>
    <w:next w:val="1"/>
    <w:qFormat/>
    <w:uiPriority w:val="0"/>
    <w:pPr>
      <w:spacing w:after="120"/>
    </w:pPr>
    <w:rPr>
      <w:rFonts w:ascii="Calibri" w:hAnsi="Calibri"/>
      <w:kern w:val="0"/>
      <w:szCs w:val="20"/>
    </w:rPr>
  </w:style>
  <w:style w:type="paragraph" w:styleId="8">
    <w:name w:val="Body Text Indent"/>
    <w:basedOn w:val="1"/>
    <w:next w:val="9"/>
    <w:link w:val="44"/>
    <w:semiHidden/>
    <w:unhideWhenUsed/>
    <w:qFormat/>
    <w:uiPriority w:val="99"/>
    <w:pPr>
      <w:ind w:firstLine="640"/>
    </w:pPr>
    <w:rPr>
      <w:rFonts w:ascii="Calibri" w:hAnsi="Calibri" w:eastAsia="宋体" w:cs="Times New Roman"/>
      <w:sz w:val="32"/>
      <w:szCs w:val="24"/>
    </w:rPr>
  </w:style>
  <w:style w:type="paragraph" w:styleId="9">
    <w:name w:val="Body Text First Indent 2"/>
    <w:basedOn w:val="8"/>
    <w:qFormat/>
    <w:uiPriority w:val="0"/>
    <w:pPr>
      <w:ind w:firstLine="420"/>
    </w:pPr>
  </w:style>
  <w:style w:type="paragraph" w:styleId="10">
    <w:name w:val="toc 3"/>
    <w:basedOn w:val="1"/>
    <w:next w:val="1"/>
    <w:semiHidden/>
    <w:unhideWhenUsed/>
    <w:qFormat/>
    <w:uiPriority w:val="39"/>
    <w:pPr>
      <w:ind w:left="840" w:leftChars="400"/>
    </w:pPr>
  </w:style>
  <w:style w:type="paragraph" w:styleId="11">
    <w:name w:val="Body Text Indent 2"/>
    <w:basedOn w:val="1"/>
    <w:qFormat/>
    <w:uiPriority w:val="0"/>
    <w:pPr>
      <w:ind w:firstLine="645"/>
      <w:outlineLvl w:val="0"/>
    </w:pPr>
    <w:rPr>
      <w:rFonts w:ascii="仿宋_GB2312"/>
      <w:spacing w:val="-4"/>
      <w:sz w:val="32"/>
    </w:rPr>
  </w:style>
  <w:style w:type="paragraph" w:styleId="12">
    <w:name w:val="footer"/>
    <w:basedOn w:val="1"/>
    <w:link w:val="31"/>
    <w:unhideWhenUsed/>
    <w:qFormat/>
    <w:uiPriority w:val="99"/>
    <w:pPr>
      <w:tabs>
        <w:tab w:val="center" w:pos="4153"/>
        <w:tab w:val="right" w:pos="8306"/>
      </w:tabs>
      <w:snapToGrid w:val="0"/>
      <w:jc w:val="left"/>
    </w:pPr>
    <w:rPr>
      <w:sz w:val="18"/>
      <w:szCs w:val="18"/>
    </w:rPr>
  </w:style>
  <w:style w:type="paragraph" w:styleId="13">
    <w:name w:val="header"/>
    <w:basedOn w:val="1"/>
    <w:next w:val="1"/>
    <w:link w:val="30"/>
    <w:unhideWhenUsed/>
    <w:qFormat/>
    <w:uiPriority w:val="99"/>
    <w:pPr>
      <w:pBdr>
        <w:bottom w:val="single" w:color="auto" w:sz="6" w:space="1"/>
      </w:pBdr>
      <w:tabs>
        <w:tab w:val="center" w:pos="4153"/>
        <w:tab w:val="right" w:pos="8306"/>
      </w:tabs>
      <w:snapToGrid w:val="0"/>
      <w:jc w:val="center"/>
    </w:pPr>
    <w:rPr>
      <w:sz w:val="18"/>
      <w:szCs w:val="18"/>
    </w:rPr>
  </w:style>
  <w:style w:type="paragraph" w:styleId="14">
    <w:name w:val="toc 1"/>
    <w:basedOn w:val="1"/>
    <w:next w:val="1"/>
    <w:unhideWhenUsed/>
    <w:qFormat/>
    <w:uiPriority w:val="39"/>
    <w:pPr>
      <w:tabs>
        <w:tab w:val="left" w:pos="709"/>
        <w:tab w:val="right" w:leader="dot" w:pos="8296"/>
      </w:tabs>
    </w:pPr>
  </w:style>
  <w:style w:type="paragraph" w:styleId="15">
    <w:name w:val="footnote text"/>
    <w:basedOn w:val="1"/>
    <w:next w:val="9"/>
    <w:semiHidden/>
    <w:qFormat/>
    <w:uiPriority w:val="0"/>
    <w:pPr>
      <w:snapToGrid w:val="0"/>
      <w:jc w:val="left"/>
    </w:pPr>
    <w:rPr>
      <w:sz w:val="18"/>
      <w:szCs w:val="18"/>
    </w:rPr>
  </w:style>
  <w:style w:type="paragraph" w:styleId="16">
    <w:name w:val="toc 2"/>
    <w:basedOn w:val="1"/>
    <w:next w:val="1"/>
    <w:unhideWhenUsed/>
    <w:qFormat/>
    <w:uiPriority w:val="39"/>
    <w:pPr>
      <w:ind w:left="420" w:leftChars="200"/>
    </w:pPr>
  </w:style>
  <w:style w:type="paragraph" w:styleId="17">
    <w:name w:val="Normal (Web)"/>
    <w:basedOn w:val="1"/>
    <w:unhideWhenUsed/>
    <w:qFormat/>
    <w:uiPriority w:val="99"/>
    <w:pPr>
      <w:spacing w:before="100" w:beforeAutospacing="1" w:after="100" w:afterAutospacing="1"/>
      <w:jc w:val="left"/>
    </w:pPr>
    <w:rPr>
      <w:rFonts w:cs="Times New Roman"/>
      <w:kern w:val="0"/>
      <w:sz w:val="24"/>
    </w:rPr>
  </w:style>
  <w:style w:type="paragraph" w:styleId="18">
    <w:name w:val="Title"/>
    <w:basedOn w:val="1"/>
    <w:link w:val="43"/>
    <w:qFormat/>
    <w:uiPriority w:val="10"/>
    <w:pPr>
      <w:spacing w:before="240" w:after="60"/>
      <w:jc w:val="center"/>
      <w:outlineLvl w:val="0"/>
    </w:pPr>
    <w:rPr>
      <w:rFonts w:ascii="Arial" w:hAnsi="Arial"/>
      <w:b/>
      <w:sz w:val="32"/>
    </w:rPr>
  </w:style>
  <w:style w:type="table" w:styleId="20">
    <w:name w:val="Table Grid"/>
    <w:basedOn w:val="19"/>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Strong"/>
    <w:basedOn w:val="21"/>
    <w:qFormat/>
    <w:uiPriority w:val="0"/>
    <w:rPr>
      <w:b/>
      <w:bCs/>
    </w:rPr>
  </w:style>
  <w:style w:type="character" w:styleId="23">
    <w:name w:val="Emphasis"/>
    <w:basedOn w:val="21"/>
    <w:qFormat/>
    <w:uiPriority w:val="20"/>
    <w:rPr>
      <w:i/>
    </w:rPr>
  </w:style>
  <w:style w:type="character" w:styleId="24">
    <w:name w:val="Hyperlink"/>
    <w:unhideWhenUsed/>
    <w:qFormat/>
    <w:uiPriority w:val="99"/>
    <w:rPr>
      <w:color w:val="4D4D4D"/>
      <w:u w:val="none"/>
    </w:rPr>
  </w:style>
  <w:style w:type="character" w:styleId="25">
    <w:name w:val="annotation reference"/>
    <w:basedOn w:val="21"/>
    <w:semiHidden/>
    <w:unhideWhenUsed/>
    <w:qFormat/>
    <w:uiPriority w:val="99"/>
    <w:rPr>
      <w:sz w:val="21"/>
      <w:szCs w:val="21"/>
    </w:rPr>
  </w:style>
  <w:style w:type="paragraph" w:customStyle="1" w:styleId="26">
    <w:name w:val="正文文本1"/>
    <w:basedOn w:val="1"/>
    <w:qFormat/>
    <w:uiPriority w:val="0"/>
    <w:pPr>
      <w:spacing w:line="386" w:lineRule="auto"/>
    </w:pPr>
    <w:rPr>
      <w:rFonts w:ascii="楷体" w:hAnsi="楷体" w:eastAsia="楷体" w:cs="楷体"/>
      <w:sz w:val="19"/>
      <w:szCs w:val="19"/>
      <w:lang w:val="zh-CN" w:bidi="zh-CN"/>
    </w:rPr>
  </w:style>
  <w:style w:type="paragraph" w:customStyle="1" w:styleId="27">
    <w:name w:val="Default"/>
    <w:next w:val="28"/>
    <w:qFormat/>
    <w:uiPriority w:val="0"/>
    <w:pPr>
      <w:autoSpaceDE w:val="0"/>
      <w:autoSpaceDN w:val="0"/>
      <w:adjustRightInd w:val="0"/>
    </w:pPr>
    <w:rPr>
      <w:rFonts w:ascii="微软雅黑" w:hAnsi="Calibri" w:eastAsia="微软雅黑" w:cs="微软雅黑"/>
      <w:color w:val="000000"/>
      <w:sz w:val="24"/>
      <w:szCs w:val="24"/>
      <w:lang w:val="en-US" w:eastAsia="zh-CN" w:bidi="ar-SA"/>
    </w:rPr>
  </w:style>
  <w:style w:type="paragraph" w:customStyle="1" w:styleId="28">
    <w:name w:val="_Style 1"/>
    <w:basedOn w:val="1"/>
    <w:next w:val="1"/>
    <w:qFormat/>
    <w:uiPriority w:val="0"/>
    <w:pPr>
      <w:pBdr>
        <w:top w:val="single" w:color="auto" w:sz="6" w:space="1"/>
      </w:pBdr>
      <w:jc w:val="center"/>
    </w:pPr>
    <w:rPr>
      <w:rFonts w:ascii="Arial" w:eastAsia="宋体"/>
      <w:vanish/>
      <w:sz w:val="16"/>
    </w:rPr>
  </w:style>
  <w:style w:type="paragraph" w:customStyle="1" w:styleId="29">
    <w:name w:val="常用样式（方正仿宋简）"/>
    <w:basedOn w:val="1"/>
    <w:qFormat/>
    <w:uiPriority w:val="0"/>
    <w:pPr>
      <w:spacing w:line="560" w:lineRule="exact"/>
      <w:ind w:firstLine="640"/>
    </w:pPr>
    <w:rPr>
      <w:rFonts w:eastAsia="仿宋"/>
      <w:sz w:val="32"/>
    </w:rPr>
  </w:style>
  <w:style w:type="character" w:customStyle="1" w:styleId="30">
    <w:name w:val="页眉 字符"/>
    <w:basedOn w:val="21"/>
    <w:link w:val="13"/>
    <w:qFormat/>
    <w:uiPriority w:val="99"/>
    <w:rPr>
      <w:sz w:val="18"/>
      <w:szCs w:val="18"/>
    </w:rPr>
  </w:style>
  <w:style w:type="character" w:customStyle="1" w:styleId="31">
    <w:name w:val="页脚 字符"/>
    <w:basedOn w:val="21"/>
    <w:link w:val="12"/>
    <w:qFormat/>
    <w:uiPriority w:val="99"/>
    <w:rPr>
      <w:sz w:val="18"/>
      <w:szCs w:val="18"/>
    </w:rPr>
  </w:style>
  <w:style w:type="character" w:customStyle="1" w:styleId="32">
    <w:name w:val="font11"/>
    <w:basedOn w:val="21"/>
    <w:qFormat/>
    <w:uiPriority w:val="0"/>
    <w:rPr>
      <w:rFonts w:hint="eastAsia" w:ascii="宋体" w:hAnsi="宋体" w:eastAsia="宋体" w:cs="宋体"/>
      <w:color w:val="000000"/>
      <w:sz w:val="21"/>
      <w:szCs w:val="21"/>
      <w:u w:val="none"/>
    </w:rPr>
  </w:style>
  <w:style w:type="character" w:customStyle="1" w:styleId="33">
    <w:name w:val="font01"/>
    <w:basedOn w:val="21"/>
    <w:qFormat/>
    <w:uiPriority w:val="0"/>
    <w:rPr>
      <w:rFonts w:hint="default" w:ascii="Calibri" w:hAnsi="Calibri" w:cs="Calibri"/>
      <w:color w:val="000000"/>
      <w:sz w:val="21"/>
      <w:szCs w:val="21"/>
      <w:u w:val="none"/>
    </w:rPr>
  </w:style>
  <w:style w:type="character" w:customStyle="1" w:styleId="34">
    <w:name w:val="font71"/>
    <w:basedOn w:val="21"/>
    <w:qFormat/>
    <w:uiPriority w:val="0"/>
    <w:rPr>
      <w:rFonts w:hint="eastAsia" w:ascii="仿宋" w:hAnsi="仿宋" w:eastAsia="仿宋" w:cs="仿宋"/>
      <w:b/>
      <w:color w:val="000000"/>
      <w:sz w:val="24"/>
      <w:szCs w:val="24"/>
      <w:u w:val="none"/>
    </w:rPr>
  </w:style>
  <w:style w:type="character" w:customStyle="1" w:styleId="35">
    <w:name w:val="font51"/>
    <w:basedOn w:val="21"/>
    <w:qFormat/>
    <w:uiPriority w:val="0"/>
    <w:rPr>
      <w:rFonts w:hint="eastAsia" w:ascii="仿宋" w:hAnsi="仿宋" w:eastAsia="仿宋" w:cs="仿宋"/>
      <w:color w:val="000000"/>
      <w:sz w:val="24"/>
      <w:szCs w:val="24"/>
      <w:u w:val="none"/>
    </w:rPr>
  </w:style>
  <w:style w:type="character" w:customStyle="1" w:styleId="36">
    <w:name w:val="font31"/>
    <w:basedOn w:val="21"/>
    <w:qFormat/>
    <w:uiPriority w:val="0"/>
    <w:rPr>
      <w:rFonts w:hint="eastAsia" w:ascii="宋体" w:hAnsi="宋体" w:eastAsia="宋体" w:cs="宋体"/>
      <w:b/>
      <w:color w:val="000000"/>
      <w:sz w:val="22"/>
      <w:szCs w:val="22"/>
      <w:u w:val="none"/>
    </w:rPr>
  </w:style>
  <w:style w:type="character" w:customStyle="1" w:styleId="37">
    <w:name w:val="font21"/>
    <w:basedOn w:val="21"/>
    <w:qFormat/>
    <w:uiPriority w:val="0"/>
    <w:rPr>
      <w:rFonts w:hint="eastAsia" w:ascii="宋体" w:hAnsi="宋体" w:eastAsia="宋体" w:cs="宋体"/>
      <w:color w:val="000000"/>
      <w:sz w:val="20"/>
      <w:szCs w:val="20"/>
      <w:u w:val="none"/>
    </w:rPr>
  </w:style>
  <w:style w:type="character" w:customStyle="1" w:styleId="38">
    <w:name w:val="font41"/>
    <w:basedOn w:val="21"/>
    <w:qFormat/>
    <w:uiPriority w:val="0"/>
    <w:rPr>
      <w:rFonts w:hint="default" w:ascii="Times New Roman" w:hAnsi="Times New Roman" w:cs="Times New Roman"/>
      <w:b/>
      <w:color w:val="000000"/>
      <w:sz w:val="20"/>
      <w:szCs w:val="20"/>
      <w:u w:val="none"/>
    </w:rPr>
  </w:style>
  <w:style w:type="paragraph" w:customStyle="1" w:styleId="39">
    <w:name w:val="WPSOffice手动目录 1"/>
    <w:qFormat/>
    <w:uiPriority w:val="0"/>
    <w:rPr>
      <w:rFonts w:ascii="Times New Roman" w:hAnsi="Times New Roman" w:eastAsia="宋体" w:cs="Times New Roman"/>
      <w:lang w:val="en-US" w:eastAsia="zh-CN" w:bidi="ar-SA"/>
    </w:rPr>
  </w:style>
  <w:style w:type="paragraph" w:customStyle="1" w:styleId="40">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41">
    <w:name w:val="表格"/>
    <w:basedOn w:val="1"/>
    <w:qFormat/>
    <w:uiPriority w:val="0"/>
    <w:rPr>
      <w:rFonts w:hint="eastAsia"/>
      <w:kern w:val="0"/>
      <w:sz w:val="24"/>
      <w:szCs w:val="20"/>
    </w:rPr>
  </w:style>
  <w:style w:type="paragraph" w:customStyle="1" w:styleId="42">
    <w:name w:val="页眉或页脚 (2)"/>
    <w:basedOn w:val="1"/>
    <w:qFormat/>
    <w:uiPriority w:val="0"/>
    <w:rPr>
      <w:rFonts w:eastAsia="Times New Roman" w:cs="Times New Roman"/>
      <w:sz w:val="20"/>
      <w:szCs w:val="20"/>
      <w:lang w:val="zh-CN" w:bidi="zh-CN"/>
    </w:rPr>
  </w:style>
  <w:style w:type="character" w:customStyle="1" w:styleId="43">
    <w:name w:val="标题 字符"/>
    <w:basedOn w:val="21"/>
    <w:link w:val="18"/>
    <w:qFormat/>
    <w:uiPriority w:val="0"/>
    <w:rPr>
      <w:rFonts w:ascii="等线 Light" w:hAnsi="等线 Light" w:eastAsia="等线 Light" w:cs="Times New Roman"/>
      <w:b/>
      <w:bCs/>
      <w:kern w:val="2"/>
      <w:sz w:val="32"/>
      <w:szCs w:val="32"/>
    </w:rPr>
  </w:style>
  <w:style w:type="character" w:customStyle="1" w:styleId="44">
    <w:name w:val="正文文本缩进 字符"/>
    <w:basedOn w:val="21"/>
    <w:link w:val="8"/>
    <w:qFormat/>
    <w:uiPriority w:val="0"/>
    <w:rPr>
      <w:kern w:val="2"/>
      <w:sz w:val="32"/>
      <w:szCs w:val="24"/>
    </w:rPr>
  </w:style>
  <w:style w:type="paragraph" w:customStyle="1" w:styleId="45">
    <w:name w:val="修订1"/>
    <w:hidden/>
    <w:semiHidden/>
    <w:qFormat/>
    <w:uiPriority w:val="99"/>
    <w:rPr>
      <w:rFonts w:ascii="Times New Roman" w:hAnsi="Times New Roman" w:eastAsia="仿宋_GB2312" w:cstheme="minorBidi"/>
      <w:kern w:val="2"/>
      <w:sz w:val="28"/>
      <w:szCs w:val="22"/>
      <w:lang w:val="en-US" w:eastAsia="zh-CN" w:bidi="ar-SA"/>
    </w:rPr>
  </w:style>
  <w:style w:type="paragraph" w:customStyle="1" w:styleId="46">
    <w:name w:val="Revision"/>
    <w:hidden/>
    <w:unhideWhenUsed/>
    <w:qFormat/>
    <w:uiPriority w:val="99"/>
    <w:rPr>
      <w:rFonts w:ascii="Times New Roman" w:hAnsi="Times New Roman" w:eastAsia="仿宋_GB2312" w:cstheme="minorBidi"/>
      <w:kern w:val="2"/>
      <w:sz w:val="28"/>
      <w:szCs w:val="22"/>
      <w:lang w:val="en-US" w:eastAsia="zh-CN" w:bidi="ar-SA"/>
    </w:rPr>
  </w:style>
  <w:style w:type="character" w:customStyle="1" w:styleId="47">
    <w:name w:val="15"/>
    <w:basedOn w:val="21"/>
    <w:qFormat/>
    <w:uiPriority w:val="0"/>
    <w:rPr>
      <w:rFonts w:hint="default" w:ascii="Times New Roman" w:hAnsi="Times New Roman" w:cs="Times New Roman"/>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ontractReview xmlns="http://schemas.wps.cn/vas-ai-hub/contract-review">
  <reviewItems>
    <reviewItem>
      <errorID>bd27aa2c-a5bc-4305-b935-c6c1f6977ab0</errorID>
      <errorWord>量服</errorWord>
      <group>L1_Word</group>
      <groupName>字词问题</groupName>
      <ability>L2_Typo</ability>
      <abilityName>字词错误</abilityName>
      <candidateList>
        <item>两服</item>
      </candidateList>
      <explain/>
      <paraID>7CDD8E08</paraID>
      <start>63</start>
      <end>65</end>
      <status>modified</status>
      <modifiedWord>两服</modifiedWord>
      <trackRevisions>false</trackRevisions>
    </reviewItem>
    <reviewItem>
      <errorID>75fcd955-13b0-44d2-a420-3918113dbb2f</errorID>
      <errorWord>的</errorWord>
      <group>L1_Word</group>
      <groupName>字词问题</groupName>
      <ability>L2_DDD</ability>
      <abilityName>的地得用法</abilityName>
      <candidateList>
        <item>地</item>
      </candidateList>
      <explain>“地”常用于连接修饰语与动词性中心语，表示动作的方式、状态或程度。</explain>
      <paraID>38A38622</paraID>
      <start>42</start>
      <end>43</end>
      <status>modified</status>
      <modifiedWord>地</modifiedWord>
      <trackRevisions>false</trackRevisions>
    </reviewItem>
    <reviewItem>
      <errorID>c90a0ff5-96f0-4870-855b-a845895f5b83</errorID>
      <errorWord>，通过</errorWord>
      <group>L1_AI</group>
      <groupName>深度校对</groupName>
      <ability>L2_AI_Grammar</ability>
      <abilityName>语法纠错</abilityName>
      <candidateList>
        <item>，</item>
      </candidateList>
      <explain/>
      <paraID>38EC8196</paraID>
      <start>11</start>
      <end>12</end>
      <status>modified</status>
      <modifiedWord>，</modifiedWord>
      <trackRevisions>false</trackRevisions>
    </reviewItem>
    <reviewItem>
      <errorID>b3ac0761-c774-492b-a9bc-107595358b85</errorID>
      <errorWord>全面实施</errorWord>
      <group>L1_AI</group>
      <groupName>深度校对</groupName>
      <ability>L2_AI_Grammar</ability>
      <abilityName>语法纠错</abilityName>
      <candidateList>
        <item>推进</item>
      </candidateList>
      <explain>〈动〉❶推动工作，使前进：把学科的研究～到一个新阶段。❷（战线或作战的军队）向前进：主力正向前沿阵地～。</explain>
      <paraID>3974C46A</paraID>
      <start>104</start>
      <end>106</end>
      <status>modified</status>
      <modifiedWord>推进</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04e8629-d9ad-48c5-bf55-295ae76594b4}">
  <ds:schemaRefs/>
</ds:datastoreItem>
</file>

<file path=docProps/app.xml><?xml version="1.0" encoding="utf-8"?>
<Properties xmlns="http://schemas.openxmlformats.org/officeDocument/2006/extended-properties" xmlns:vt="http://schemas.openxmlformats.org/officeDocument/2006/docPropsVTypes">
  <Company>Microsoft</Company>
  <Pages>15</Pages>
  <Words>6717</Words>
  <Characters>7510</Characters>
  <Lines>1</Lines>
  <Paragraphs>1</Paragraphs>
  <TotalTime>3</TotalTime>
  <ScaleCrop>false</ScaleCrop>
  <LinksUpToDate>false</LinksUpToDate>
  <CharactersWithSpaces>7558</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2020-04-11T15:49:00Z</dcterms:created>
  <dc:creator>ZC</dc:creator>
  <cp:lastModifiedBy>Administrator</cp:lastModifiedBy>
  <cp:lastPrinted>2024-11-08T07:16:00Z</cp:lastPrinted>
  <dcterms:modified xsi:type="dcterms:W3CDTF">2025-12-11T02:55:41Z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0323C17550B84971857CA4630E76FAC8</vt:lpwstr>
  </property>
  <property fmtid="{D5CDD505-2E9C-101B-9397-08002B2CF9AE}" pid="4" name="KSOTemplateDocerSaveRecord">
    <vt:lpwstr>eyJoZGlkIjoiMzlkMzQ2Y2I1ODA5MzZkNzZhYmIyNGZlZjQwYWNlNDMiLCJ1c2VySWQiOiIyNTYxODExOTYifQ==</vt:lpwstr>
  </property>
</Properties>
</file>