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bookmarkStart w:id="0" w:name="_Toc29524"/>
      <w:bookmarkStart w:id="1" w:name="_Toc22314"/>
      <w:bookmarkStart w:id="2"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46CA24ED">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41EC98CE">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69BFD481">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340040DA">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6DD2394">
      <w:pPr>
        <w:spacing w:line="600" w:lineRule="exact"/>
        <w:ind w:firstLine="0" w:firstLineChars="0"/>
        <w:jc w:val="center"/>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泸财绩〔2025〕</w:t>
      </w:r>
      <w:r>
        <w:rPr>
          <w:rFonts w:hint="default" w:ascii="Times New Roman" w:hAnsi="Times New Roman" w:cs="Times New Roman"/>
          <w:sz w:val="32"/>
          <w:szCs w:val="32"/>
          <w:highlight w:val="none"/>
          <w:lang w:val="en-US" w:eastAsia="zh-CN"/>
        </w:rPr>
        <w:t>53</w:t>
      </w:r>
      <w:r>
        <w:rPr>
          <w:rFonts w:hint="default" w:ascii="Times New Roman" w:hAnsi="Times New Roman" w:cs="Times New Roman"/>
          <w:sz w:val="32"/>
          <w:szCs w:val="32"/>
          <w:highlight w:val="none"/>
        </w:rPr>
        <w:t>号</w:t>
      </w:r>
    </w:p>
    <w:p w14:paraId="50EE9FC5">
      <w:pPr>
        <w:keepNext w:val="0"/>
        <w:keepLines w:val="0"/>
        <w:pageBreakBefore w:val="0"/>
        <w:widowControl/>
        <w:kinsoku/>
        <w:wordWrap/>
        <w:overflowPunct/>
        <w:topLinePunct w:val="0"/>
        <w:autoSpaceDE/>
        <w:autoSpaceDN/>
        <w:bidi w:val="0"/>
        <w:spacing w:line="600" w:lineRule="exact"/>
        <w:ind w:left="0" w:firstLine="0" w:firstLineChars="0"/>
        <w:jc w:val="center"/>
        <w:rPr>
          <w:rFonts w:hint="default" w:ascii="Times New Roman" w:hAnsi="Times New Roman" w:eastAsia="仿宋" w:cs="Times New Roman"/>
          <w:color w:val="333333"/>
          <w:kern w:val="0"/>
          <w:sz w:val="32"/>
          <w:szCs w:val="32"/>
          <w:highlight w:val="none"/>
        </w:rPr>
      </w:pPr>
    </w:p>
    <w:p w14:paraId="14DBB894">
      <w:pPr>
        <w:pStyle w:val="11"/>
        <w:keepNext w:val="0"/>
        <w:keepLines w:val="0"/>
        <w:pageBreakBefore w:val="0"/>
        <w:kinsoku/>
        <w:wordWrap/>
        <w:overflowPunct/>
        <w:topLinePunct w:val="0"/>
        <w:autoSpaceDE/>
        <w:autoSpaceDN/>
        <w:bidi w:val="0"/>
        <w:spacing w:line="600" w:lineRule="exact"/>
        <w:ind w:left="0" w:firstLine="0" w:firstLineChars="0"/>
        <w:jc w:val="center"/>
        <w:outlineLvl w:val="9"/>
        <w:rPr>
          <w:rFonts w:hint="default" w:ascii="Times New Roman" w:hAnsi="Times New Roman" w:eastAsia="仿宋" w:cs="Times New Roman"/>
          <w:color w:val="333333"/>
          <w:kern w:val="0"/>
          <w:sz w:val="32"/>
          <w:szCs w:val="32"/>
          <w:highlight w:val="none"/>
        </w:rPr>
      </w:pPr>
    </w:p>
    <w:p w14:paraId="7DB731CE">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lang w:eastAsia="zh-CN"/>
        </w:rPr>
      </w:pPr>
      <w:bookmarkStart w:id="3" w:name="_Toc27398"/>
      <w:r>
        <w:rPr>
          <w:rFonts w:hint="eastAsia" w:ascii="方正小标宋简体" w:hAnsi="方正小标宋简体" w:eastAsia="方正小标宋简体" w:cs="方正小标宋简体"/>
          <w:color w:val="auto"/>
          <w:sz w:val="44"/>
          <w:szCs w:val="44"/>
          <w:highlight w:val="none"/>
          <w:lang w:eastAsia="zh-CN"/>
        </w:rPr>
        <w:t>泸定县融媒体中心</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lang w:eastAsia="zh"/>
        </w:rPr>
        <w:t>202</w:t>
      </w:r>
      <w:r>
        <w:rPr>
          <w:rFonts w:hint="eastAsia" w:ascii="方正小标宋简体" w:hAnsi="方正小标宋简体" w:eastAsia="方正小标宋简体" w:cs="方正小标宋简体"/>
          <w:color w:val="auto"/>
          <w:sz w:val="44"/>
          <w:szCs w:val="44"/>
          <w:highlight w:val="none"/>
          <w:lang w:val="en-US" w:eastAsia="zh-CN"/>
        </w:rPr>
        <w:t>4</w:t>
      </w:r>
      <w:r>
        <w:rPr>
          <w:rFonts w:hint="eastAsia" w:ascii="方正小标宋简体" w:hAnsi="方正小标宋简体" w:eastAsia="方正小标宋简体" w:cs="方正小标宋简体"/>
          <w:color w:val="auto"/>
          <w:sz w:val="44"/>
          <w:szCs w:val="44"/>
          <w:highlight w:val="none"/>
        </w:rPr>
        <w:t>年部门整体支出绩效评价报告</w:t>
      </w:r>
      <w:bookmarkEnd w:id="0"/>
      <w:bookmarkEnd w:id="1"/>
      <w:bookmarkEnd w:id="3"/>
    </w:p>
    <w:p w14:paraId="394EE5A3">
      <w:pPr>
        <w:pStyle w:val="9"/>
        <w:keepNext w:val="0"/>
        <w:keepLines w:val="0"/>
        <w:pageBreakBefore w:val="0"/>
        <w:kinsoku/>
        <w:wordWrap/>
        <w:overflowPunct/>
        <w:topLinePunct w:val="0"/>
        <w:autoSpaceDE/>
        <w:autoSpaceDN/>
        <w:bidi w:val="0"/>
        <w:spacing w:after="0" w:line="600" w:lineRule="exact"/>
        <w:ind w:left="0" w:firstLine="560"/>
        <w:rPr>
          <w:rFonts w:hint="default" w:ascii="Times New Roman" w:hAnsi="Times New Roman" w:eastAsia="仿宋" w:cs="Times New Roman"/>
          <w:color w:val="auto"/>
          <w:sz w:val="32"/>
          <w:szCs w:val="32"/>
          <w:highlight w:val="none"/>
          <w:lang w:val="fr-FR"/>
        </w:rPr>
      </w:pPr>
    </w:p>
    <w:p w14:paraId="3C40F7C9">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textAlignment w:val="auto"/>
        <w:rPr>
          <w:rFonts w:hint="default" w:ascii="Times New Roman" w:hAnsi="Times New Roman" w:eastAsia="方正仿宋_GB2312" w:cs="Times New Roman"/>
          <w:color w:val="auto"/>
          <w:sz w:val="32"/>
          <w:szCs w:val="32"/>
          <w:highlight w:val="none"/>
          <w:lang w:val="fr-FR" w:eastAsia="zh-CN"/>
        </w:rPr>
      </w:pPr>
      <w:bookmarkStart w:id="4" w:name="_Toc26210"/>
      <w:bookmarkStart w:id="5" w:name="_Toc8938"/>
      <w:bookmarkStart w:id="6" w:name="_Toc6252"/>
      <w:r>
        <w:rPr>
          <w:rFonts w:hint="default" w:ascii="Times New Roman" w:hAnsi="Times New Roman" w:eastAsia="方正仿宋_GB2312" w:cs="Times New Roman"/>
          <w:color w:val="auto"/>
          <w:sz w:val="32"/>
          <w:szCs w:val="32"/>
          <w:highlight w:val="none"/>
          <w:lang w:val="fr-FR" w:eastAsia="zh-CN"/>
        </w:rPr>
        <w:t>泸定县融媒体中心：</w:t>
      </w:r>
    </w:p>
    <w:p w14:paraId="50FB6A3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fr-FR"/>
        </w:rPr>
      </w:pPr>
      <w:r>
        <w:rPr>
          <w:rFonts w:hint="default" w:ascii="Times New Roman" w:hAnsi="Times New Roman" w:eastAsia="方正仿宋_GB2312" w:cs="Times New Roman"/>
          <w:sz w:val="32"/>
          <w:szCs w:val="32"/>
          <w:highlight w:val="none"/>
        </w:rPr>
        <w:t>根据《泸定县财政局</w:t>
      </w:r>
      <w:r>
        <w:rPr>
          <w:rFonts w:hint="default" w:ascii="Times New Roman" w:hAnsi="Times New Roman" w:eastAsia="方正仿宋_GB2312" w:cs="Times New Roman"/>
          <w:sz w:val="32"/>
          <w:szCs w:val="32"/>
          <w:highlight w:val="none"/>
          <w:lang w:eastAsia="zh"/>
        </w:rPr>
        <w:t>关于开展202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年度部门整体绩效评价工作的通知</w:t>
      </w:r>
      <w:r>
        <w:rPr>
          <w:rFonts w:hint="default" w:ascii="Times New Roman" w:hAnsi="Times New Roman" w:eastAsia="方正仿宋_GB2312" w:cs="Times New Roman"/>
          <w:sz w:val="32"/>
          <w:szCs w:val="32"/>
          <w:highlight w:val="none"/>
        </w:rPr>
        <w:t>》（</w:t>
      </w:r>
      <w:r>
        <w:rPr>
          <w:rFonts w:hint="default" w:ascii="Times New Roman" w:hAnsi="Times New Roman" w:eastAsia="方正仿宋_GB2312" w:cs="Times New Roman"/>
          <w:sz w:val="32"/>
          <w:szCs w:val="32"/>
          <w:highlight w:val="none"/>
          <w:lang w:eastAsia="zh"/>
        </w:rPr>
        <w:t>泸财〔202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w:t>
      </w:r>
      <w:r>
        <w:rPr>
          <w:rFonts w:hint="default" w:ascii="Times New Roman" w:hAnsi="Times New Roman" w:eastAsia="方正仿宋_GB2312" w:cs="Times New Roman"/>
          <w:sz w:val="32"/>
          <w:szCs w:val="32"/>
          <w:highlight w:val="none"/>
        </w:rPr>
        <w:t>67</w:t>
      </w:r>
      <w:r>
        <w:rPr>
          <w:rFonts w:hint="default" w:ascii="Times New Roman" w:hAnsi="Times New Roman" w:eastAsia="方正仿宋_GB2312" w:cs="Times New Roman"/>
          <w:sz w:val="32"/>
          <w:szCs w:val="32"/>
          <w:highlight w:val="none"/>
          <w:lang w:eastAsia="zh"/>
        </w:rPr>
        <w:t>号</w:t>
      </w:r>
      <w:r>
        <w:rPr>
          <w:rFonts w:hint="default" w:ascii="Times New Roman" w:hAnsi="Times New Roman" w:eastAsia="方正仿宋_GB2312" w:cs="Times New Roman"/>
          <w:sz w:val="32"/>
          <w:szCs w:val="32"/>
          <w:highlight w:val="none"/>
        </w:rPr>
        <w:t>）要求，由我局工作人员和第三方机构专业人员组成绩效评价组，</w:t>
      </w:r>
      <w:r>
        <w:rPr>
          <w:rFonts w:hint="default" w:ascii="Times New Roman" w:hAnsi="Times New Roman" w:eastAsia="方正仿宋_GB2312" w:cs="Times New Roman"/>
          <w:color w:val="auto"/>
          <w:sz w:val="32"/>
          <w:szCs w:val="32"/>
          <w:highlight w:val="none"/>
          <w:lang w:val="fr-FR"/>
        </w:rPr>
        <w:t>对</w:t>
      </w:r>
      <w:r>
        <w:rPr>
          <w:rFonts w:hint="default" w:ascii="Times New Roman" w:hAnsi="Times New Roman" w:eastAsia="方正仿宋_GB2312" w:cs="Times New Roman"/>
          <w:color w:val="auto"/>
          <w:sz w:val="32"/>
          <w:szCs w:val="32"/>
          <w:highlight w:val="none"/>
          <w:lang w:val="fr-FR" w:eastAsia="zh-CN"/>
        </w:rPr>
        <w:t>泸定县融媒体中心</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年部门整体支出进行</w:t>
      </w:r>
      <w:r>
        <w:rPr>
          <w:rFonts w:hint="default" w:ascii="Times New Roman" w:hAnsi="Times New Roman" w:eastAsia="方正仿宋_GB2312" w:cs="Times New Roman"/>
          <w:color w:val="auto"/>
          <w:sz w:val="32"/>
          <w:szCs w:val="32"/>
          <w:highlight w:val="none"/>
          <w:lang w:val="fr-FR"/>
        </w:rPr>
        <w:t>绩效评价。</w:t>
      </w:r>
      <w:r>
        <w:rPr>
          <w:rFonts w:hint="default" w:ascii="Times New Roman" w:hAnsi="Times New Roman" w:eastAsia="方正仿宋_GB2312" w:cs="Times New Roman"/>
          <w:color w:val="auto"/>
          <w:sz w:val="32"/>
          <w:szCs w:val="32"/>
          <w:highlight w:val="none"/>
          <w:lang w:val="fr-FR" w:eastAsia="zh-CN"/>
        </w:rPr>
        <w:t>泸定县融媒体中心</w:t>
      </w:r>
      <w:r>
        <w:rPr>
          <w:rFonts w:hint="default" w:ascii="Times New Roman" w:hAnsi="Times New Roman" w:eastAsia="方正仿宋_GB2312" w:cs="Times New Roman"/>
          <w:color w:val="auto"/>
          <w:sz w:val="32"/>
          <w:szCs w:val="32"/>
          <w:highlight w:val="none"/>
          <w:lang w:val="fr-FR"/>
        </w:rPr>
        <w:t>对其提供的绩效评价相关资料的真实性、合法性和完整性负责；我们的责任是依据《中共中央 国务院关于全面实施预算绩效管理的意见》（中发〔2018〕34号）、《中共四川省委 四川省人民政府关于全面实施预算绩效管理的实施意见》（川委发〔201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〕8号）、《中共甘孜州委办公室 甘孜州人民政府办公室关于印发</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甘孜州全面实施预算绩效管理工作实施方案</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的通知》（甘委办〔201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〕120号）</w:t>
      </w:r>
      <w:r>
        <w:rPr>
          <w:rFonts w:hint="default" w:ascii="Times New Roman" w:hAnsi="Times New Roman" w:eastAsia="方正仿宋_GB2312" w:cs="Times New Roman"/>
          <w:color w:val="auto"/>
          <w:sz w:val="32"/>
          <w:szCs w:val="32"/>
          <w:highlight w:val="none"/>
          <w:lang w:val="en-US" w:eastAsia="zh-CN"/>
        </w:rPr>
        <w:t>文件的</w:t>
      </w:r>
      <w:r>
        <w:rPr>
          <w:rFonts w:hint="default" w:ascii="Times New Roman" w:hAnsi="Times New Roman" w:eastAsia="方正仿宋_GB2312" w:cs="Times New Roman"/>
          <w:color w:val="auto"/>
          <w:sz w:val="32"/>
          <w:szCs w:val="32"/>
          <w:highlight w:val="none"/>
          <w:lang w:val="fr-FR"/>
        </w:rPr>
        <w:t>要求，结合</w:t>
      </w:r>
      <w:r>
        <w:rPr>
          <w:rFonts w:hint="default" w:ascii="Times New Roman" w:hAnsi="Times New Roman" w:eastAsia="方正仿宋_GB2312" w:cs="Times New Roman"/>
          <w:color w:val="auto"/>
          <w:sz w:val="32"/>
          <w:szCs w:val="32"/>
          <w:highlight w:val="none"/>
          <w:lang w:val="fr-FR" w:eastAsia="zh-CN"/>
        </w:rPr>
        <w:t>泸定县融媒体中心</w:t>
      </w:r>
      <w:r>
        <w:rPr>
          <w:rFonts w:hint="default" w:ascii="Times New Roman" w:hAnsi="Times New Roman" w:eastAsia="方正仿宋_GB2312" w:cs="Times New Roman"/>
          <w:color w:val="auto"/>
          <w:sz w:val="32"/>
          <w:szCs w:val="32"/>
          <w:highlight w:val="none"/>
          <w:lang w:val="fr-FR"/>
        </w:rPr>
        <w:t>的实际情况，对</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w:t>
      </w:r>
      <w:r>
        <w:rPr>
          <w:rFonts w:hint="default" w:ascii="Times New Roman" w:hAnsi="Times New Roman" w:eastAsia="方正仿宋_GB2312" w:cs="Times New Roman"/>
          <w:color w:val="auto"/>
          <w:sz w:val="32"/>
          <w:szCs w:val="32"/>
          <w:highlight w:val="none"/>
          <w:lang w:val="fr-FR"/>
        </w:rPr>
        <w:t>进行绩效评价，并出具绩效评价报告，现将相关情况报告如下：</w:t>
      </w:r>
      <w:bookmarkEnd w:id="4"/>
      <w:bookmarkEnd w:id="5"/>
      <w:bookmarkEnd w:id="6"/>
      <w:bookmarkStart w:id="7" w:name="_Toc8555"/>
      <w:bookmarkStart w:id="8" w:name="_Toc12185"/>
      <w:bookmarkStart w:id="9" w:name="_Toc109483833"/>
    </w:p>
    <w:p w14:paraId="1CE7ED0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FFFFFF"/>
          <w:lang w:eastAsia="zh-CN"/>
        </w:rPr>
      </w:pPr>
      <w:bookmarkStart w:id="10" w:name="_Toc799907804"/>
      <w:bookmarkStart w:id="11" w:name="_Toc26009"/>
      <w:bookmarkStart w:id="12" w:name="_Toc27571"/>
      <w:bookmarkStart w:id="13" w:name="_Toc4351"/>
      <w:bookmarkStart w:id="14" w:name="_Toc15220"/>
      <w:bookmarkStart w:id="15" w:name="_Toc10147"/>
      <w:bookmarkStart w:id="16" w:name="_Toc12546"/>
      <w:bookmarkStart w:id="17" w:name="_Toc18579"/>
      <w:r>
        <w:rPr>
          <w:rFonts w:hint="default" w:ascii="Times New Roman" w:hAnsi="Times New Roman" w:eastAsia="方正黑体简体" w:cs="Times New Roman"/>
          <w:color w:val="auto"/>
          <w:kern w:val="0"/>
          <w:sz w:val="32"/>
          <w:szCs w:val="32"/>
          <w:highlight w:val="none"/>
          <w:shd w:val="clear" w:color="auto" w:fill="FFFFFF"/>
        </w:rPr>
        <w:t>一、</w:t>
      </w:r>
      <w:bookmarkEnd w:id="7"/>
      <w:bookmarkEnd w:id="8"/>
      <w:r>
        <w:rPr>
          <w:rFonts w:hint="default" w:ascii="Times New Roman" w:hAnsi="Times New Roman" w:eastAsia="方正黑体简体" w:cs="Times New Roman"/>
          <w:color w:val="auto"/>
          <w:kern w:val="0"/>
          <w:sz w:val="32"/>
          <w:szCs w:val="32"/>
          <w:highlight w:val="none"/>
          <w:shd w:val="clear" w:color="auto" w:fill="FFFFFF"/>
        </w:rPr>
        <w:t>部门</w:t>
      </w:r>
      <w:bookmarkEnd w:id="9"/>
      <w:bookmarkEnd w:id="10"/>
      <w:bookmarkEnd w:id="11"/>
      <w:bookmarkStart w:id="18" w:name="_Toc16549"/>
      <w:bookmarkStart w:id="19" w:name="_Toc30550"/>
      <w:bookmarkStart w:id="20" w:name="_Toc109483834"/>
      <w:r>
        <w:rPr>
          <w:rFonts w:hint="default" w:ascii="Times New Roman" w:hAnsi="Times New Roman" w:eastAsia="方正黑体简体" w:cs="Times New Roman"/>
          <w:color w:val="auto"/>
          <w:kern w:val="0"/>
          <w:sz w:val="32"/>
          <w:szCs w:val="32"/>
          <w:highlight w:val="none"/>
          <w:shd w:val="clear" w:color="auto" w:fill="FFFFFF"/>
          <w:lang w:val="en-US" w:eastAsia="zh-CN"/>
        </w:rPr>
        <w:t>概况</w:t>
      </w:r>
      <w:bookmarkEnd w:id="12"/>
      <w:bookmarkEnd w:id="13"/>
      <w:bookmarkEnd w:id="14"/>
      <w:bookmarkEnd w:id="15"/>
      <w:bookmarkEnd w:id="16"/>
      <w:bookmarkEnd w:id="17"/>
    </w:p>
    <w:p w14:paraId="20C6040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21" w:name="_Toc7513"/>
      <w:bookmarkStart w:id="22" w:name="_Toc419097264"/>
      <w:bookmarkStart w:id="23" w:name="_Toc18535"/>
      <w:bookmarkStart w:id="24" w:name="_Toc24161"/>
      <w:bookmarkStart w:id="25" w:name="_Toc11769"/>
      <w:bookmarkStart w:id="26" w:name="_Toc20865"/>
      <w:bookmarkStart w:id="27" w:name="_Toc2337"/>
      <w:bookmarkStart w:id="28" w:name="_Toc19098"/>
      <w:r>
        <w:rPr>
          <w:rFonts w:hint="default" w:ascii="Times New Roman" w:hAnsi="Times New Roman" w:eastAsia="方正楷体简体" w:cs="Times New Roman"/>
          <w:color w:val="auto"/>
          <w:kern w:val="2"/>
          <w:sz w:val="32"/>
          <w:szCs w:val="32"/>
          <w:highlight w:val="none"/>
          <w:shd w:val="clear"/>
          <w:lang w:val="zh-CN" w:eastAsia="zh-CN"/>
        </w:rPr>
        <w:t>（一）</w:t>
      </w:r>
      <w:bookmarkEnd w:id="18"/>
      <w:bookmarkEnd w:id="19"/>
      <w:bookmarkEnd w:id="20"/>
      <w:bookmarkEnd w:id="21"/>
      <w:bookmarkEnd w:id="22"/>
      <w:r>
        <w:rPr>
          <w:rFonts w:hint="default" w:ascii="Times New Roman" w:hAnsi="Times New Roman" w:eastAsia="方正楷体简体" w:cs="Times New Roman"/>
          <w:color w:val="auto"/>
          <w:kern w:val="2"/>
          <w:sz w:val="32"/>
          <w:szCs w:val="32"/>
          <w:highlight w:val="none"/>
          <w:shd w:val="clear"/>
          <w:lang w:val="zh-CN" w:eastAsia="zh-CN"/>
        </w:rPr>
        <w:t>部门基本情况</w:t>
      </w:r>
      <w:bookmarkEnd w:id="23"/>
      <w:bookmarkEnd w:id="24"/>
      <w:bookmarkEnd w:id="25"/>
      <w:bookmarkEnd w:id="26"/>
      <w:bookmarkEnd w:id="27"/>
      <w:bookmarkEnd w:id="28"/>
    </w:p>
    <w:p w14:paraId="05FA19E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fr-FR" w:eastAsia="zh-CN"/>
        </w:rPr>
      </w:pPr>
      <w:bookmarkStart w:id="29" w:name="_Toc109483835"/>
      <w:r>
        <w:rPr>
          <w:rFonts w:hint="default" w:ascii="Times New Roman" w:hAnsi="Times New Roman" w:eastAsia="方正仿宋_GB2312" w:cs="Times New Roman"/>
          <w:color w:val="auto"/>
          <w:sz w:val="32"/>
          <w:szCs w:val="32"/>
          <w:highlight w:val="none"/>
          <w:lang w:val="en-US" w:eastAsia="zh-CN"/>
        </w:rPr>
        <w:t>泸定县融媒体中心（以下简称县融媒体）</w:t>
      </w:r>
      <w:r>
        <w:rPr>
          <w:rFonts w:hint="default" w:ascii="Times New Roman" w:hAnsi="Times New Roman" w:eastAsia="方正仿宋_GB2312" w:cs="Times New Roman"/>
          <w:color w:val="auto"/>
          <w:sz w:val="32"/>
          <w:szCs w:val="32"/>
          <w:highlight w:val="none"/>
          <w:lang w:val="fr-FR" w:eastAsia="zh-CN"/>
        </w:rPr>
        <w:t>，属财政补助（收支统管、全额保障）的一级预算单位，机构性质：</w:t>
      </w:r>
      <w:r>
        <w:rPr>
          <w:rFonts w:hint="default" w:ascii="Times New Roman" w:hAnsi="Times New Roman" w:eastAsia="方正仿宋_GB2312" w:cs="Times New Roman"/>
          <w:color w:val="auto"/>
          <w:sz w:val="32"/>
          <w:szCs w:val="32"/>
          <w:highlight w:val="none"/>
          <w:lang w:val="en-US" w:eastAsia="zh-CN"/>
        </w:rPr>
        <w:t>公益一类</w:t>
      </w:r>
      <w:r>
        <w:rPr>
          <w:rFonts w:hint="default" w:ascii="Times New Roman" w:hAnsi="Times New Roman" w:eastAsia="方正仿宋_GB2312" w:cs="Times New Roman"/>
          <w:color w:val="auto"/>
          <w:sz w:val="32"/>
          <w:szCs w:val="32"/>
          <w:highlight w:val="none"/>
          <w:lang w:val="fr-FR" w:eastAsia="zh-CN"/>
        </w:rPr>
        <w:t>；单位负责人：</w:t>
      </w:r>
      <w:r>
        <w:rPr>
          <w:rFonts w:hint="default" w:ascii="Times New Roman" w:hAnsi="Times New Roman" w:eastAsia="方正仿宋_GB2312" w:cs="Times New Roman"/>
          <w:color w:val="auto"/>
          <w:sz w:val="32"/>
          <w:szCs w:val="32"/>
          <w:highlight w:val="none"/>
          <w:lang w:val="en-US" w:eastAsia="zh-CN"/>
        </w:rPr>
        <w:t>王志莉</w:t>
      </w:r>
      <w:r>
        <w:rPr>
          <w:rFonts w:hint="default" w:ascii="Times New Roman" w:hAnsi="Times New Roman" w:eastAsia="方正仿宋_GB2312" w:cs="Times New Roman"/>
          <w:color w:val="auto"/>
          <w:sz w:val="32"/>
          <w:szCs w:val="32"/>
          <w:highlight w:val="none"/>
          <w:lang w:val="fr-FR" w:eastAsia="zh-CN"/>
        </w:rPr>
        <w:t>；统一社会信用代码：</w:t>
      </w:r>
      <w:r>
        <w:rPr>
          <w:rFonts w:hint="default" w:ascii="Times New Roman" w:hAnsi="Times New Roman" w:eastAsia="方正仿宋_GB2312" w:cs="Times New Roman"/>
          <w:color w:val="auto"/>
          <w:sz w:val="32"/>
          <w:szCs w:val="32"/>
          <w:highlight w:val="none"/>
          <w:lang w:val="en-US" w:eastAsia="zh-CN"/>
        </w:rPr>
        <w:t>12513322452638136Y</w:t>
      </w:r>
      <w:r>
        <w:rPr>
          <w:rFonts w:hint="default" w:ascii="Times New Roman" w:hAnsi="Times New Roman" w:eastAsia="方正仿宋_GB2312" w:cs="Times New Roman"/>
          <w:color w:val="auto"/>
          <w:sz w:val="32"/>
          <w:szCs w:val="32"/>
          <w:highlight w:val="none"/>
          <w:lang w:val="fr-FR" w:eastAsia="zh-CN"/>
        </w:rPr>
        <w:t>；单位所在地：</w:t>
      </w:r>
      <w:r>
        <w:rPr>
          <w:rFonts w:hint="default" w:ascii="Times New Roman" w:hAnsi="Times New Roman" w:eastAsia="方正仿宋_GB2312" w:cs="Times New Roman"/>
          <w:color w:val="auto"/>
          <w:sz w:val="32"/>
          <w:szCs w:val="32"/>
          <w:highlight w:val="none"/>
          <w:lang w:val="en-US" w:eastAsia="zh-CN"/>
        </w:rPr>
        <w:t>四川省泸定县泸桥镇红军路294号</w:t>
      </w:r>
      <w:r>
        <w:rPr>
          <w:rFonts w:hint="default" w:ascii="Times New Roman" w:hAnsi="Times New Roman" w:eastAsia="方正仿宋_GB2312" w:cs="Times New Roman"/>
          <w:color w:val="auto"/>
          <w:sz w:val="32"/>
          <w:szCs w:val="32"/>
          <w:highlight w:val="none"/>
          <w:lang w:val="fr-FR" w:eastAsia="zh-CN"/>
        </w:rPr>
        <w:t>。</w:t>
      </w:r>
    </w:p>
    <w:p w14:paraId="5FA54FA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
        </w:rPr>
      </w:pPr>
      <w:bookmarkStart w:id="30" w:name="_Toc1278"/>
      <w:bookmarkStart w:id="31" w:name="_Toc31223"/>
      <w:bookmarkStart w:id="32" w:name="_Toc17750"/>
      <w:bookmarkStart w:id="33" w:name="_Toc16904"/>
      <w:bookmarkStart w:id="34" w:name="_Toc26703"/>
      <w:bookmarkStart w:id="35" w:name="_Toc28538"/>
      <w:r>
        <w:rPr>
          <w:rFonts w:hint="default" w:ascii="Times New Roman" w:hAnsi="Times New Roman" w:eastAsia="方正楷体简体" w:cs="Times New Roman"/>
          <w:color w:val="auto"/>
          <w:kern w:val="2"/>
          <w:sz w:val="32"/>
          <w:szCs w:val="32"/>
          <w:highlight w:val="none"/>
          <w:shd w:val="clear"/>
          <w:lang w:val="zh-CN" w:eastAsia="zh-CN"/>
        </w:rPr>
        <w:t>（二）部门</w:t>
      </w:r>
      <w:bookmarkEnd w:id="30"/>
      <w:bookmarkEnd w:id="31"/>
      <w:bookmarkEnd w:id="32"/>
      <w:r>
        <w:rPr>
          <w:rFonts w:hint="default" w:ascii="Times New Roman" w:hAnsi="Times New Roman" w:eastAsia="方正楷体简体" w:cs="Times New Roman"/>
          <w:color w:val="auto"/>
          <w:kern w:val="2"/>
          <w:sz w:val="32"/>
          <w:szCs w:val="32"/>
          <w:highlight w:val="none"/>
          <w:shd w:val="clear"/>
          <w:lang w:val="zh-CN" w:eastAsia="zh"/>
        </w:rPr>
        <w:t>内设机构及人员概况</w:t>
      </w:r>
      <w:bookmarkEnd w:id="33"/>
      <w:bookmarkEnd w:id="34"/>
      <w:bookmarkEnd w:id="35"/>
    </w:p>
    <w:p w14:paraId="2D14825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1.内设机构。泸定县融媒体中心为县委正科级公益一类事业单位，归口县委宣传部管理。内设机构6个，分别为：综合办公室、平台服务部、新闻采编部、总策划部、技术事业部、传媒信息部。</w:t>
      </w:r>
    </w:p>
    <w:p w14:paraId="0F18E9D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2.人员概况。泸定县融媒体中心核定事业编制35名。其中：管理人员3名、专业技术人员31名、工勤人员1名。核定领导职数：中心主任1名，副主任2名。截至2024年12月31日</w:t>
      </w:r>
      <w:r>
        <w:rPr>
          <w:rFonts w:hint="eastAsia" w:ascii="Times New Roman" w:hAnsi="Times New Roman" w:eastAsia="方正仿宋_GB2312" w:cs="Times New Roman"/>
          <w:color w:val="auto"/>
          <w:sz w:val="32"/>
          <w:szCs w:val="32"/>
          <w:highlight w:val="none"/>
          <w:lang w:val="en-US" w:eastAsia="zh-CN"/>
        </w:rPr>
        <w:t>，中心</w:t>
      </w:r>
      <w:r>
        <w:rPr>
          <w:rFonts w:hint="default" w:ascii="Times New Roman" w:hAnsi="Times New Roman" w:eastAsia="方正仿宋_GB2312" w:cs="Times New Roman"/>
          <w:color w:val="auto"/>
          <w:sz w:val="32"/>
          <w:szCs w:val="32"/>
          <w:highlight w:val="none"/>
          <w:lang w:val="en-US" w:eastAsia="zh-CN"/>
        </w:rPr>
        <w:t>实有人数32人，</w:t>
      </w:r>
      <w:r>
        <w:rPr>
          <w:rFonts w:hint="eastAsia" w:ascii="Times New Roman" w:hAnsi="Times New Roman" w:eastAsia="方正仿宋_GB2312" w:cs="Times New Roman"/>
          <w:color w:val="auto"/>
          <w:sz w:val="32"/>
          <w:szCs w:val="32"/>
          <w:highlight w:val="none"/>
          <w:lang w:val="en-US" w:eastAsia="zh-CN"/>
        </w:rPr>
        <w:t>其中事业</w:t>
      </w:r>
      <w:r>
        <w:rPr>
          <w:rFonts w:hint="default" w:ascii="Times New Roman" w:hAnsi="Times New Roman" w:eastAsia="方正仿宋_GB2312" w:cs="Times New Roman"/>
          <w:color w:val="auto"/>
          <w:sz w:val="32"/>
          <w:szCs w:val="32"/>
          <w:highlight w:val="none"/>
          <w:lang w:val="en-US" w:eastAsia="zh-CN"/>
        </w:rPr>
        <w:t>管理人员3人，事业工勤人员6人，专业技术人员22人。</w:t>
      </w:r>
      <w:bookmarkStart w:id="36" w:name="_Toc568184988"/>
      <w:bookmarkStart w:id="37" w:name="_Toc16978"/>
      <w:bookmarkStart w:id="38" w:name="_Toc21223"/>
      <w:bookmarkStart w:id="39" w:name="_Toc12241"/>
      <w:bookmarkStart w:id="40" w:name="_Toc22604"/>
      <w:bookmarkStart w:id="41" w:name="_Toc16740"/>
    </w:p>
    <w:p w14:paraId="2171EDF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zh-CN" w:eastAsia="zh-CN"/>
        </w:rPr>
        <w:t>三</w:t>
      </w:r>
      <w:r>
        <w:rPr>
          <w:rFonts w:hint="default" w:ascii="Times New Roman" w:hAnsi="Times New Roman" w:eastAsia="方正楷体简体" w:cs="Times New Roman"/>
          <w:color w:val="auto"/>
          <w:kern w:val="2"/>
          <w:sz w:val="32"/>
          <w:szCs w:val="32"/>
          <w:highlight w:val="none"/>
          <w:shd w:val="clear"/>
          <w:lang w:val="zh-CN"/>
        </w:rPr>
        <w:t>）</w:t>
      </w:r>
      <w:bookmarkEnd w:id="29"/>
      <w:bookmarkEnd w:id="36"/>
      <w:bookmarkEnd w:id="37"/>
      <w:r>
        <w:rPr>
          <w:rFonts w:hint="default" w:ascii="Times New Roman" w:hAnsi="Times New Roman" w:eastAsia="方正楷体简体" w:cs="Times New Roman"/>
          <w:color w:val="auto"/>
          <w:kern w:val="2"/>
          <w:sz w:val="32"/>
          <w:szCs w:val="32"/>
          <w:highlight w:val="none"/>
          <w:shd w:val="clear"/>
          <w:lang w:val="zh-CN" w:eastAsia="zh-CN"/>
        </w:rPr>
        <w:t>部门职能职责</w:t>
      </w:r>
      <w:bookmarkEnd w:id="38"/>
      <w:bookmarkEnd w:id="39"/>
      <w:bookmarkEnd w:id="40"/>
      <w:bookmarkEnd w:id="41"/>
    </w:p>
    <w:p w14:paraId="12639337">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42" w:name="_Toc1218480988"/>
      <w:bookmarkStart w:id="43" w:name="_Toc26564"/>
      <w:bookmarkStart w:id="44" w:name="_Toc16871"/>
      <w:bookmarkStart w:id="45" w:name="_Toc13707"/>
      <w:bookmarkStart w:id="46" w:name="_Toc5982"/>
      <w:bookmarkStart w:id="47" w:name="_Toc33"/>
      <w:bookmarkStart w:id="48" w:name="_Toc22594"/>
      <w:bookmarkStart w:id="49" w:name="_Toc14896"/>
      <w:bookmarkStart w:id="50" w:name="_Toc15163"/>
      <w:bookmarkStart w:id="51" w:name="_Toc109483836"/>
      <w:r>
        <w:rPr>
          <w:rFonts w:hint="default" w:ascii="Times New Roman" w:hAnsi="Times New Roman" w:eastAsia="方正仿宋_GB2312" w:cs="Times New Roman"/>
          <w:color w:val="auto"/>
          <w:sz w:val="32"/>
          <w:szCs w:val="32"/>
          <w:highlight w:val="none"/>
          <w:lang w:val="en-US" w:eastAsia="zh-CN"/>
        </w:rPr>
        <w:t>1.负责宣传党中央大政方针，宣传党的创新理论和社会主义核心价值观，宣传省州决策部署，宣传县委和政府的工作安排，传播泸定权威政经资讯；</w:t>
      </w:r>
    </w:p>
    <w:p w14:paraId="656DEBE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2.负责搭建网络互动交流平台，积极回应网民诉求， 将网民投诉、爆料、咨询等信息传递到有关部门；</w:t>
      </w:r>
    </w:p>
    <w:p w14:paraId="7A30876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3.负责开拓互联网综合信息服务功能，为群众提供政务服务、生活服务、社交传播、教育培训、电子商务等综合服务；</w:t>
      </w:r>
    </w:p>
    <w:p w14:paraId="157593B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4.负责配合县委宣传部搜集整理、分析研判本地舆情动态，建立负面舆情分级预警机制，为党委、政府决策提供参考；</w:t>
      </w:r>
    </w:p>
    <w:p w14:paraId="2049874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5.负责融媒体中心设备、设施运行维护；</w:t>
      </w:r>
    </w:p>
    <w:p w14:paraId="28BD151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6.负责做好安全播出工作；</w:t>
      </w:r>
    </w:p>
    <w:p w14:paraId="3BA3839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7.参与开展各类群众性文化、教育、科普、公益活动，参与开展各类商务、会展、节庆等活动，参与全县智慧政务、智慧城市建设。</w:t>
      </w:r>
    </w:p>
    <w:p w14:paraId="069C751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auto"/>
          <w:lang w:val="zh-CN"/>
        </w:rPr>
      </w:pPr>
      <w:r>
        <w:rPr>
          <w:rFonts w:hint="default" w:ascii="Times New Roman" w:hAnsi="Times New Roman" w:eastAsia="方正黑体简体" w:cs="Times New Roman"/>
          <w:color w:val="auto"/>
          <w:kern w:val="0"/>
          <w:sz w:val="32"/>
          <w:szCs w:val="32"/>
          <w:highlight w:val="none"/>
          <w:shd w:val="clear" w:color="auto" w:fill="auto"/>
          <w:lang w:val="zh-CN"/>
        </w:rPr>
        <w:t>二、</w:t>
      </w:r>
      <w:r>
        <w:rPr>
          <w:rFonts w:hint="default" w:ascii="Times New Roman" w:hAnsi="Times New Roman" w:eastAsia="方正黑体简体" w:cs="Times New Roman"/>
          <w:color w:val="auto"/>
          <w:kern w:val="0"/>
          <w:sz w:val="32"/>
          <w:szCs w:val="32"/>
          <w:highlight w:val="none"/>
          <w:shd w:val="clear" w:color="auto" w:fill="auto"/>
          <w:lang w:val="en-US" w:eastAsia="zh-CN"/>
        </w:rPr>
        <w:t>部门收支</w:t>
      </w:r>
      <w:r>
        <w:rPr>
          <w:rFonts w:hint="default" w:ascii="Times New Roman" w:hAnsi="Times New Roman" w:eastAsia="方正黑体简体" w:cs="Times New Roman"/>
          <w:color w:val="auto"/>
          <w:kern w:val="0"/>
          <w:sz w:val="32"/>
          <w:szCs w:val="32"/>
          <w:highlight w:val="none"/>
          <w:shd w:val="clear" w:color="auto" w:fill="auto"/>
          <w:lang w:val="zh-CN"/>
        </w:rPr>
        <w:t>情况</w:t>
      </w:r>
      <w:bookmarkEnd w:id="42"/>
      <w:bookmarkEnd w:id="43"/>
      <w:bookmarkEnd w:id="44"/>
      <w:bookmarkEnd w:id="45"/>
      <w:bookmarkEnd w:id="46"/>
      <w:bookmarkEnd w:id="47"/>
      <w:bookmarkEnd w:id="48"/>
      <w:bookmarkEnd w:id="49"/>
      <w:bookmarkEnd w:id="50"/>
      <w:bookmarkEnd w:id="51"/>
      <w:bookmarkStart w:id="52" w:name="_Toc109483837"/>
      <w:bookmarkStart w:id="53" w:name="_Toc2659"/>
    </w:p>
    <w:bookmarkEnd w:id="52"/>
    <w:bookmarkEnd w:id="53"/>
    <w:p w14:paraId="24BA0DD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color="auto" w:fill="auto"/>
          <w:lang w:val="zh-CN"/>
        </w:rPr>
      </w:pPr>
      <w:bookmarkStart w:id="54" w:name="_Toc15898"/>
      <w:bookmarkStart w:id="55" w:name="_Toc29180"/>
      <w:bookmarkStart w:id="56" w:name="_Toc2374"/>
      <w:bookmarkStart w:id="57" w:name="_Toc11105"/>
      <w:bookmarkStart w:id="58" w:name="_Toc21428"/>
      <w:bookmarkStart w:id="59" w:name="_Toc25866"/>
      <w:bookmarkStart w:id="60" w:name="_Toc32369"/>
      <w:bookmarkStart w:id="61" w:name="_Toc1949541301"/>
      <w:r>
        <w:rPr>
          <w:rFonts w:hint="default" w:ascii="Times New Roman" w:hAnsi="Times New Roman" w:eastAsia="方正楷体简体" w:cs="Times New Roman"/>
          <w:color w:val="auto"/>
          <w:kern w:val="2"/>
          <w:sz w:val="32"/>
          <w:szCs w:val="32"/>
          <w:highlight w:val="none"/>
          <w:shd w:val="clear" w:color="auto" w:fill="auto"/>
          <w:lang w:val="zh-CN"/>
        </w:rPr>
        <w:t>（</w:t>
      </w:r>
      <w:r>
        <w:rPr>
          <w:rFonts w:hint="default" w:ascii="Times New Roman" w:hAnsi="Times New Roman" w:eastAsia="方正楷体简体" w:cs="Times New Roman"/>
          <w:color w:val="auto"/>
          <w:kern w:val="2"/>
          <w:sz w:val="32"/>
          <w:szCs w:val="32"/>
          <w:highlight w:val="none"/>
          <w:shd w:val="clear" w:color="auto" w:fill="auto"/>
          <w:lang w:val="fr-FR"/>
        </w:rPr>
        <w:t>一</w:t>
      </w:r>
      <w:r>
        <w:rPr>
          <w:rFonts w:hint="default" w:ascii="Times New Roman" w:hAnsi="Times New Roman" w:eastAsia="方正楷体简体" w:cs="Times New Roman"/>
          <w:color w:val="auto"/>
          <w:kern w:val="2"/>
          <w:sz w:val="32"/>
          <w:szCs w:val="32"/>
          <w:highlight w:val="none"/>
          <w:shd w:val="clear" w:color="auto" w:fill="auto"/>
          <w:lang w:val="zh-CN"/>
        </w:rPr>
        <w:t>）收入情况</w:t>
      </w:r>
      <w:bookmarkEnd w:id="54"/>
      <w:bookmarkEnd w:id="55"/>
      <w:bookmarkEnd w:id="56"/>
      <w:bookmarkEnd w:id="57"/>
      <w:bookmarkEnd w:id="58"/>
      <w:bookmarkEnd w:id="59"/>
      <w:bookmarkEnd w:id="60"/>
      <w:bookmarkEnd w:id="61"/>
      <w:bookmarkStart w:id="62" w:name="_Toc19132"/>
    </w:p>
    <w:bookmarkEnd w:id="62"/>
    <w:p w14:paraId="3B37BEF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63" w:name="_Toc109483838"/>
      <w:bookmarkStart w:id="64" w:name="_Toc27782"/>
      <w:bookmarkStart w:id="65" w:name="_Toc349786989"/>
      <w:bookmarkStart w:id="66" w:name="_Toc17751"/>
      <w:bookmarkStart w:id="67" w:name="_Toc19326"/>
      <w:bookmarkStart w:id="68" w:name="_Toc27073"/>
      <w:bookmarkStart w:id="69" w:name="_Toc21171"/>
      <w:r>
        <w:rPr>
          <w:rFonts w:hint="default" w:ascii="Times New Roman" w:hAnsi="Times New Roman" w:eastAsia="方正仿宋_GB2312" w:cs="Times New Roman"/>
          <w:color w:val="auto"/>
          <w:sz w:val="32"/>
          <w:szCs w:val="32"/>
          <w:highlight w:val="none"/>
          <w:lang w:val="en-US" w:eastAsia="zh-CN"/>
        </w:rPr>
        <w:t>年初预算反映，县融媒体2024年预算收入合计700.72万元，上年结转结余0.00万元，无预算调整。本年收入700.72万元，全部为一般公共预算财政拨款收入。</w:t>
      </w:r>
    </w:p>
    <w:p w14:paraId="0FB3ADF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
        </w:rPr>
      </w:pPr>
      <w:r>
        <w:rPr>
          <w:rFonts w:hint="default" w:ascii="Times New Roman" w:hAnsi="Times New Roman" w:eastAsia="方正仿宋_GB2312" w:cs="Times New Roman"/>
          <w:color w:val="auto"/>
          <w:sz w:val="32"/>
          <w:szCs w:val="32"/>
          <w:highlight w:val="none"/>
          <w:lang w:val="en-US" w:eastAsia="zh-CN"/>
        </w:rPr>
        <w:t>决算报表反映，县融媒体2024年决算收入合计888.59万元，其中：本年收入888.59万元，年初结转和结余0.00万元。</w:t>
      </w:r>
    </w:p>
    <w:p w14:paraId="53A3587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rPr>
      </w:pPr>
      <w:bookmarkStart w:id="70" w:name="_Toc16309"/>
      <w:bookmarkStart w:id="71" w:name="_Toc15130"/>
      <w:bookmarkStart w:id="72" w:name="_Toc30600"/>
      <w:r>
        <w:rPr>
          <w:rFonts w:hint="default" w:ascii="Times New Roman" w:hAnsi="Times New Roman" w:eastAsia="方正楷体简体" w:cs="Times New Roman"/>
          <w:color w:val="auto"/>
          <w:kern w:val="2"/>
          <w:sz w:val="32"/>
          <w:szCs w:val="32"/>
          <w:highlight w:val="none"/>
          <w:shd w:val="clear"/>
          <w:lang w:val="zh-CN"/>
        </w:rPr>
        <w:t>（二）支出情况</w:t>
      </w:r>
      <w:bookmarkEnd w:id="63"/>
      <w:bookmarkEnd w:id="64"/>
      <w:bookmarkEnd w:id="65"/>
      <w:bookmarkEnd w:id="66"/>
      <w:bookmarkEnd w:id="67"/>
      <w:bookmarkEnd w:id="68"/>
      <w:bookmarkEnd w:id="69"/>
      <w:bookmarkEnd w:id="70"/>
      <w:bookmarkEnd w:id="71"/>
      <w:bookmarkEnd w:id="72"/>
    </w:p>
    <w:p w14:paraId="7151196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73" w:name="_Toc24721"/>
      <w:bookmarkStart w:id="74" w:name="_Toc10837"/>
      <w:bookmarkStart w:id="75" w:name="_Toc18390"/>
      <w:bookmarkStart w:id="76" w:name="_Toc109483839"/>
      <w:bookmarkStart w:id="77" w:name="_Toc1457008154"/>
      <w:bookmarkStart w:id="78" w:name="_Toc809"/>
      <w:bookmarkStart w:id="79" w:name="_Toc13841"/>
      <w:r>
        <w:rPr>
          <w:rFonts w:hint="default" w:ascii="Times New Roman" w:hAnsi="Times New Roman" w:eastAsia="方正仿宋_GB2312" w:cs="Times New Roman"/>
          <w:color w:val="auto"/>
          <w:sz w:val="32"/>
          <w:szCs w:val="32"/>
          <w:highlight w:val="none"/>
          <w:lang w:val="en-US" w:eastAsia="zh-CN"/>
        </w:rPr>
        <w:t>年初预算反映，县融媒体2024年预算支出合计700.72万元，无年末结转和结余。本年支出中：基本支出566.72万元（人员经费524.72万元、公用经费42.00万元），项目支出134.00万元。</w:t>
      </w:r>
    </w:p>
    <w:p w14:paraId="1F52F881">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决算报表反映，县融媒体2024年决算支出合计888.59万元，均为本年支出，无年末结转和结余。本年支出中：基本支出629.84万元（人员经费587.97万元、公用经费41.87万元），项目支出258.74万元。</w:t>
      </w:r>
    </w:p>
    <w:p w14:paraId="03B600DB">
      <w:pPr>
        <w:keepNext w:val="0"/>
        <w:keepLines w:val="0"/>
        <w:pageBreakBefore w:val="0"/>
        <w:widowControl w:val="0"/>
        <w:kinsoku/>
        <w:wordWrap/>
        <w:overflowPunct/>
        <w:topLinePunct w:val="0"/>
        <w:bidi w:val="0"/>
        <w:spacing w:line="560" w:lineRule="exact"/>
        <w:ind w:firstLine="640" w:firstLineChars="200"/>
        <w:textAlignment w:val="auto"/>
        <w:rPr>
          <w:rFonts w:hint="default" w:ascii="Times New Roman" w:hAnsi="Times New Roman" w:eastAsia="方正楷体简体" w:cs="Times New Roman"/>
          <w:color w:val="auto"/>
          <w:sz w:val="32"/>
          <w:szCs w:val="32"/>
          <w:highlight w:val="none"/>
          <w:lang w:val="zh-CN" w:eastAsia="zh-CN"/>
        </w:rPr>
      </w:pPr>
      <w:r>
        <w:rPr>
          <w:rFonts w:hint="default" w:ascii="Times New Roman" w:hAnsi="Times New Roman" w:eastAsia="方正楷体简体" w:cs="Times New Roman"/>
          <w:color w:val="auto"/>
          <w:sz w:val="32"/>
          <w:szCs w:val="32"/>
          <w:highlight w:val="none"/>
          <w:lang w:val="zh-CN" w:eastAsia="zh-CN"/>
        </w:rPr>
        <w:t>（三）结余分配和结转结余情况</w:t>
      </w:r>
    </w:p>
    <w:p w14:paraId="2889119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决算报表反映，2024年县融媒体年末无结余分配，无年末结转结余。</w:t>
      </w:r>
    </w:p>
    <w:p w14:paraId="4BC19A9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FFFFFF"/>
          <w:lang w:val="en-US" w:eastAsia="zh-CN"/>
        </w:rPr>
      </w:pPr>
      <w:bookmarkStart w:id="80" w:name="_Toc7705"/>
      <w:bookmarkStart w:id="81" w:name="_Toc16353"/>
      <w:bookmarkStart w:id="82" w:name="_Toc10974"/>
      <w:r>
        <w:rPr>
          <w:rFonts w:hint="default" w:ascii="Times New Roman" w:hAnsi="Times New Roman" w:eastAsia="方正黑体简体" w:cs="Times New Roman"/>
          <w:color w:val="auto"/>
          <w:kern w:val="0"/>
          <w:sz w:val="32"/>
          <w:szCs w:val="32"/>
          <w:highlight w:val="none"/>
          <w:shd w:val="clear" w:color="auto" w:fill="FFFFFF"/>
        </w:rPr>
        <w:t>三、</w:t>
      </w:r>
      <w:r>
        <w:rPr>
          <w:rFonts w:hint="default" w:ascii="Times New Roman" w:hAnsi="Times New Roman" w:eastAsia="方正黑体简体" w:cs="Times New Roman"/>
          <w:color w:val="auto"/>
          <w:kern w:val="0"/>
          <w:sz w:val="32"/>
          <w:szCs w:val="32"/>
          <w:highlight w:val="none"/>
          <w:shd w:val="clear" w:color="auto" w:fill="FFFFFF"/>
          <w:lang w:val="en-US" w:eastAsia="zh-CN"/>
        </w:rPr>
        <w:t>部门目标实现情况</w:t>
      </w:r>
      <w:bookmarkEnd w:id="73"/>
      <w:bookmarkEnd w:id="74"/>
      <w:bookmarkEnd w:id="75"/>
      <w:bookmarkEnd w:id="80"/>
      <w:bookmarkEnd w:id="81"/>
      <w:bookmarkEnd w:id="82"/>
    </w:p>
    <w:p w14:paraId="5552689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83" w:name="_Toc22633"/>
      <w:bookmarkStart w:id="84" w:name="_Toc19300"/>
      <w:bookmarkStart w:id="85" w:name="_Toc3573"/>
      <w:bookmarkStart w:id="86" w:name="_Toc1418"/>
      <w:bookmarkStart w:id="87" w:name="_Toc29501"/>
      <w:bookmarkStart w:id="88" w:name="_Toc28011"/>
      <w:r>
        <w:rPr>
          <w:rFonts w:hint="default" w:ascii="Times New Roman" w:hAnsi="Times New Roman" w:eastAsia="方正楷体简体" w:cs="Times New Roman"/>
          <w:color w:val="auto"/>
          <w:kern w:val="2"/>
          <w:sz w:val="32"/>
          <w:szCs w:val="32"/>
          <w:highlight w:val="none"/>
          <w:shd w:val="clear"/>
          <w:lang w:val="zh-CN" w:eastAsia="zh-CN"/>
        </w:rPr>
        <w:t>（一）总体目标</w:t>
      </w:r>
      <w:bookmarkEnd w:id="83"/>
      <w:bookmarkEnd w:id="84"/>
      <w:bookmarkEnd w:id="85"/>
      <w:bookmarkEnd w:id="86"/>
      <w:bookmarkEnd w:id="87"/>
      <w:bookmarkEnd w:id="88"/>
    </w:p>
    <w:p w14:paraId="7811A481">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89" w:name="_Toc11959"/>
      <w:bookmarkStart w:id="90" w:name="_Toc6926"/>
      <w:bookmarkStart w:id="91" w:name="_Toc24652"/>
      <w:bookmarkStart w:id="92" w:name="_Toc132"/>
      <w:bookmarkStart w:id="93" w:name="_Toc30825"/>
      <w:bookmarkStart w:id="94" w:name="_Toc4650"/>
      <w:r>
        <w:rPr>
          <w:rFonts w:hint="default" w:ascii="Times New Roman" w:hAnsi="Times New Roman" w:eastAsia="方正仿宋_GB2312" w:cs="Times New Roman"/>
          <w:color w:val="auto"/>
          <w:sz w:val="32"/>
          <w:szCs w:val="32"/>
          <w:highlight w:val="none"/>
          <w:lang w:val="en-US" w:eastAsia="zh-CN"/>
        </w:rPr>
        <w:t>按照州县宣传工作要点，整合宣传资料，注重策划，突出主题，形成较好的宣传效应。进一步探索“线上+线下”全媒体营销，</w:t>
      </w:r>
      <w:r>
        <w:rPr>
          <w:rFonts w:hint="eastAsia" w:ascii="Times New Roman" w:hAnsi="Times New Roman" w:eastAsia="方正仿宋_GB2312" w:cs="Times New Roman"/>
          <w:color w:val="auto"/>
          <w:sz w:val="32"/>
          <w:szCs w:val="32"/>
          <w:highlight w:val="none"/>
          <w:lang w:val="en-US" w:eastAsia="zh-CN"/>
        </w:rPr>
        <w:t>增强</w:t>
      </w:r>
      <w:r>
        <w:rPr>
          <w:rFonts w:hint="default" w:ascii="Times New Roman" w:hAnsi="Times New Roman" w:eastAsia="方正仿宋_GB2312" w:cs="Times New Roman"/>
          <w:color w:val="auto"/>
          <w:sz w:val="32"/>
          <w:szCs w:val="32"/>
          <w:highlight w:val="none"/>
          <w:lang w:val="en-US" w:eastAsia="zh-CN"/>
        </w:rPr>
        <w:t>泸定之声app客户端本土覆盖率和影响力，</w:t>
      </w:r>
      <w:r>
        <w:rPr>
          <w:rFonts w:hint="eastAsia" w:ascii="Times New Roman" w:hAnsi="Times New Roman" w:eastAsia="方正仿宋_GB2312" w:cs="Times New Roman"/>
          <w:color w:val="auto"/>
          <w:sz w:val="32"/>
          <w:szCs w:val="32"/>
          <w:highlight w:val="none"/>
          <w:lang w:val="en-US" w:eastAsia="zh-CN"/>
        </w:rPr>
        <w:t>保障</w:t>
      </w:r>
      <w:r>
        <w:rPr>
          <w:rFonts w:hint="default" w:ascii="Times New Roman" w:hAnsi="Times New Roman" w:eastAsia="方正仿宋_GB2312" w:cs="Times New Roman"/>
          <w:color w:val="auto"/>
          <w:sz w:val="32"/>
          <w:szCs w:val="32"/>
          <w:highlight w:val="none"/>
          <w:lang w:val="en-US" w:eastAsia="zh-CN"/>
        </w:rPr>
        <w:t>电视线路正常维护及播出</w:t>
      </w:r>
      <w:r>
        <w:rPr>
          <w:rFonts w:hint="eastAsia" w:ascii="Times New Roman" w:hAnsi="Times New Roman" w:eastAsia="方正仿宋_GB2312" w:cs="Times New Roman"/>
          <w:color w:val="auto"/>
          <w:sz w:val="32"/>
          <w:szCs w:val="32"/>
          <w:highlight w:val="none"/>
          <w:lang w:val="en-US" w:eastAsia="zh-CN"/>
        </w:rPr>
        <w:t>安全</w:t>
      </w:r>
      <w:r>
        <w:rPr>
          <w:rFonts w:hint="default" w:ascii="Times New Roman" w:hAnsi="Times New Roman" w:eastAsia="方正仿宋_GB2312" w:cs="Times New Roman"/>
          <w:color w:val="auto"/>
          <w:sz w:val="32"/>
          <w:szCs w:val="32"/>
          <w:highlight w:val="none"/>
          <w:lang w:val="en-US" w:eastAsia="zh-CN"/>
        </w:rPr>
        <w:t>，进一步提高安全宣传水平。</w:t>
      </w:r>
    </w:p>
    <w:p w14:paraId="332148A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r>
        <w:rPr>
          <w:rFonts w:hint="default" w:ascii="Times New Roman" w:hAnsi="Times New Roman" w:eastAsia="方正楷体简体" w:cs="Times New Roman"/>
          <w:color w:val="auto"/>
          <w:kern w:val="2"/>
          <w:sz w:val="32"/>
          <w:szCs w:val="32"/>
          <w:highlight w:val="none"/>
          <w:shd w:val="clear"/>
          <w:lang w:val="zh-CN" w:eastAsia="zh-CN"/>
        </w:rPr>
        <w:t>（二）具体目标</w:t>
      </w:r>
      <w:bookmarkEnd w:id="89"/>
      <w:bookmarkEnd w:id="90"/>
      <w:bookmarkEnd w:id="91"/>
      <w:bookmarkEnd w:id="92"/>
      <w:bookmarkEnd w:id="93"/>
      <w:bookmarkEnd w:id="94"/>
    </w:p>
    <w:p w14:paraId="54A408D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95" w:name="_Toc6491"/>
      <w:bookmarkStart w:id="96" w:name="_Toc24081"/>
      <w:bookmarkStart w:id="97" w:name="_Toc17536"/>
      <w:r>
        <w:rPr>
          <w:rFonts w:hint="default" w:ascii="Times New Roman" w:hAnsi="Times New Roman" w:eastAsia="方正仿宋_GB2312" w:cs="Times New Roman"/>
          <w:color w:val="auto"/>
          <w:sz w:val="32"/>
          <w:szCs w:val="32"/>
          <w:highlight w:val="none"/>
          <w:lang w:val="en-US" w:eastAsia="zh-CN"/>
        </w:rPr>
        <w:t>县融媒体2024年认真落实中央、省、州纪委全会部署安排，完成了以下工作任务：</w:t>
      </w:r>
    </w:p>
    <w:p w14:paraId="7B1A103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98" w:name="_Toc21154"/>
      <w:bookmarkStart w:id="99" w:name="_Toc32189"/>
      <w:bookmarkStart w:id="100" w:name="_Toc13068"/>
      <w:r>
        <w:rPr>
          <w:rFonts w:hint="default" w:ascii="Times New Roman" w:hAnsi="Times New Roman" w:eastAsia="方正仿宋_GB2312" w:cs="Times New Roman"/>
          <w:color w:val="auto"/>
          <w:sz w:val="32"/>
          <w:szCs w:val="32"/>
          <w:highlight w:val="none"/>
          <w:lang w:val="en-US" w:eastAsia="zh-CN"/>
        </w:rPr>
        <w:t>1.继续探索传统媒体和新媒体融合的综合运用。继续推进传统媒体和新媒体在内容、渠道、技术、平台、经营管理等方面的深度融合，建立并完善以平面媒体为基础，以广播电视媒体为依托，以微博、微信、手机客户端为生力军的全媒体宣传平台。</w:t>
      </w:r>
    </w:p>
    <w:p w14:paraId="78AE176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进一步提高宣传工作水平。宣传工作努力做到四个坚持：在宣传报道的指导思想上坚持围绕中心、服务大局；在选题上坚持服务大局、突出重点；在视角的把握上坚持关注发展、关注民生；在宣传效果上坚持提高质量、增强深度。积极发挥党和政府的喉舌作用，不断提高外宣的上稿数量和质量，有力配合和推动全县各项工作的开展。</w:t>
      </w:r>
    </w:p>
    <w:p w14:paraId="19DE3D3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3.加强党组织的自身建设。深入学习宣传贯彻党的十九大精神，充分发挥党员先锋模范作用，进一步增强党支部的凝聚力和战斗力。切实保障安全播出和发布，努力提高播出和发布的质量。</w:t>
      </w:r>
    </w:p>
    <w:p w14:paraId="19E551A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进一步完善和落实安全播出和发布的有关规章制度。对所有节目实行发前审片制，确保安全播出和发布零事故。加强队伍建设，不断创新机制体制，建立灵活实用的媒体管理机制。实行绩效工资制和优胜劣汰机制，打造和培养全媒体团队和媒体融合需要的数字传媒工程专业团队，创造想事干事、争创业绩的良好局面。</w:t>
      </w:r>
    </w:p>
    <w:p w14:paraId="234D532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r>
        <w:rPr>
          <w:rFonts w:hint="default" w:ascii="Times New Roman" w:hAnsi="Times New Roman" w:eastAsia="方正黑体简体" w:cs="Times New Roman"/>
          <w:color w:val="auto"/>
          <w:kern w:val="0"/>
          <w:sz w:val="32"/>
          <w:szCs w:val="32"/>
          <w:highlight w:val="none"/>
          <w:shd w:val="clear" w:color="auto" w:fill="FFFFFF"/>
          <w:lang w:val="en-US" w:eastAsia="zh-CN"/>
        </w:rPr>
        <w:t>四、</w:t>
      </w:r>
      <w:r>
        <w:rPr>
          <w:rFonts w:hint="default" w:ascii="Times New Roman" w:hAnsi="Times New Roman" w:eastAsia="方正黑体简体" w:cs="Times New Roman"/>
          <w:color w:val="auto"/>
          <w:kern w:val="0"/>
          <w:sz w:val="32"/>
          <w:szCs w:val="32"/>
          <w:highlight w:val="none"/>
          <w:shd w:val="clear" w:color="auto" w:fill="FFFFFF"/>
        </w:rPr>
        <w:t>部门整体支出</w:t>
      </w:r>
      <w:r>
        <w:rPr>
          <w:rFonts w:hint="default" w:ascii="Times New Roman" w:hAnsi="Times New Roman" w:eastAsia="方正黑体简体" w:cs="Times New Roman"/>
          <w:color w:val="auto"/>
          <w:kern w:val="0"/>
          <w:sz w:val="32"/>
          <w:szCs w:val="32"/>
          <w:highlight w:val="none"/>
          <w:shd w:val="clear" w:color="auto" w:fill="FFFFFF"/>
          <w:lang w:val="zh-CN"/>
        </w:rPr>
        <w:t>绩效评价</w:t>
      </w:r>
      <w:r>
        <w:rPr>
          <w:rFonts w:hint="default" w:ascii="Times New Roman" w:hAnsi="Times New Roman" w:eastAsia="方正黑体简体" w:cs="Times New Roman"/>
          <w:color w:val="auto"/>
          <w:kern w:val="0"/>
          <w:sz w:val="32"/>
          <w:szCs w:val="32"/>
          <w:highlight w:val="none"/>
          <w:shd w:val="clear" w:color="auto" w:fill="FFFFFF"/>
        </w:rPr>
        <w:t>情况</w:t>
      </w:r>
      <w:bookmarkEnd w:id="76"/>
      <w:bookmarkEnd w:id="77"/>
      <w:bookmarkEnd w:id="78"/>
      <w:bookmarkEnd w:id="79"/>
      <w:bookmarkEnd w:id="95"/>
      <w:bookmarkEnd w:id="96"/>
      <w:bookmarkEnd w:id="97"/>
      <w:bookmarkEnd w:id="98"/>
      <w:bookmarkEnd w:id="99"/>
      <w:bookmarkEnd w:id="100"/>
    </w:p>
    <w:p w14:paraId="5A75D54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101" w:name="_Toc24619"/>
      <w:bookmarkStart w:id="102" w:name="_Toc7521"/>
      <w:bookmarkStart w:id="103" w:name="_Toc11694"/>
      <w:bookmarkStart w:id="104" w:name="_Toc29571"/>
      <w:bookmarkStart w:id="105" w:name="_Toc28828"/>
      <w:bookmarkStart w:id="106" w:name="_Toc24977"/>
      <w:bookmarkStart w:id="107" w:name="_Toc428273082"/>
      <w:bookmarkStart w:id="108" w:name="_Toc8903"/>
      <w:bookmarkStart w:id="109" w:name="_Toc27305"/>
      <w:bookmarkStart w:id="110" w:name="_Toc109483840"/>
      <w:bookmarkStart w:id="111" w:name="_Toc4199"/>
      <w:r>
        <w:rPr>
          <w:rFonts w:hint="default" w:ascii="Times New Roman" w:hAnsi="Times New Roman" w:eastAsia="方正楷体简体" w:cs="Times New Roman"/>
          <w:color w:val="auto"/>
          <w:kern w:val="2"/>
          <w:sz w:val="32"/>
          <w:szCs w:val="32"/>
          <w:highlight w:val="none"/>
          <w:shd w:val="clear"/>
          <w:lang w:val="zh-CN" w:eastAsia="zh-CN"/>
        </w:rPr>
        <w:t>（一）绩效评价实施过程</w:t>
      </w:r>
      <w:bookmarkEnd w:id="101"/>
      <w:bookmarkEnd w:id="102"/>
      <w:bookmarkEnd w:id="103"/>
      <w:bookmarkEnd w:id="104"/>
      <w:bookmarkEnd w:id="105"/>
      <w:bookmarkEnd w:id="106"/>
    </w:p>
    <w:p w14:paraId="3E043EB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评价小组按照评价日程安排，对</w:t>
      </w:r>
      <w:r>
        <w:rPr>
          <w:rFonts w:hint="default" w:ascii="Times New Roman" w:hAnsi="Times New Roman" w:eastAsia="方正仿宋_GB2312" w:cs="Times New Roman"/>
          <w:color w:val="auto"/>
          <w:sz w:val="32"/>
          <w:szCs w:val="32"/>
          <w:highlight w:val="none"/>
          <w:lang w:val="en-US" w:eastAsia="zh-CN"/>
        </w:rPr>
        <w:t>县融媒体</w:t>
      </w:r>
      <w:r>
        <w:rPr>
          <w:rFonts w:hint="default" w:ascii="Times New Roman" w:hAnsi="Times New Roman" w:eastAsia="方正仿宋_GB2312" w:cs="Times New Roman"/>
          <w:color w:val="auto"/>
          <w:sz w:val="32"/>
          <w:szCs w:val="32"/>
          <w:highlight w:val="none"/>
          <w:lang w:val="zh-CN" w:eastAsia="zh-CN"/>
        </w:rPr>
        <w:t>提交的评价资料进行认真梳理，测算分析各项指标，汇总评分并形成评价报告。</w:t>
      </w:r>
    </w:p>
    <w:p w14:paraId="5A0A372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1.对相关资料进行研读，对整体评价有基本的把握和了解，归纳出进一步评价所需的信息供下一步取数参考。</w:t>
      </w:r>
    </w:p>
    <w:p w14:paraId="5D575BB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2.集中对各个评价指标逐一进行分析，以保证取数的准确性。</w:t>
      </w:r>
    </w:p>
    <w:p w14:paraId="777A176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3.评价小组汇总分析评价过程中发现的问题并对存在问题进行讨论，根据取得的数据分别计算各评价指标所得分数，形成评价结果。</w:t>
      </w:r>
    </w:p>
    <w:p w14:paraId="3B0DF91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4.根据评价结果，撰写评价报告。</w:t>
      </w:r>
    </w:p>
    <w:p w14:paraId="0280D38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5.与绩效评价相关者沟通，完善并形成绩效评价报告终稿。</w:t>
      </w:r>
    </w:p>
    <w:p w14:paraId="2ADF116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12" w:name="_Toc23900"/>
      <w:bookmarkStart w:id="113" w:name="_Toc3794"/>
      <w:bookmarkStart w:id="114" w:name="_Toc24380"/>
      <w:bookmarkStart w:id="115" w:name="_Toc30977"/>
      <w:bookmarkStart w:id="116" w:name="_Toc16416"/>
      <w:bookmarkStart w:id="117" w:name="_Toc4385"/>
      <w:r>
        <w:rPr>
          <w:rFonts w:hint="default" w:ascii="Times New Roman" w:hAnsi="Times New Roman" w:eastAsia="方正楷体简体" w:cs="Times New Roman"/>
          <w:color w:val="auto"/>
          <w:kern w:val="2"/>
          <w:sz w:val="32"/>
          <w:szCs w:val="32"/>
          <w:highlight w:val="none"/>
          <w:shd w:val="clear"/>
          <w:lang w:val="zh-CN" w:eastAsia="zh-CN"/>
        </w:rPr>
        <w:t>（</w:t>
      </w:r>
      <w:r>
        <w:rPr>
          <w:rFonts w:hint="default" w:ascii="Times New Roman" w:hAnsi="Times New Roman" w:eastAsia="方正楷体简体" w:cs="Times New Roman"/>
          <w:color w:val="auto"/>
          <w:kern w:val="2"/>
          <w:sz w:val="32"/>
          <w:szCs w:val="32"/>
          <w:highlight w:val="none"/>
          <w:shd w:val="clear"/>
          <w:lang w:val="en-US" w:eastAsia="zh-CN"/>
        </w:rPr>
        <w:t>二）</w:t>
      </w:r>
      <w:bookmarkEnd w:id="107"/>
      <w:bookmarkEnd w:id="108"/>
      <w:r>
        <w:rPr>
          <w:rFonts w:hint="default" w:ascii="Times New Roman" w:hAnsi="Times New Roman" w:eastAsia="方正楷体简体" w:cs="Times New Roman"/>
          <w:color w:val="auto"/>
          <w:kern w:val="2"/>
          <w:sz w:val="32"/>
          <w:szCs w:val="32"/>
          <w:highlight w:val="none"/>
          <w:shd w:val="clear"/>
          <w:lang w:val="en-US" w:eastAsia="zh-CN"/>
        </w:rPr>
        <w:t>评价结论</w:t>
      </w:r>
      <w:bookmarkEnd w:id="112"/>
      <w:bookmarkEnd w:id="113"/>
      <w:bookmarkEnd w:id="114"/>
      <w:bookmarkEnd w:id="115"/>
      <w:bookmarkEnd w:id="116"/>
      <w:bookmarkEnd w:id="117"/>
    </w:p>
    <w:bookmarkEnd w:id="109"/>
    <w:bookmarkEnd w:id="110"/>
    <w:bookmarkEnd w:id="111"/>
    <w:p w14:paraId="11D0484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融媒体以习近平新时代中国特色社会主义思想和党的二十大、二十届三中全会精神为指引，以媒体融合发展为契机，不断加强主流媒体意识形态主阵地建设，紧紧围绕县委、县政府重点工作开展宣传报道，自觉担负起举旗帜、聚民心、育新人、兴文化、展形象的神圣使命，扎实推进融媒体中心建设工作。县融媒体在维持部门运转的基础上，完成了部门职责范围内的各项工作，部门履职情况较好。</w:t>
      </w:r>
    </w:p>
    <w:p w14:paraId="38EC819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按照设定的评价指标体系，通过对县融媒体</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4年度部门整体支出情况在预算编制、预算执行、完成结果、信息公开、整改反馈、自评质量方面进行综合评价，</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4年度县融媒体部门整体支出绩效评价指标分值100.00分，得分93.40分。详见下表：</w:t>
      </w:r>
    </w:p>
    <w:p w14:paraId="586E1AED">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center"/>
        <w:textAlignment w:val="auto"/>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县融媒体</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4年部门整体支出绩效评价评分表</w:t>
      </w:r>
    </w:p>
    <w:tbl>
      <w:tblPr>
        <w:tblStyle w:val="19"/>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97"/>
        <w:gridCol w:w="2292"/>
        <w:gridCol w:w="1318"/>
        <w:gridCol w:w="621"/>
        <w:gridCol w:w="959"/>
        <w:gridCol w:w="824"/>
      </w:tblGrid>
      <w:tr w14:paraId="4EEC3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482E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bookmarkStart w:id="118" w:name="_Toc13729"/>
            <w:bookmarkStart w:id="119" w:name="_Toc14707"/>
            <w:bookmarkStart w:id="120" w:name="_Toc4242"/>
            <w:bookmarkStart w:id="121" w:name="_Toc16394"/>
            <w:bookmarkStart w:id="122" w:name="_Toc26985"/>
            <w:bookmarkStart w:id="123" w:name="_Toc1687911260"/>
            <w:bookmarkStart w:id="124" w:name="_Toc109483841"/>
            <w:bookmarkStart w:id="125" w:name="_Toc31945"/>
            <w:bookmarkStart w:id="126" w:name="_Toc28266"/>
            <w:bookmarkStart w:id="127" w:name="_Toc24818"/>
            <w:r>
              <w:rPr>
                <w:rFonts w:hint="default" w:ascii="Times New Roman" w:hAnsi="Times New Roman" w:eastAsia="方正仿宋_GB2312" w:cs="Times New Roman"/>
                <w:b/>
                <w:bCs/>
                <w:i w:val="0"/>
                <w:iCs w:val="0"/>
                <w:color w:val="000000"/>
                <w:kern w:val="0"/>
                <w:sz w:val="20"/>
                <w:szCs w:val="20"/>
                <w:u w:val="none"/>
                <w:lang w:val="en-US" w:eastAsia="zh-CN" w:bidi="ar"/>
              </w:rPr>
              <w:t>一级指标</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243E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二级指标</w:t>
            </w:r>
          </w:p>
        </w:tc>
        <w:tc>
          <w:tcPr>
            <w:tcW w:w="7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31B4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三级指标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C45E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分值</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172F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扣分</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9044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得分</w:t>
            </w:r>
          </w:p>
        </w:tc>
      </w:tr>
      <w:tr w14:paraId="36C06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0DF04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部门预算管理（50分）</w:t>
            </w: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91E46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目标管理（15分）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2E4F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目标制定</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7C2A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55E3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2EA2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68C11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AFB8DE">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AF32BE">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1F31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目标实现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F263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36DE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6E1F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r>
      <w:tr w14:paraId="2AE22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E6E8CB">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A7D87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过程控制（10分）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DDA8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执行进度</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3568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C9D1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CE06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7C5B2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3265CB">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E0941">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F581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同步调整</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2B33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2437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DF0D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7FD2D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3B6C8">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574CE6">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5E32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及时处置</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69FE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A673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A259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1AEEB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462D1">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388A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完成效率（5分）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3D23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预算结余率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F2F8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E659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27A2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r>
      <w:tr w14:paraId="55F2A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E523BD">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E407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完成效果（20分）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528E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实施效果</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3C57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87B1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0.3</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FCD2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19.7</w:t>
            </w:r>
          </w:p>
        </w:tc>
      </w:tr>
      <w:tr w14:paraId="13507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E699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专项预算绩效（30分）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39F2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整体完成（30分）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6434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C243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72F6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0.3</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DF20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29.7</w:t>
            </w:r>
          </w:p>
        </w:tc>
      </w:tr>
      <w:tr w14:paraId="1AA44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3B709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绩效结果应用（14分）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6697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内部应用（4分）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4BD5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预算挂钩</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EF93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E7B0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4F49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r>
      <w:tr w14:paraId="6DBCB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0D1D75">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BD4E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信息公开（4分）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6EFE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自评公开</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EDF2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DCCC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0701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0FCB6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9F786">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886E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整改反馈（6分）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B832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问题整改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A852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12D3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FB47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5F9EF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jc w:val="center"/>
        </w:trPr>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4246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630D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378A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B0C3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5646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B895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565A7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358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9F2B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合计</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7577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38A8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6.6</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AC37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93.4</w:t>
            </w:r>
          </w:p>
        </w:tc>
      </w:tr>
    </w:tbl>
    <w:p w14:paraId="7CAEDB59">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（三）绩效结果应用</w:t>
      </w:r>
      <w:bookmarkEnd w:id="118"/>
      <w:bookmarkEnd w:id="119"/>
      <w:bookmarkEnd w:id="120"/>
    </w:p>
    <w:p w14:paraId="3974C46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融媒体单位资金管理严格按照有关规定执行，建立健全组织机构，明确职责分工；绩效目标制定、目标完成、预决算编制等均按照县财政局下达的相关文件指标进行了编制，均按相关要求严格执行预算范围内开支。通过评价组对县融媒体进行事后评价，最终县融媒体绩效等级为“优”。秉承科学公正、统筹兼顾、激励约束和公开透明的财政绩效原则。我局建议泸定县财政局针对部门预算绩效管理，进一步要求县融媒体完善绩效目标编制、建立预算绩效挂钩机制、加强年初预算编制准确性。</w:t>
      </w:r>
    </w:p>
    <w:p w14:paraId="0651BF79">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28" w:name="_Toc26977"/>
      <w:bookmarkStart w:id="129" w:name="_Toc11390"/>
      <w:bookmarkStart w:id="130" w:name="_Toc6100"/>
      <w:r>
        <w:rPr>
          <w:rFonts w:hint="default" w:ascii="Times New Roman" w:hAnsi="Times New Roman" w:eastAsia="方正楷体简体" w:cs="Times New Roman"/>
          <w:color w:val="auto"/>
          <w:kern w:val="2"/>
          <w:sz w:val="32"/>
          <w:szCs w:val="32"/>
          <w:highlight w:val="none"/>
          <w:shd w:val="clear"/>
          <w:lang w:val="en-US" w:eastAsia="zh-CN"/>
        </w:rPr>
        <w:t>（四）</w:t>
      </w:r>
      <w:bookmarkEnd w:id="121"/>
      <w:bookmarkEnd w:id="122"/>
      <w:bookmarkEnd w:id="123"/>
      <w:bookmarkEnd w:id="124"/>
      <w:r>
        <w:rPr>
          <w:rFonts w:hint="default" w:ascii="Times New Roman" w:hAnsi="Times New Roman" w:eastAsia="方正楷体简体" w:cs="Times New Roman"/>
          <w:color w:val="auto"/>
          <w:kern w:val="2"/>
          <w:sz w:val="32"/>
          <w:szCs w:val="32"/>
          <w:highlight w:val="none"/>
          <w:shd w:val="clear"/>
          <w:lang w:val="en-US" w:eastAsia="zh-CN"/>
        </w:rPr>
        <w:t>评价分析</w:t>
      </w:r>
      <w:bookmarkEnd w:id="125"/>
      <w:bookmarkEnd w:id="126"/>
      <w:bookmarkEnd w:id="127"/>
      <w:bookmarkEnd w:id="128"/>
      <w:bookmarkEnd w:id="129"/>
      <w:bookmarkEnd w:id="130"/>
    </w:p>
    <w:p w14:paraId="6BF6F19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1.部门预算总体绩效管理情况</w:t>
      </w:r>
    </w:p>
    <w:p w14:paraId="18E7688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（1）目标管理</w:t>
      </w:r>
    </w:p>
    <w:p w14:paraId="14F83ED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二级指标“目标管理”下设两个三级指标分别为：目标制定、目标实现。</w:t>
      </w:r>
    </w:p>
    <w:p w14:paraId="5852C13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①目标制定</w:t>
      </w:r>
    </w:p>
    <w:p w14:paraId="6BF4B43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融媒体在泸定县人民政府门户网站公开的2024年度部门预算和绩效目标，制定了年度部门及项目整体支出绩效目标，绩效目标涵盖数量、质量、时效、效益等指标，绩效目标随预算已上报人大完成审核，但未对部门整体项目进行集体决策，未将部门绩效目标纳入集体决策范围。根据现场评价情况，泸定县融媒体中心《部门（单位）整体支出绩效目标申报表》目标要素齐全，但存在整体目标不够细化，绩效目标设置不明确等问题。</w:t>
      </w:r>
    </w:p>
    <w:p w14:paraId="4392A5A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本项分值为10.00分，扣4.00分，得分为6.00分。</w:t>
      </w:r>
    </w:p>
    <w:p w14:paraId="051439E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②目标实现</w:t>
      </w:r>
    </w:p>
    <w:p w14:paraId="70FBA9E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融媒体提供的2024年度年初预算项目绩效目标申报表及项目完成资料，县融媒体整体涉及6个数量指标，1个成本指标。根据现场评价情况，实际完成6个数量指标，完成率100%；实际完成1个成本指标，完成率100%。</w:t>
      </w:r>
    </w:p>
    <w:p w14:paraId="35DC9D77">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本项分值为5.00分，扣0.00分，得分5.00分。</w:t>
      </w:r>
    </w:p>
    <w:p w14:paraId="07A8489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（2）过程控制</w:t>
      </w:r>
    </w:p>
    <w:p w14:paraId="51D011B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二级指标“过程控制”下设三个三级指标分别为：执行进度、同步调整、及时处置。</w:t>
      </w:r>
    </w:p>
    <w:p w14:paraId="2AC6A60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①执行进度</w:t>
      </w:r>
    </w:p>
    <w:p w14:paraId="507D1927">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根据《2025年泸定县部门整体支出绩效评价指标体系》，部门预算执行进度在6、9、11月应达到序时进度的80%、90%、90%，即实际支出进度分别达到40%、67.5%、82.5%。</w:t>
      </w:r>
    </w:p>
    <w:p w14:paraId="4D586F6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被评价单位提供的1-6月、1-9月、1-11月可执行指标执行情况表显示，2024年县融媒体1—6月月预算数891.22万元，实际执行数471.69万元，进度为52.93%；1-9月预算数891.22万元，实际执行数706.69万元，进度为79.29%；1-11月预算数891.22万元，实际执行数833.10万元，进度为93.48%。</w:t>
      </w:r>
    </w:p>
    <w:p w14:paraId="39233A2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上述三个阶段中，根据可执行指标执行情况表被评价单位1-6月、1-9月、1-11月实际支出进度均已达到目标进度。</w:t>
      </w:r>
    </w:p>
    <w:p w14:paraId="51F3DF0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22956C4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②同步调整</w:t>
      </w:r>
    </w:p>
    <w:p w14:paraId="6C6EECA3">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2024年县融媒体预算项目3个，根据被评价单位提供的可执行指标执行情况表，预算调整项目2个，其中2个均随预算调整同步完成绩效目标调整。</w:t>
      </w:r>
    </w:p>
    <w:p w14:paraId="67B9BB7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756E4F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③及时处置</w:t>
      </w:r>
    </w:p>
    <w:p w14:paraId="0210B89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2024年，县融媒体自行开展了绩效运行监控，未发现绩效相关问题，未提出预算收回、调整处置意见</w:t>
      </w:r>
    </w:p>
    <w:p w14:paraId="3F0CF77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8F3F60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（3）完成效率</w:t>
      </w:r>
    </w:p>
    <w:p w14:paraId="6AD9472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二级指标“完成效率”下设一个三级指标为：预算结余率。</w:t>
      </w:r>
    </w:p>
    <w:p w14:paraId="73B5FAF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根据县融媒体2024年度决算报表与可执行指标执行情况表被评价单位2024年度预算项目共计3个，部门预算项目资金结余率小于10%有3个，大于10%有0个。</w:t>
      </w:r>
    </w:p>
    <w:p w14:paraId="4A928BD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本项分值为5.00分，扣0.00，得分为5.00分。</w:t>
      </w:r>
    </w:p>
    <w:p w14:paraId="38BE5ED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2.部门预算项目绩效管理情况</w:t>
      </w:r>
    </w:p>
    <w:p w14:paraId="5AC6685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（1）完成效果</w:t>
      </w:r>
    </w:p>
    <w:p w14:paraId="2B68E03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二级指标“完成效果”下设一个三级指标为实施效果。</w:t>
      </w:r>
    </w:p>
    <w:p w14:paraId="37D66CB3">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泸定县2024年预算项目共计1个，涉及预算资金131.15万元，评价组抽取项目1个，抽取项目预算资金131.15万元；抽取率为100.00%。抽取项目为：专项运转经费。评价组抽取项目的绩效评价指标体系均采用《2025年泸定县部门整体支出绩效评价指标体系》。经评价小组复核评分，抽查的预算项目平均得分98.50分。</w:t>
      </w:r>
    </w:p>
    <w:p w14:paraId="4ADF518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本项分值为20.00分，扣0.30分，得分为19.70分。</w:t>
      </w:r>
    </w:p>
    <w:p w14:paraId="3B1C687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3.专项预算绩效管理情况</w:t>
      </w:r>
    </w:p>
    <w:p w14:paraId="19A5BE0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（1）整体完成</w:t>
      </w:r>
    </w:p>
    <w:p w14:paraId="1B9DC6F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二级指标“整体完成”下设一个三级指标为：完成率。</w:t>
      </w:r>
    </w:p>
    <w:p w14:paraId="70C3112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融媒体专项预算项目2个，涉及预算资金129.15万元，评价组抽取项目样本1个，抽取项目预算资金121.15万元，抽取率为93.81%。抽取项目为：泸定县广播电视台（站）及有线电视前端、传输等设施设备恢复重建项目。抽查的项目中，绩效评价指标体系均采用《泸定县2025年部门预算项目绩效评价指标体系》。经评价小组复核评分，抽查的预算项目得分99.00分。</w:t>
      </w:r>
    </w:p>
    <w:p w14:paraId="7C50EB7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本项分值为30.00分，扣0.30分，得分为29.70分。</w:t>
      </w:r>
    </w:p>
    <w:p w14:paraId="6B552CA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4.绩效结果应用</w:t>
      </w:r>
    </w:p>
    <w:p w14:paraId="0AF25A0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（1）内部应用</w:t>
      </w:r>
    </w:p>
    <w:p w14:paraId="1C81E90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二级指标“内部应用”下设一个三级指标为：预算挂钩。</w:t>
      </w:r>
    </w:p>
    <w:p w14:paraId="501E571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截至评价日，县融媒体制定了《预算业务管理制度》，但单位绩效管理情况未纳入内部考核体系且内部绩效结果未与预算挂钩。</w:t>
      </w:r>
    </w:p>
    <w:p w14:paraId="26F62B8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本项分值为4.00分，扣2.00分，得分为2.00分。</w:t>
      </w:r>
    </w:p>
    <w:p w14:paraId="3DFC40C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（2）信息公开</w:t>
      </w:r>
    </w:p>
    <w:p w14:paraId="02CEE86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二级指标“信息公开”下设一个三级指标为：自评公开。</w:t>
      </w:r>
    </w:p>
    <w:p w14:paraId="74A12D0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预决算公开。县融媒体于2024年3月28日在泸定县人民政府网上进行了部门预算及项目绩效目标的公开。截至评价日，代表大会常务委员会暂未召开，未对2024年泸定县决算（草案）和决算报告进行审查，故未进行2024年决算信息的公开。</w:t>
      </w:r>
    </w:p>
    <w:p w14:paraId="4A2F8C2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②绩效信息公开。截至评价日，因2024年决算信息未公开，即被评价单位部门整体自评报告及项目自评等相关绩效信息情况均未随决算公开。</w:t>
      </w:r>
    </w:p>
    <w:p w14:paraId="101CBC0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6B3C2C5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（3）整改反馈</w:t>
      </w:r>
    </w:p>
    <w:p w14:paraId="23157FC1">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二级指标“整改反馈”下设两个三级指标为：问题整改、应用反馈。</w:t>
      </w:r>
    </w:p>
    <w:p w14:paraId="149F0DF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①2024年度，2024年县融媒体未收到绩效目标核查、绩效重点监控和重点绩效评价等方面整改意见，无需整改。</w:t>
      </w:r>
    </w:p>
    <w:p w14:paraId="0E6FAB3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477FA3F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②2024年度，县融媒体在规定时间内向财政部门反馈绩效结果应用报告，报告内容翔实、问题整改到位、结果应用充分。</w:t>
      </w:r>
    </w:p>
    <w:p w14:paraId="192AD22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714DA50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5.自评质量</w:t>
      </w:r>
    </w:p>
    <w:p w14:paraId="772DA10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二级指标“自评质量”下设一个三级指标为：自评质量。</w:t>
      </w:r>
    </w:p>
    <w:p w14:paraId="4145457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融媒体2024年部门整体支出绩效自评得分94分（不包括“自评质量”指标分值，满分为94分），根据现场评价情况，评价组对县融媒体的考评得分87.40分（不包括“自评质量”指标分值，满分为94分），自评差异率7.55%，低于10.00%。</w:t>
      </w:r>
    </w:p>
    <w:p w14:paraId="62CC150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bookmarkEnd w:id="2"/>
    <w:p w14:paraId="6478B652">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bookmarkStart w:id="131" w:name="_Toc30339"/>
      <w:bookmarkStart w:id="132" w:name="_Toc4350"/>
      <w:bookmarkStart w:id="133" w:name="_Toc5060"/>
      <w:bookmarkStart w:id="134" w:name="_Toc823448808"/>
      <w:bookmarkStart w:id="135" w:name="_Toc7306"/>
      <w:bookmarkStart w:id="136" w:name="_Toc30515"/>
      <w:bookmarkStart w:id="137" w:name="_Toc14032"/>
      <w:bookmarkStart w:id="138" w:name="_Toc25603"/>
      <w:bookmarkStart w:id="139" w:name="_Toc21218"/>
      <w:bookmarkStart w:id="140" w:name="_Toc248033833"/>
      <w:bookmarkStart w:id="141" w:name="_Toc8336"/>
      <w:bookmarkStart w:id="142" w:name="_Toc19973"/>
      <w:r>
        <w:rPr>
          <w:rFonts w:hint="default" w:ascii="Times New Roman" w:hAnsi="Times New Roman" w:eastAsia="方正黑体简体" w:cs="Times New Roman"/>
          <w:color w:val="auto"/>
          <w:kern w:val="0"/>
          <w:sz w:val="32"/>
          <w:szCs w:val="32"/>
          <w:highlight w:val="none"/>
          <w:shd w:val="clear" w:color="auto" w:fill="FFFFFF"/>
          <w:lang w:val="en-US" w:eastAsia="zh-CN"/>
        </w:rPr>
        <w:t>五</w:t>
      </w:r>
      <w:r>
        <w:rPr>
          <w:rFonts w:hint="default" w:ascii="Times New Roman" w:hAnsi="Times New Roman" w:eastAsia="方正黑体简体" w:cs="Times New Roman"/>
          <w:color w:val="auto"/>
          <w:kern w:val="0"/>
          <w:sz w:val="32"/>
          <w:szCs w:val="32"/>
          <w:highlight w:val="none"/>
          <w:shd w:val="clear" w:color="auto" w:fill="FFFFFF"/>
        </w:rPr>
        <w:t>、存在的主要问题</w:t>
      </w:r>
      <w:bookmarkEnd w:id="131"/>
      <w:bookmarkEnd w:id="132"/>
      <w:bookmarkEnd w:id="133"/>
      <w:bookmarkEnd w:id="134"/>
      <w:bookmarkEnd w:id="135"/>
      <w:bookmarkEnd w:id="136"/>
      <w:bookmarkEnd w:id="137"/>
      <w:bookmarkEnd w:id="138"/>
      <w:bookmarkEnd w:id="139"/>
      <w:bookmarkEnd w:id="140"/>
    </w:p>
    <w:p w14:paraId="1E5F6583">
      <w:pPr>
        <w:keepNext w:val="0"/>
        <w:keepLines w:val="0"/>
        <w:pageBreakBefore w:val="0"/>
        <w:widowControl w:val="0"/>
        <w:kinsoku/>
        <w:wordWrap/>
        <w:overflowPunct/>
        <w:topLinePunct w:val="0"/>
        <w:bidi w:val="0"/>
        <w:snapToGrid/>
        <w:spacing w:line="560" w:lineRule="exact"/>
        <w:ind w:leftChars="0" w:right="0" w:firstLine="640" w:firstLineChars="200"/>
        <w:textAlignment w:val="auto"/>
        <w:rPr>
          <w:rFonts w:hint="default" w:ascii="Times New Roman" w:hAnsi="Times New Roman" w:eastAsia="方正楷体简体" w:cs="Times New Roman"/>
          <w:b w:val="0"/>
          <w:bCs w:val="0"/>
          <w:sz w:val="32"/>
          <w:szCs w:val="32"/>
        </w:rPr>
      </w:pPr>
      <w:bookmarkStart w:id="143" w:name="_Toc31629"/>
      <w:bookmarkStart w:id="144" w:name="_Toc3240"/>
      <w:bookmarkStart w:id="145" w:name="_Toc464104487"/>
      <w:bookmarkStart w:id="146" w:name="_Toc10426"/>
      <w:bookmarkStart w:id="147" w:name="_Toc22968"/>
      <w:bookmarkStart w:id="148" w:name="_Toc15651"/>
      <w:bookmarkStart w:id="149" w:name="_Toc771997543"/>
      <w:r>
        <w:rPr>
          <w:rFonts w:hint="default" w:ascii="Times New Roman" w:hAnsi="Times New Roman" w:eastAsia="方正楷体简体" w:cs="Times New Roman"/>
          <w:b w:val="0"/>
          <w:bCs w:val="0"/>
          <w:sz w:val="32"/>
          <w:szCs w:val="32"/>
        </w:rPr>
        <w:t>（一）绩效目标编制和上报不准确</w:t>
      </w:r>
    </w:p>
    <w:p w14:paraId="7B373FB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评价中发现，县融媒体2024年部门综合绩效目标与个别预算项目绩效目标均不同程度存在编制不规范，指标设置不够科学准确、具体明确等问题，导致绩效目标科学性、合理性不够强，不便于考核评价。具体情况表现为：</w:t>
      </w:r>
    </w:p>
    <w:p w14:paraId="3FA9071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150" w:name="_Toc29227"/>
      <w:bookmarkStart w:id="151" w:name="_Toc5324"/>
      <w:bookmarkStart w:id="152" w:name="_Toc22775"/>
      <w:r>
        <w:rPr>
          <w:rFonts w:hint="default" w:ascii="Times New Roman" w:hAnsi="Times New Roman" w:eastAsia="方正仿宋_GB2312" w:cs="Times New Roman"/>
          <w:color w:val="auto"/>
          <w:sz w:val="32"/>
          <w:szCs w:val="32"/>
          <w:highlight w:val="none"/>
          <w:lang w:val="en-US" w:eastAsia="zh-CN"/>
        </w:rPr>
        <w:t>1.部门整体绩效目标</w:t>
      </w:r>
    </w:p>
    <w:p w14:paraId="0CB41B2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现场评价情况，泸定县融媒体中心《部门（单位）整体支出绩效目标申报表》目标要素齐全，但存在整体目标不够细化，绩效目标设置不明确等问题，具体情况：一是整体绩效目标不够细化，绩效目标申报表中年度总体目标主要聚焦于定性描述，未与数量指标质量指标挂钩，缺乏具体的数量，建议在年度目标中加入主要任务或大额资金项目的可量化指标。二是指标值设置不明确，不便于考核，如社会指标中的“通过有线电视网络媒介，宣传中央省州县各项政策及法规，做好宣传工作”其指标值为“优良中低差”，该指标值设置不够明确，未具体明确细化考核任务，不便于考核。</w:t>
      </w:r>
    </w:p>
    <w:p w14:paraId="0F5851E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2.项目支出绩效目标</w:t>
      </w:r>
    </w:p>
    <w:p w14:paraId="6E1D9A0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融媒体中心预算3个项目，各项目均编制了绩效目标申报表，但个别项目存在绩效目标设置不够准确的情况。具体情况为：指标值设置不够完善，如：“专项运转经费”产出指标中未设置质量指标、时效指标；且未设置成本指标，这几项指标缺一不可，建议补充完整指标设置。</w:t>
      </w:r>
    </w:p>
    <w:p w14:paraId="0DF4F3C9">
      <w:pPr>
        <w:keepNext w:val="0"/>
        <w:keepLines w:val="0"/>
        <w:pageBreakBefore w:val="0"/>
        <w:widowControl w:val="0"/>
        <w:numPr>
          <w:ilvl w:val="0"/>
          <w:numId w:val="0"/>
        </w:numPr>
        <w:tabs>
          <w:tab w:val="left" w:pos="479"/>
        </w:tabs>
        <w:kinsoku/>
        <w:wordWrap/>
        <w:overflowPunct/>
        <w:topLinePunct w:val="0"/>
        <w:bidi w:val="0"/>
        <w:snapToGrid/>
        <w:spacing w:line="560" w:lineRule="exact"/>
        <w:ind w:leftChars="0" w:right="0" w:firstLine="640" w:firstLineChars="200"/>
        <w:jc w:val="both"/>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（二）部门绩效目标制定未纳入本部门集体决策范围</w:t>
      </w:r>
    </w:p>
    <w:p w14:paraId="31D204C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2024年，泸定县融媒体中心已编报《部门（单位）整体支出绩效目标申报表》，绩效目标随预算已上报人大完成审核，但未对部门整体项目进行集体决策，未将部门绩效目标纳入集体决策范围。</w:t>
      </w:r>
    </w:p>
    <w:p w14:paraId="0D406F85">
      <w:pPr>
        <w:keepNext w:val="0"/>
        <w:keepLines w:val="0"/>
        <w:pageBreakBefore w:val="0"/>
        <w:widowControl w:val="0"/>
        <w:numPr>
          <w:ilvl w:val="0"/>
          <w:numId w:val="0"/>
        </w:numPr>
        <w:kinsoku/>
        <w:wordWrap/>
        <w:overflowPunct/>
        <w:topLinePunct w:val="0"/>
        <w:bidi w:val="0"/>
        <w:snapToGrid/>
        <w:spacing w:line="560" w:lineRule="exact"/>
        <w:ind w:leftChars="0" w:right="0" w:rightChars="0" w:firstLine="640" w:firstLineChars="200"/>
        <w:jc w:val="both"/>
        <w:textAlignment w:val="auto"/>
        <w:rPr>
          <w:rFonts w:hint="default" w:ascii="Times New Roman" w:hAnsi="Times New Roman" w:eastAsia="方正楷体简体" w:cs="Times New Roman"/>
          <w:b w:val="0"/>
          <w:bCs w:val="0"/>
          <w:sz w:val="32"/>
          <w:szCs w:val="32"/>
          <w:lang w:val="en-US" w:eastAsia="zh-CN"/>
        </w:rPr>
      </w:pPr>
      <w:r>
        <w:rPr>
          <w:rFonts w:hint="default" w:ascii="Times New Roman" w:hAnsi="Times New Roman" w:eastAsia="方正楷体简体" w:cs="Times New Roman"/>
          <w:b w:val="0"/>
          <w:bCs w:val="0"/>
          <w:sz w:val="32"/>
          <w:szCs w:val="32"/>
          <w:lang w:val="en-US" w:eastAsia="zh-CN"/>
        </w:rPr>
        <w:t>（三）</w:t>
      </w:r>
      <w:r>
        <w:rPr>
          <w:rFonts w:hint="default" w:ascii="Times New Roman" w:hAnsi="Times New Roman" w:eastAsia="楷体" w:cs="Times New Roman"/>
          <w:b w:val="0"/>
          <w:bCs w:val="0"/>
          <w:sz w:val="32"/>
          <w:szCs w:val="32"/>
          <w:lang w:val="en-US" w:eastAsia="zh-CN"/>
        </w:rPr>
        <w:t>预算绩效管理制度机制不够健全完善</w:t>
      </w:r>
    </w:p>
    <w:p w14:paraId="1E40696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截至评价日，县融媒体中心制定了《预算业务管理制度》，但单位绩效管理情况未纳入内部考核体系且内部绩效结果未与预算挂钩。</w:t>
      </w:r>
    </w:p>
    <w:p w14:paraId="4EFDC167">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r>
        <w:rPr>
          <w:rFonts w:hint="default" w:ascii="Times New Roman" w:hAnsi="Times New Roman" w:eastAsia="方正黑体简体" w:cs="Times New Roman"/>
          <w:color w:val="auto"/>
          <w:kern w:val="0"/>
          <w:sz w:val="32"/>
          <w:szCs w:val="32"/>
          <w:highlight w:val="none"/>
          <w:shd w:val="clear" w:color="auto" w:fill="FFFFFF"/>
          <w:lang w:val="en-US" w:eastAsia="zh-CN"/>
        </w:rPr>
        <w:t>六</w:t>
      </w:r>
      <w:r>
        <w:rPr>
          <w:rFonts w:hint="default" w:ascii="Times New Roman" w:hAnsi="Times New Roman" w:eastAsia="方正黑体简体" w:cs="Times New Roman"/>
          <w:color w:val="auto"/>
          <w:kern w:val="0"/>
          <w:sz w:val="32"/>
          <w:szCs w:val="32"/>
          <w:highlight w:val="none"/>
          <w:shd w:val="clear" w:color="auto" w:fill="FFFFFF"/>
        </w:rPr>
        <w:t>、相关措施建议</w:t>
      </w:r>
      <w:bookmarkEnd w:id="143"/>
      <w:bookmarkEnd w:id="144"/>
      <w:bookmarkEnd w:id="145"/>
      <w:bookmarkEnd w:id="146"/>
      <w:bookmarkEnd w:id="147"/>
      <w:bookmarkEnd w:id="148"/>
      <w:bookmarkEnd w:id="149"/>
      <w:bookmarkEnd w:id="150"/>
      <w:bookmarkEnd w:id="151"/>
      <w:bookmarkEnd w:id="152"/>
    </w:p>
    <w:p w14:paraId="164C1013">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（一）规范项目绩效目标设置</w:t>
      </w:r>
    </w:p>
    <w:p w14:paraId="3D54519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严格单位自评指标设置，注重采用定量和定性评价相结合的方法，设置最具代表性，最能直接反映产出和效益的核心绩效指标和标准体系。对此次评价中未完成绩效目标或偏离绩效目标较大的项目要分析原因，对由于年初指标值设定明显偏低造成的，要按照偏离度适度调减分值。</w:t>
      </w:r>
    </w:p>
    <w:bookmarkEnd w:id="141"/>
    <w:bookmarkEnd w:id="142"/>
    <w:p w14:paraId="3386D369">
      <w:pPr>
        <w:keepNext w:val="0"/>
        <w:keepLines w:val="0"/>
        <w:pageBreakBefore w:val="0"/>
        <w:widowControl w:val="0"/>
        <w:numPr>
          <w:ilvl w:val="0"/>
          <w:numId w:val="0"/>
        </w:numPr>
        <w:tabs>
          <w:tab w:val="left" w:pos="479"/>
        </w:tabs>
        <w:kinsoku/>
        <w:wordWrap/>
        <w:overflowPunct/>
        <w:topLinePunct w:val="0"/>
        <w:autoSpaceDE/>
        <w:autoSpaceDN/>
        <w:bidi w:val="0"/>
        <w:adjustRightInd/>
        <w:snapToGrid/>
        <w:spacing w:line="560" w:lineRule="exact"/>
        <w:ind w:leftChars="0" w:right="0" w:firstLine="640" w:firstLineChars="200"/>
        <w:jc w:val="both"/>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kern w:val="2"/>
          <w:sz w:val="32"/>
          <w:szCs w:val="32"/>
          <w:lang w:val="en-US" w:eastAsia="zh-CN" w:bidi="ar-SA"/>
        </w:rPr>
        <w:t>（二）绩</w:t>
      </w:r>
      <w:r>
        <w:rPr>
          <w:rFonts w:hint="default" w:ascii="Times New Roman" w:hAnsi="Times New Roman" w:eastAsia="方正楷体简体" w:cs="Times New Roman"/>
          <w:sz w:val="32"/>
          <w:szCs w:val="32"/>
          <w:lang w:val="en-US" w:eastAsia="zh-CN"/>
        </w:rPr>
        <w:t>效目标制定纳入部门集体决策范围</w:t>
      </w:r>
    </w:p>
    <w:p w14:paraId="1BEC240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建议将绩效目标制定纳入部门集体决策范围，通过集体决策增强绩效目标制定的科学性、可行性与准确性。</w:t>
      </w:r>
    </w:p>
    <w:p w14:paraId="25229D0F">
      <w:pPr>
        <w:keepNext w:val="0"/>
        <w:keepLines w:val="0"/>
        <w:pageBreakBefore w:val="0"/>
        <w:widowControl w:val="0"/>
        <w:kinsoku/>
        <w:wordWrap/>
        <w:overflowPunct/>
        <w:topLinePunct w:val="0"/>
        <w:autoSpaceDE w:val="0"/>
        <w:autoSpaceDN w:val="0"/>
        <w:bidi w:val="0"/>
        <w:adjustRightInd w:val="0"/>
        <w:snapToGrid/>
        <w:spacing w:line="560" w:lineRule="exact"/>
        <w:ind w:leftChars="0" w:right="0" w:firstLine="640" w:firstLineChars="200"/>
        <w:jc w:val="both"/>
        <w:textAlignment w:val="auto"/>
        <w:rPr>
          <w:rFonts w:hint="default" w:ascii="Times New Roman" w:hAnsi="Times New Roman" w:eastAsia="方正楷体简体" w:cs="Times New Roman"/>
          <w:b w:val="0"/>
          <w:bCs w:val="0"/>
          <w:sz w:val="32"/>
          <w:szCs w:val="32"/>
          <w:lang w:val="en-US" w:eastAsia="zh-CN"/>
        </w:rPr>
      </w:pPr>
      <w:r>
        <w:rPr>
          <w:rFonts w:hint="default" w:ascii="Times New Roman" w:hAnsi="Times New Roman" w:eastAsia="方正楷体简体" w:cs="Times New Roman"/>
          <w:b w:val="0"/>
          <w:bCs w:val="0"/>
          <w:sz w:val="32"/>
          <w:szCs w:val="32"/>
          <w:lang w:eastAsia="zh-CN"/>
        </w:rPr>
        <w:t>（</w:t>
      </w:r>
      <w:r>
        <w:rPr>
          <w:rFonts w:hint="default" w:ascii="Times New Roman" w:hAnsi="Times New Roman" w:eastAsia="方正楷体简体" w:cs="Times New Roman"/>
          <w:b w:val="0"/>
          <w:bCs w:val="0"/>
          <w:sz w:val="32"/>
          <w:szCs w:val="32"/>
          <w:lang w:val="en-US" w:eastAsia="zh-CN"/>
        </w:rPr>
        <w:t>三</w:t>
      </w:r>
      <w:r>
        <w:rPr>
          <w:rFonts w:hint="default" w:ascii="Times New Roman" w:hAnsi="Times New Roman" w:eastAsia="方正楷体简体" w:cs="Times New Roman"/>
          <w:b w:val="0"/>
          <w:bCs w:val="0"/>
          <w:sz w:val="32"/>
          <w:szCs w:val="32"/>
          <w:lang w:eastAsia="zh-CN"/>
        </w:rPr>
        <w:t>）</w:t>
      </w:r>
      <w:r>
        <w:rPr>
          <w:rFonts w:hint="default" w:ascii="Times New Roman" w:hAnsi="Times New Roman" w:eastAsia="方正楷体简体" w:cs="Times New Roman"/>
          <w:b w:val="0"/>
          <w:bCs w:val="0"/>
          <w:sz w:val="32"/>
          <w:szCs w:val="32"/>
          <w:lang w:val="en-US" w:eastAsia="zh-CN"/>
        </w:rPr>
        <w:t>健全完善预算绩效管理制度建设</w:t>
      </w:r>
    </w:p>
    <w:p w14:paraId="383C633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应结合部门内部实际，在预算绩效管理方面，建立部门内部预算与绩效结果挂钩的机制，将部门内部预算自评纳入考核体系。进一步加强预算绩效管理制度建设，完善工作机制，强化责任落实，提高制度执行力，为部门预算管理的实施提供具体的指导意见，以确保财政资金使用的质量和效果。</w:t>
      </w:r>
    </w:p>
    <w:p w14:paraId="266796C3">
      <w:pPr>
        <w:keepNext w:val="0"/>
        <w:keepLines w:val="0"/>
        <w:pageBreakBefore w:val="0"/>
        <w:kinsoku/>
        <w:wordWrap/>
        <w:overflowPunct/>
        <w:topLinePunct w:val="0"/>
        <w:autoSpaceDE/>
        <w:autoSpaceDN/>
        <w:bidi w:val="0"/>
        <w:spacing w:line="600" w:lineRule="exact"/>
        <w:ind w:left="0" w:leftChars="0" w:firstLine="0" w:firstLineChars="0"/>
        <w:outlineLvl w:val="1"/>
        <w:rPr>
          <w:rFonts w:hint="default" w:ascii="Times New Roman" w:hAnsi="Times New Roman" w:eastAsia="仿宋" w:cs="Times New Roman"/>
          <w:kern w:val="2"/>
          <w:sz w:val="32"/>
          <w:szCs w:val="32"/>
          <w:lang w:val="en-US" w:eastAsia="zh-CN" w:bidi="ar-SA"/>
        </w:rPr>
      </w:pPr>
    </w:p>
    <w:p w14:paraId="6FC6A30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附件</w:t>
      </w:r>
      <w:r>
        <w:rPr>
          <w:rFonts w:hint="default" w:ascii="Times New Roman" w:hAnsi="Times New Roman" w:eastAsia="方正仿宋_GB2312" w:cs="Times New Roman"/>
          <w:color w:val="auto"/>
          <w:sz w:val="32"/>
          <w:szCs w:val="32"/>
          <w:highlight w:val="none"/>
          <w:lang w:val="en-US" w:eastAsia="zh"/>
        </w:rPr>
        <w:t>：</w:t>
      </w:r>
      <w:r>
        <w:rPr>
          <w:rFonts w:hint="default" w:ascii="Times New Roman" w:hAnsi="Times New Roman" w:eastAsia="方正仿宋_GB2312" w:cs="Times New Roman"/>
          <w:color w:val="auto"/>
          <w:sz w:val="32"/>
          <w:szCs w:val="32"/>
          <w:highlight w:val="none"/>
          <w:lang w:val="en-US" w:eastAsia="zh-CN"/>
        </w:rPr>
        <w:t>泸定县融媒体中心部门整体支出绩效评价指标体系表（评分表）</w:t>
      </w:r>
    </w:p>
    <w:p w14:paraId="03CDB3A5">
      <w:pPr>
        <w:pStyle w:val="7"/>
        <w:rPr>
          <w:rFonts w:hint="default" w:ascii="Times New Roman" w:hAnsi="Times New Roman" w:eastAsia="仿宋" w:cs="Times New Roman"/>
          <w:b w:val="0"/>
          <w:bCs w:val="0"/>
          <w:color w:val="auto"/>
          <w:sz w:val="32"/>
          <w:szCs w:val="32"/>
          <w:highlight w:val="none"/>
          <w:lang w:val="en-US" w:eastAsia="zh-CN"/>
        </w:rPr>
      </w:pPr>
    </w:p>
    <w:p w14:paraId="7E1714C9">
      <w:pPr>
        <w:rPr>
          <w:rFonts w:hint="default" w:ascii="Times New Roman" w:hAnsi="Times New Roman" w:cs="Times New Roman"/>
          <w:sz w:val="32"/>
          <w:szCs w:val="32"/>
          <w:highlight w:val="none"/>
          <w:lang w:val="en-US" w:eastAsia="zh-CN"/>
        </w:rPr>
      </w:pPr>
    </w:p>
    <w:p w14:paraId="3BE013B1">
      <w:pPr>
        <w:rPr>
          <w:rFonts w:hint="default" w:ascii="Times New Roman" w:hAnsi="Times New Roman" w:cs="Times New Roman"/>
          <w:sz w:val="32"/>
          <w:szCs w:val="32"/>
          <w:highlight w:val="none"/>
          <w:lang w:val="en-US" w:eastAsia="zh-CN"/>
        </w:rPr>
      </w:pPr>
      <w:bookmarkStart w:id="153" w:name="_GoBack"/>
      <w:bookmarkEnd w:id="153"/>
    </w:p>
    <w:p w14:paraId="599F7CA8">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仿宋" w:cs="Times New Roman"/>
          <w:b w:val="0"/>
          <w:bCs w:val="0"/>
          <w:sz w:val="32"/>
          <w:szCs w:val="32"/>
          <w:highlight w:val="none"/>
          <w:lang w:eastAsia="zh-CN"/>
        </w:rPr>
        <w:t>　　</w:t>
      </w:r>
      <w:r>
        <w:rPr>
          <w:rFonts w:hint="default" w:ascii="Times New Roman" w:hAnsi="Times New Roman" w:eastAsia="方正仿宋_GB2312" w:cs="Times New Roman"/>
          <w:sz w:val="32"/>
          <w:szCs w:val="32"/>
          <w:highlight w:val="none"/>
        </w:rPr>
        <w:t>泸定县财政局</w:t>
      </w:r>
    </w:p>
    <w:p w14:paraId="6AF8A96F">
      <w:pPr>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default" w:ascii="Times New Roman" w:hAnsi="Times New Roman" w:eastAsia="方正仿宋_GB2312" w:cs="Times New Roman"/>
          <w:sz w:val="32"/>
          <w:szCs w:val="32"/>
          <w:highlight w:val="none"/>
          <w:lang w:val="en-US" w:eastAsia="zh-CN"/>
        </w:rPr>
      </w:pPr>
      <w:r>
        <w:rPr>
          <w:rFonts w:hint="default" w:ascii="Times New Roman" w:hAnsi="Times New Roman" w:eastAsia="方正仿宋_GB2312" w:cs="Times New Roman"/>
          <w:sz w:val="32"/>
          <w:szCs w:val="32"/>
          <w:highlight w:val="none"/>
        </w:rPr>
        <w:t>　　　　　　　　　　　2025年11月11日</w:t>
      </w:r>
    </w:p>
    <w:sectPr>
      <w:headerReference r:id="rId5" w:type="default"/>
      <w:footerReference r:id="rId6" w:type="default"/>
      <w:pgSz w:w="11906" w:h="16838"/>
      <w:pgMar w:top="1440" w:right="1803" w:bottom="1440" w:left="1803" w:header="680" w:footer="737" w:gutter="0"/>
      <w:pgNumType w:fmt="decimal"/>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1" w:fontKey="{4E52FB29-F180-40C0-B999-BB1E88AB7D32}"/>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2" w:fontKey="{CDA65E49-24BC-4E20-AA26-867EF87510FC}"/>
  </w:font>
  <w:font w:name="等线 Light">
    <w:altName w:val="宋体"/>
    <w:panose1 w:val="02010600030101010101"/>
    <w:charset w:val="86"/>
    <w:family w:val="auto"/>
    <w:pitch w:val="default"/>
    <w:sig w:usb0="00000000" w:usb1="00000000" w:usb2="00000016" w:usb3="00000000" w:csb0="0004000F" w:csb1="00000000"/>
  </w:font>
  <w:font w:name="方正小标宋_GBK">
    <w:panose1 w:val="02000000000000000000"/>
    <w:charset w:val="86"/>
    <w:family w:val="auto"/>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A039E39F-E129-4753-8B4E-597524ED840B}"/>
  </w:font>
  <w:font w:name="方正黑体简体">
    <w:panose1 w:val="03000509000000000000"/>
    <w:charset w:val="86"/>
    <w:family w:val="auto"/>
    <w:pitch w:val="default"/>
    <w:sig w:usb0="00000001" w:usb1="080E0000" w:usb2="00000000" w:usb3="00000000" w:csb0="00040000" w:csb1="00000000"/>
    <w:embedRegular r:id="rId4" w:fontKey="{1CFC8A34-26C3-4D40-ADE0-FB9BDC5C8D16}"/>
  </w:font>
  <w:font w:name="方正楷体简体">
    <w:panose1 w:val="03000509000000000000"/>
    <w:charset w:val="86"/>
    <w:family w:val="auto"/>
    <w:pitch w:val="default"/>
    <w:sig w:usb0="00000001" w:usb1="080E0000" w:usb2="00000000" w:usb3="00000000" w:csb0="00040000" w:csb1="00000000"/>
    <w:embedRegular r:id="rId5" w:fontKey="{990B7039-0265-4892-ADE3-F5243E751AEA}"/>
  </w:font>
  <w:font w:name="方正小标宋简体">
    <w:panose1 w:val="03000509000000000000"/>
    <w:charset w:val="86"/>
    <w:family w:val="auto"/>
    <w:pitch w:val="default"/>
    <w:sig w:usb0="00000001" w:usb1="080E0000" w:usb2="00000000" w:usb3="00000000" w:csb0="00040000" w:csb1="00000000"/>
    <w:embedRegular r:id="rId6" w:fontKey="{F6B34C06-2ED4-4E89-AD11-B358764BE3D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2"/>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2"/>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2"/>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2F3B84"/>
    <w:multiLevelType w:val="multilevel"/>
    <w:tmpl w:val="372F3B84"/>
    <w:lvl w:ilvl="0" w:tentative="0">
      <w:start w:val="1"/>
      <w:numFmt w:val="japaneseCounting"/>
      <w:pStyle w:val="4"/>
      <w:lvlText w:val="（%1）"/>
      <w:lvlJc w:val="left"/>
      <w:pPr>
        <w:ind w:left="1937" w:hanging="977"/>
      </w:pPr>
      <w:rPr>
        <w:rFonts w:hint="default"/>
      </w:rPr>
    </w:lvl>
    <w:lvl w:ilvl="1" w:tentative="0">
      <w:start w:val="1"/>
      <w:numFmt w:val="lowerLetter"/>
      <w:lvlText w:val="%2)"/>
      <w:lvlJc w:val="left"/>
      <w:pPr>
        <w:ind w:left="1840" w:hanging="440"/>
      </w:pPr>
    </w:lvl>
    <w:lvl w:ilvl="2" w:tentative="0">
      <w:start w:val="1"/>
      <w:numFmt w:val="lowerRoman"/>
      <w:lvlText w:val="%3."/>
      <w:lvlJc w:val="right"/>
      <w:pPr>
        <w:ind w:left="2280" w:hanging="440"/>
      </w:pPr>
    </w:lvl>
    <w:lvl w:ilvl="3" w:tentative="0">
      <w:start w:val="1"/>
      <w:numFmt w:val="decimal"/>
      <w:lvlText w:val="%4."/>
      <w:lvlJc w:val="left"/>
      <w:pPr>
        <w:ind w:left="2720" w:hanging="440"/>
      </w:pPr>
    </w:lvl>
    <w:lvl w:ilvl="4" w:tentative="0">
      <w:start w:val="1"/>
      <w:numFmt w:val="lowerLetter"/>
      <w:lvlText w:val="%5)"/>
      <w:lvlJc w:val="left"/>
      <w:pPr>
        <w:ind w:left="3160" w:hanging="440"/>
      </w:pPr>
    </w:lvl>
    <w:lvl w:ilvl="5" w:tentative="0">
      <w:start w:val="1"/>
      <w:numFmt w:val="lowerRoman"/>
      <w:lvlText w:val="%6."/>
      <w:lvlJc w:val="right"/>
      <w:pPr>
        <w:ind w:left="3600" w:hanging="440"/>
      </w:pPr>
    </w:lvl>
    <w:lvl w:ilvl="6" w:tentative="0">
      <w:start w:val="1"/>
      <w:numFmt w:val="decimal"/>
      <w:lvlText w:val="%7."/>
      <w:lvlJc w:val="left"/>
      <w:pPr>
        <w:ind w:left="4040" w:hanging="440"/>
      </w:pPr>
    </w:lvl>
    <w:lvl w:ilvl="7" w:tentative="0">
      <w:start w:val="1"/>
      <w:numFmt w:val="lowerLetter"/>
      <w:lvlText w:val="%8)"/>
      <w:lvlJc w:val="left"/>
      <w:pPr>
        <w:ind w:left="4480" w:hanging="440"/>
      </w:pPr>
    </w:lvl>
    <w:lvl w:ilvl="8" w:tentative="0">
      <w:start w:val="1"/>
      <w:numFmt w:val="lowerRoman"/>
      <w:lvlText w:val="%9."/>
      <w:lvlJc w:val="right"/>
      <w:pPr>
        <w:ind w:left="4920" w:hanging="44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3"/>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5M2JhZjNlZGRmY2I3MDBiNjBkZWI3YTgzNWY3NWE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256CA"/>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5B3238"/>
    <w:rsid w:val="0174274A"/>
    <w:rsid w:val="01AE1362"/>
    <w:rsid w:val="0209008E"/>
    <w:rsid w:val="0221101D"/>
    <w:rsid w:val="028212C5"/>
    <w:rsid w:val="02A14C7A"/>
    <w:rsid w:val="02B56978"/>
    <w:rsid w:val="031D77B8"/>
    <w:rsid w:val="03435D32"/>
    <w:rsid w:val="034B0AC6"/>
    <w:rsid w:val="03B62E52"/>
    <w:rsid w:val="03BD26AA"/>
    <w:rsid w:val="03C46413"/>
    <w:rsid w:val="03F043C9"/>
    <w:rsid w:val="03F5560D"/>
    <w:rsid w:val="05370DC3"/>
    <w:rsid w:val="05704583"/>
    <w:rsid w:val="05AE5131"/>
    <w:rsid w:val="05DC421B"/>
    <w:rsid w:val="069B1F26"/>
    <w:rsid w:val="06E2185D"/>
    <w:rsid w:val="071C5217"/>
    <w:rsid w:val="074574B7"/>
    <w:rsid w:val="077F711D"/>
    <w:rsid w:val="0815093A"/>
    <w:rsid w:val="08280844"/>
    <w:rsid w:val="08321414"/>
    <w:rsid w:val="08BC09C7"/>
    <w:rsid w:val="08CA0DBA"/>
    <w:rsid w:val="0AA10A64"/>
    <w:rsid w:val="0AAA2B3A"/>
    <w:rsid w:val="0BD10723"/>
    <w:rsid w:val="0C0A3890"/>
    <w:rsid w:val="0C82214A"/>
    <w:rsid w:val="0CC90B55"/>
    <w:rsid w:val="0CF63E15"/>
    <w:rsid w:val="0D4639D6"/>
    <w:rsid w:val="0D7C008D"/>
    <w:rsid w:val="0DA06897"/>
    <w:rsid w:val="0DF462ED"/>
    <w:rsid w:val="0DF90060"/>
    <w:rsid w:val="0E19564B"/>
    <w:rsid w:val="0E3E5A73"/>
    <w:rsid w:val="0E522B49"/>
    <w:rsid w:val="0E5E23AA"/>
    <w:rsid w:val="0E6050D4"/>
    <w:rsid w:val="0E7F3C56"/>
    <w:rsid w:val="0EE4486D"/>
    <w:rsid w:val="0EF40828"/>
    <w:rsid w:val="0EF610D2"/>
    <w:rsid w:val="0EF97BEC"/>
    <w:rsid w:val="0F207817"/>
    <w:rsid w:val="0F24115F"/>
    <w:rsid w:val="0F7D48CD"/>
    <w:rsid w:val="0F895427"/>
    <w:rsid w:val="0FA36556"/>
    <w:rsid w:val="100F5919"/>
    <w:rsid w:val="10607EBA"/>
    <w:rsid w:val="10857989"/>
    <w:rsid w:val="10A609B0"/>
    <w:rsid w:val="10C177C0"/>
    <w:rsid w:val="10FB12CE"/>
    <w:rsid w:val="11034D52"/>
    <w:rsid w:val="11641A35"/>
    <w:rsid w:val="11A54F88"/>
    <w:rsid w:val="11A55E09"/>
    <w:rsid w:val="1256364C"/>
    <w:rsid w:val="12F71BB3"/>
    <w:rsid w:val="13445E84"/>
    <w:rsid w:val="13463C67"/>
    <w:rsid w:val="134E407D"/>
    <w:rsid w:val="136916A0"/>
    <w:rsid w:val="13BF191E"/>
    <w:rsid w:val="13DD5D2E"/>
    <w:rsid w:val="144B4CE8"/>
    <w:rsid w:val="14827494"/>
    <w:rsid w:val="14DA48CB"/>
    <w:rsid w:val="14DA73CD"/>
    <w:rsid w:val="151B6B0E"/>
    <w:rsid w:val="155B04E5"/>
    <w:rsid w:val="15762967"/>
    <w:rsid w:val="15C0420D"/>
    <w:rsid w:val="15C42D02"/>
    <w:rsid w:val="16310CFC"/>
    <w:rsid w:val="164E7445"/>
    <w:rsid w:val="16521418"/>
    <w:rsid w:val="167B192A"/>
    <w:rsid w:val="16BA737C"/>
    <w:rsid w:val="17404D18"/>
    <w:rsid w:val="178D5376"/>
    <w:rsid w:val="179E79D9"/>
    <w:rsid w:val="17FD7EEE"/>
    <w:rsid w:val="180A196B"/>
    <w:rsid w:val="181B0371"/>
    <w:rsid w:val="186A5A33"/>
    <w:rsid w:val="18A93AFC"/>
    <w:rsid w:val="18DA3FE0"/>
    <w:rsid w:val="18DD5A8A"/>
    <w:rsid w:val="195A2D50"/>
    <w:rsid w:val="196B6F54"/>
    <w:rsid w:val="19CD71FA"/>
    <w:rsid w:val="19E605C7"/>
    <w:rsid w:val="1A48253C"/>
    <w:rsid w:val="1A94413A"/>
    <w:rsid w:val="1AC02064"/>
    <w:rsid w:val="1AF776D6"/>
    <w:rsid w:val="1B0B2AA5"/>
    <w:rsid w:val="1B334486"/>
    <w:rsid w:val="1BDF6BC8"/>
    <w:rsid w:val="1C2C3D72"/>
    <w:rsid w:val="1C535707"/>
    <w:rsid w:val="1C580E62"/>
    <w:rsid w:val="1C975E00"/>
    <w:rsid w:val="1D046172"/>
    <w:rsid w:val="1D484219"/>
    <w:rsid w:val="1D4F18C5"/>
    <w:rsid w:val="1D9A1CE4"/>
    <w:rsid w:val="1DD67D6F"/>
    <w:rsid w:val="1E036392"/>
    <w:rsid w:val="1E0C3498"/>
    <w:rsid w:val="1ED16069"/>
    <w:rsid w:val="1ED24185"/>
    <w:rsid w:val="1ED35C04"/>
    <w:rsid w:val="1ED903FD"/>
    <w:rsid w:val="1EE16233"/>
    <w:rsid w:val="1EFB57A6"/>
    <w:rsid w:val="1F372797"/>
    <w:rsid w:val="1F406C39"/>
    <w:rsid w:val="1F923C65"/>
    <w:rsid w:val="1FB262C1"/>
    <w:rsid w:val="1FD20322"/>
    <w:rsid w:val="1FE92B41"/>
    <w:rsid w:val="1FFEDEEE"/>
    <w:rsid w:val="201E1FEE"/>
    <w:rsid w:val="202E7632"/>
    <w:rsid w:val="20533B33"/>
    <w:rsid w:val="207456E4"/>
    <w:rsid w:val="20A3724F"/>
    <w:rsid w:val="20CB7E98"/>
    <w:rsid w:val="20F2464B"/>
    <w:rsid w:val="21CC56B8"/>
    <w:rsid w:val="21F711A6"/>
    <w:rsid w:val="22460F43"/>
    <w:rsid w:val="22612BC4"/>
    <w:rsid w:val="2297354C"/>
    <w:rsid w:val="22DD16D2"/>
    <w:rsid w:val="22F7E8FF"/>
    <w:rsid w:val="234C0C7F"/>
    <w:rsid w:val="23A67EEB"/>
    <w:rsid w:val="23BE0374"/>
    <w:rsid w:val="23C71EC1"/>
    <w:rsid w:val="23F46FD7"/>
    <w:rsid w:val="24283899"/>
    <w:rsid w:val="242A734D"/>
    <w:rsid w:val="24436E8F"/>
    <w:rsid w:val="248C4080"/>
    <w:rsid w:val="24C04FDC"/>
    <w:rsid w:val="24FD16C3"/>
    <w:rsid w:val="25F533FB"/>
    <w:rsid w:val="26331263"/>
    <w:rsid w:val="263F3713"/>
    <w:rsid w:val="265058AE"/>
    <w:rsid w:val="265F3B15"/>
    <w:rsid w:val="269C2300"/>
    <w:rsid w:val="271534C4"/>
    <w:rsid w:val="271E56C4"/>
    <w:rsid w:val="27391076"/>
    <w:rsid w:val="273B0505"/>
    <w:rsid w:val="277338DD"/>
    <w:rsid w:val="27A6495D"/>
    <w:rsid w:val="27F31AB9"/>
    <w:rsid w:val="27F60C89"/>
    <w:rsid w:val="27FFC5C7"/>
    <w:rsid w:val="282446FC"/>
    <w:rsid w:val="282B56B9"/>
    <w:rsid w:val="28371A2F"/>
    <w:rsid w:val="284452E7"/>
    <w:rsid w:val="28523CBE"/>
    <w:rsid w:val="28757938"/>
    <w:rsid w:val="28860508"/>
    <w:rsid w:val="28950ECF"/>
    <w:rsid w:val="291B3F45"/>
    <w:rsid w:val="294B0B24"/>
    <w:rsid w:val="29581F66"/>
    <w:rsid w:val="29942B89"/>
    <w:rsid w:val="2A0E67EA"/>
    <w:rsid w:val="2A14341E"/>
    <w:rsid w:val="2A257690"/>
    <w:rsid w:val="2A817549"/>
    <w:rsid w:val="2AC554D1"/>
    <w:rsid w:val="2ADB2B70"/>
    <w:rsid w:val="2B275DB5"/>
    <w:rsid w:val="2B625A5F"/>
    <w:rsid w:val="2BBE5215"/>
    <w:rsid w:val="2BD70482"/>
    <w:rsid w:val="2C2F0835"/>
    <w:rsid w:val="2CBB4441"/>
    <w:rsid w:val="2CC80ED2"/>
    <w:rsid w:val="2CD1263C"/>
    <w:rsid w:val="2CF37A27"/>
    <w:rsid w:val="2CF74E38"/>
    <w:rsid w:val="2D241E80"/>
    <w:rsid w:val="2D324D1A"/>
    <w:rsid w:val="2D525A3B"/>
    <w:rsid w:val="2D6319D3"/>
    <w:rsid w:val="2D9D27E0"/>
    <w:rsid w:val="2DE812E1"/>
    <w:rsid w:val="2E750BE6"/>
    <w:rsid w:val="2E7B50BC"/>
    <w:rsid w:val="2E982D28"/>
    <w:rsid w:val="2EAE40F8"/>
    <w:rsid w:val="2ED1320F"/>
    <w:rsid w:val="2F040BD9"/>
    <w:rsid w:val="2F3274A5"/>
    <w:rsid w:val="2F655045"/>
    <w:rsid w:val="2FBBA5AB"/>
    <w:rsid w:val="2FBF381C"/>
    <w:rsid w:val="2FC260AC"/>
    <w:rsid w:val="2FD91648"/>
    <w:rsid w:val="2FEF2A5C"/>
    <w:rsid w:val="3052247A"/>
    <w:rsid w:val="305D77B8"/>
    <w:rsid w:val="3090670D"/>
    <w:rsid w:val="312B48AF"/>
    <w:rsid w:val="31B5579D"/>
    <w:rsid w:val="32A47AB4"/>
    <w:rsid w:val="32CB27BC"/>
    <w:rsid w:val="33105381"/>
    <w:rsid w:val="336B6A5B"/>
    <w:rsid w:val="337B49B9"/>
    <w:rsid w:val="33BD27DF"/>
    <w:rsid w:val="33EB569F"/>
    <w:rsid w:val="33FA0C54"/>
    <w:rsid w:val="34113BD6"/>
    <w:rsid w:val="34140406"/>
    <w:rsid w:val="342C7375"/>
    <w:rsid w:val="34B42BB5"/>
    <w:rsid w:val="34C73C1C"/>
    <w:rsid w:val="350D6544"/>
    <w:rsid w:val="35EE2E3C"/>
    <w:rsid w:val="36001598"/>
    <w:rsid w:val="360308FA"/>
    <w:rsid w:val="36527A5E"/>
    <w:rsid w:val="36870F62"/>
    <w:rsid w:val="369B1CB2"/>
    <w:rsid w:val="36BF54EC"/>
    <w:rsid w:val="36C17759"/>
    <w:rsid w:val="36DC449D"/>
    <w:rsid w:val="36F56951"/>
    <w:rsid w:val="37E36263"/>
    <w:rsid w:val="37EE368E"/>
    <w:rsid w:val="38554F2F"/>
    <w:rsid w:val="38693545"/>
    <w:rsid w:val="38C96200"/>
    <w:rsid w:val="38D85C62"/>
    <w:rsid w:val="390E6F8C"/>
    <w:rsid w:val="39131F2C"/>
    <w:rsid w:val="39374DDA"/>
    <w:rsid w:val="393C614A"/>
    <w:rsid w:val="39411EEC"/>
    <w:rsid w:val="39935632"/>
    <w:rsid w:val="39E6508D"/>
    <w:rsid w:val="3A3949DD"/>
    <w:rsid w:val="3A4A7C37"/>
    <w:rsid w:val="3A7649A2"/>
    <w:rsid w:val="3A81279A"/>
    <w:rsid w:val="3AE5274E"/>
    <w:rsid w:val="3B072D35"/>
    <w:rsid w:val="3B3301C2"/>
    <w:rsid w:val="3B626037"/>
    <w:rsid w:val="3BD70C1C"/>
    <w:rsid w:val="3C065573"/>
    <w:rsid w:val="3C4B567C"/>
    <w:rsid w:val="3C837FE5"/>
    <w:rsid w:val="3CB15DE8"/>
    <w:rsid w:val="3D1F22E5"/>
    <w:rsid w:val="3D3960CA"/>
    <w:rsid w:val="3D741DDE"/>
    <w:rsid w:val="3D997564"/>
    <w:rsid w:val="3DB744C0"/>
    <w:rsid w:val="3DB8289D"/>
    <w:rsid w:val="3DE87F46"/>
    <w:rsid w:val="3DFC2E05"/>
    <w:rsid w:val="3E0D7049"/>
    <w:rsid w:val="3E144470"/>
    <w:rsid w:val="3E432DCF"/>
    <w:rsid w:val="3E8E1632"/>
    <w:rsid w:val="3F3E2FE9"/>
    <w:rsid w:val="3F5605BF"/>
    <w:rsid w:val="3F646F3E"/>
    <w:rsid w:val="3F7B5870"/>
    <w:rsid w:val="3FAD280D"/>
    <w:rsid w:val="3FAFC9F3"/>
    <w:rsid w:val="3FBD0AA0"/>
    <w:rsid w:val="3FBFE8A3"/>
    <w:rsid w:val="3FBFF11E"/>
    <w:rsid w:val="3FC78042"/>
    <w:rsid w:val="3FCF6EEE"/>
    <w:rsid w:val="3FFA9567"/>
    <w:rsid w:val="3FFBC9EC"/>
    <w:rsid w:val="3FFFEA14"/>
    <w:rsid w:val="400D7690"/>
    <w:rsid w:val="4069560F"/>
    <w:rsid w:val="412070D7"/>
    <w:rsid w:val="41322966"/>
    <w:rsid w:val="41670862"/>
    <w:rsid w:val="41731B45"/>
    <w:rsid w:val="41DC7289"/>
    <w:rsid w:val="41FD2ABB"/>
    <w:rsid w:val="421C165C"/>
    <w:rsid w:val="42811671"/>
    <w:rsid w:val="428B71EF"/>
    <w:rsid w:val="42A2347D"/>
    <w:rsid w:val="43251644"/>
    <w:rsid w:val="43802285"/>
    <w:rsid w:val="43A7F1A6"/>
    <w:rsid w:val="43D2284D"/>
    <w:rsid w:val="43ED42A2"/>
    <w:rsid w:val="44865DC2"/>
    <w:rsid w:val="44986F84"/>
    <w:rsid w:val="44A86EA6"/>
    <w:rsid w:val="44B03869"/>
    <w:rsid w:val="44B958DC"/>
    <w:rsid w:val="44E65F41"/>
    <w:rsid w:val="44FE2B7A"/>
    <w:rsid w:val="45221C05"/>
    <w:rsid w:val="45576E3F"/>
    <w:rsid w:val="455812EC"/>
    <w:rsid w:val="456F5F37"/>
    <w:rsid w:val="45761D23"/>
    <w:rsid w:val="45913DC1"/>
    <w:rsid w:val="4593493B"/>
    <w:rsid w:val="459B16D3"/>
    <w:rsid w:val="459E4A6E"/>
    <w:rsid w:val="45F31D67"/>
    <w:rsid w:val="45FF29D4"/>
    <w:rsid w:val="462A15BD"/>
    <w:rsid w:val="4633306D"/>
    <w:rsid w:val="46625636"/>
    <w:rsid w:val="46E2098A"/>
    <w:rsid w:val="4712301E"/>
    <w:rsid w:val="47970F04"/>
    <w:rsid w:val="48D56225"/>
    <w:rsid w:val="493C0826"/>
    <w:rsid w:val="49D23684"/>
    <w:rsid w:val="49E41186"/>
    <w:rsid w:val="49F243D5"/>
    <w:rsid w:val="4A3F0AC3"/>
    <w:rsid w:val="4A6E0EB3"/>
    <w:rsid w:val="4AD1435D"/>
    <w:rsid w:val="4AFA2C7B"/>
    <w:rsid w:val="4B0435C5"/>
    <w:rsid w:val="4B58271A"/>
    <w:rsid w:val="4B6B11A9"/>
    <w:rsid w:val="4B9C6B82"/>
    <w:rsid w:val="4BDE4024"/>
    <w:rsid w:val="4C1635B0"/>
    <w:rsid w:val="4C907F6D"/>
    <w:rsid w:val="4CA46E0E"/>
    <w:rsid w:val="4CAE35BE"/>
    <w:rsid w:val="4CFC2039"/>
    <w:rsid w:val="4D101EA3"/>
    <w:rsid w:val="4D3E2370"/>
    <w:rsid w:val="4D6E449B"/>
    <w:rsid w:val="4F0A34DF"/>
    <w:rsid w:val="4F5F5C7E"/>
    <w:rsid w:val="4F7241B1"/>
    <w:rsid w:val="4FCD04DF"/>
    <w:rsid w:val="4FF7181A"/>
    <w:rsid w:val="4FFE309A"/>
    <w:rsid w:val="507D0BBC"/>
    <w:rsid w:val="507E6B2A"/>
    <w:rsid w:val="51290B58"/>
    <w:rsid w:val="51381763"/>
    <w:rsid w:val="51842D6A"/>
    <w:rsid w:val="51960840"/>
    <w:rsid w:val="51D7639A"/>
    <w:rsid w:val="51E2208C"/>
    <w:rsid w:val="5221572C"/>
    <w:rsid w:val="52265F38"/>
    <w:rsid w:val="52291B63"/>
    <w:rsid w:val="52EF2BDF"/>
    <w:rsid w:val="535B753F"/>
    <w:rsid w:val="53B16AD7"/>
    <w:rsid w:val="543748C0"/>
    <w:rsid w:val="54B716A8"/>
    <w:rsid w:val="55516FE9"/>
    <w:rsid w:val="55681707"/>
    <w:rsid w:val="55AC2CD2"/>
    <w:rsid w:val="55B812E3"/>
    <w:rsid w:val="55D82153"/>
    <w:rsid w:val="561A2F05"/>
    <w:rsid w:val="566E5A78"/>
    <w:rsid w:val="56A7003A"/>
    <w:rsid w:val="575D29C4"/>
    <w:rsid w:val="577B4EF8"/>
    <w:rsid w:val="57950BEC"/>
    <w:rsid w:val="579A41D9"/>
    <w:rsid w:val="57BD01C5"/>
    <w:rsid w:val="57BE73BD"/>
    <w:rsid w:val="57C56C55"/>
    <w:rsid w:val="57E13BCA"/>
    <w:rsid w:val="57EAF5E5"/>
    <w:rsid w:val="58334AD1"/>
    <w:rsid w:val="5864421C"/>
    <w:rsid w:val="58F55AD6"/>
    <w:rsid w:val="5901172B"/>
    <w:rsid w:val="59561F19"/>
    <w:rsid w:val="596B1981"/>
    <w:rsid w:val="59821BED"/>
    <w:rsid w:val="59CF4D9E"/>
    <w:rsid w:val="59DE4A58"/>
    <w:rsid w:val="5AB4383C"/>
    <w:rsid w:val="5AED719F"/>
    <w:rsid w:val="5B0A7A07"/>
    <w:rsid w:val="5B1433B1"/>
    <w:rsid w:val="5B353327"/>
    <w:rsid w:val="5B3C271A"/>
    <w:rsid w:val="5B3F384B"/>
    <w:rsid w:val="5B5F5E1B"/>
    <w:rsid w:val="5B685559"/>
    <w:rsid w:val="5B8F6EDB"/>
    <w:rsid w:val="5BE414C5"/>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6D6710"/>
    <w:rsid w:val="5E7C5B9B"/>
    <w:rsid w:val="5EA82B76"/>
    <w:rsid w:val="5EB1D3F4"/>
    <w:rsid w:val="5ECB38AD"/>
    <w:rsid w:val="5EDB5F93"/>
    <w:rsid w:val="5F246AEA"/>
    <w:rsid w:val="5F3B183F"/>
    <w:rsid w:val="5F5617FE"/>
    <w:rsid w:val="5F562031"/>
    <w:rsid w:val="5F774ACC"/>
    <w:rsid w:val="5F9C373E"/>
    <w:rsid w:val="5FBF7263"/>
    <w:rsid w:val="5FCF84ED"/>
    <w:rsid w:val="5FDFC83C"/>
    <w:rsid w:val="5FF7A0DE"/>
    <w:rsid w:val="60017C7C"/>
    <w:rsid w:val="6020741B"/>
    <w:rsid w:val="60695F4D"/>
    <w:rsid w:val="608914CC"/>
    <w:rsid w:val="6094289E"/>
    <w:rsid w:val="60A725D1"/>
    <w:rsid w:val="60F11867"/>
    <w:rsid w:val="61035425"/>
    <w:rsid w:val="61492D1C"/>
    <w:rsid w:val="615C16D6"/>
    <w:rsid w:val="618A3DC3"/>
    <w:rsid w:val="61C15430"/>
    <w:rsid w:val="61E46B12"/>
    <w:rsid w:val="62102CE3"/>
    <w:rsid w:val="62222B09"/>
    <w:rsid w:val="62311D7E"/>
    <w:rsid w:val="62350D51"/>
    <w:rsid w:val="627C5614"/>
    <w:rsid w:val="62BA758E"/>
    <w:rsid w:val="62BB6119"/>
    <w:rsid w:val="62D11B87"/>
    <w:rsid w:val="630D7F41"/>
    <w:rsid w:val="630F26B0"/>
    <w:rsid w:val="636724EC"/>
    <w:rsid w:val="636C18B0"/>
    <w:rsid w:val="63A71F74"/>
    <w:rsid w:val="63ED0D4F"/>
    <w:rsid w:val="64FE5F84"/>
    <w:rsid w:val="652F1904"/>
    <w:rsid w:val="65835D1E"/>
    <w:rsid w:val="65BF660F"/>
    <w:rsid w:val="65C7404D"/>
    <w:rsid w:val="65E65AF1"/>
    <w:rsid w:val="65F17436"/>
    <w:rsid w:val="66BB8914"/>
    <w:rsid w:val="66C0483B"/>
    <w:rsid w:val="66CC410D"/>
    <w:rsid w:val="66EE54A9"/>
    <w:rsid w:val="67152FB8"/>
    <w:rsid w:val="67551304"/>
    <w:rsid w:val="676254A4"/>
    <w:rsid w:val="678D0D6C"/>
    <w:rsid w:val="67AB4C59"/>
    <w:rsid w:val="67C96B35"/>
    <w:rsid w:val="67D8ED11"/>
    <w:rsid w:val="684306E9"/>
    <w:rsid w:val="68723580"/>
    <w:rsid w:val="68994500"/>
    <w:rsid w:val="69172000"/>
    <w:rsid w:val="697F1380"/>
    <w:rsid w:val="699A1F8A"/>
    <w:rsid w:val="69A93917"/>
    <w:rsid w:val="69F84725"/>
    <w:rsid w:val="6A4A3BFD"/>
    <w:rsid w:val="6B43739A"/>
    <w:rsid w:val="6BFFA4D9"/>
    <w:rsid w:val="6C196A9A"/>
    <w:rsid w:val="6C590980"/>
    <w:rsid w:val="6C75429C"/>
    <w:rsid w:val="6C7D23DE"/>
    <w:rsid w:val="6C8163CC"/>
    <w:rsid w:val="6C862912"/>
    <w:rsid w:val="6CFA1652"/>
    <w:rsid w:val="6CFD7E08"/>
    <w:rsid w:val="6D0F4A6A"/>
    <w:rsid w:val="6D3D4391"/>
    <w:rsid w:val="6D4F2BB4"/>
    <w:rsid w:val="6D8E68B6"/>
    <w:rsid w:val="6DB91B96"/>
    <w:rsid w:val="6DCD214C"/>
    <w:rsid w:val="6E3C3302"/>
    <w:rsid w:val="6E7E0482"/>
    <w:rsid w:val="6E7F1593"/>
    <w:rsid w:val="6E8B15BA"/>
    <w:rsid w:val="6EC3F98A"/>
    <w:rsid w:val="6EDE010C"/>
    <w:rsid w:val="6EFE7E0F"/>
    <w:rsid w:val="6F5F3DDC"/>
    <w:rsid w:val="6FBF4705"/>
    <w:rsid w:val="6FC06BC3"/>
    <w:rsid w:val="6FC24E02"/>
    <w:rsid w:val="6FCD2B35"/>
    <w:rsid w:val="6FEFDAF3"/>
    <w:rsid w:val="6FF658FB"/>
    <w:rsid w:val="6FFB1FF0"/>
    <w:rsid w:val="6FFEF6BD"/>
    <w:rsid w:val="70161521"/>
    <w:rsid w:val="70756248"/>
    <w:rsid w:val="70983CE4"/>
    <w:rsid w:val="70BB65E4"/>
    <w:rsid w:val="70E817A2"/>
    <w:rsid w:val="70EF71B7"/>
    <w:rsid w:val="70FAFB2A"/>
    <w:rsid w:val="71506ACE"/>
    <w:rsid w:val="716138A0"/>
    <w:rsid w:val="716314ED"/>
    <w:rsid w:val="71753151"/>
    <w:rsid w:val="71867FE1"/>
    <w:rsid w:val="71A73D3E"/>
    <w:rsid w:val="71D4087A"/>
    <w:rsid w:val="71E34413"/>
    <w:rsid w:val="71FE401B"/>
    <w:rsid w:val="726A16B0"/>
    <w:rsid w:val="727D4F24"/>
    <w:rsid w:val="72822E9E"/>
    <w:rsid w:val="72A146DD"/>
    <w:rsid w:val="72A70FAA"/>
    <w:rsid w:val="72DD1E82"/>
    <w:rsid w:val="72E66F89"/>
    <w:rsid w:val="73113F43"/>
    <w:rsid w:val="734944D8"/>
    <w:rsid w:val="73547C43"/>
    <w:rsid w:val="7357511D"/>
    <w:rsid w:val="737446DD"/>
    <w:rsid w:val="737A3B75"/>
    <w:rsid w:val="737C1264"/>
    <w:rsid w:val="739B12EB"/>
    <w:rsid w:val="73AB6533"/>
    <w:rsid w:val="74620891"/>
    <w:rsid w:val="74D774D1"/>
    <w:rsid w:val="74E42203"/>
    <w:rsid w:val="751F197F"/>
    <w:rsid w:val="75297601"/>
    <w:rsid w:val="752C5839"/>
    <w:rsid w:val="758650B4"/>
    <w:rsid w:val="75956B41"/>
    <w:rsid w:val="759E9462"/>
    <w:rsid w:val="75AB7F59"/>
    <w:rsid w:val="75D9457B"/>
    <w:rsid w:val="75E579CC"/>
    <w:rsid w:val="7613520C"/>
    <w:rsid w:val="76301170"/>
    <w:rsid w:val="763E70DC"/>
    <w:rsid w:val="76937428"/>
    <w:rsid w:val="76EB7264"/>
    <w:rsid w:val="76EEE66D"/>
    <w:rsid w:val="76EF82A2"/>
    <w:rsid w:val="76F20DAE"/>
    <w:rsid w:val="76FBFBCD"/>
    <w:rsid w:val="77245415"/>
    <w:rsid w:val="77503BA8"/>
    <w:rsid w:val="77B627D2"/>
    <w:rsid w:val="77BDFB3C"/>
    <w:rsid w:val="77BF2551"/>
    <w:rsid w:val="77CB4ADD"/>
    <w:rsid w:val="77F50D0E"/>
    <w:rsid w:val="77FCCDF3"/>
    <w:rsid w:val="7821727C"/>
    <w:rsid w:val="78243701"/>
    <w:rsid w:val="782E0A91"/>
    <w:rsid w:val="7866291A"/>
    <w:rsid w:val="788E7EA5"/>
    <w:rsid w:val="78F74A7F"/>
    <w:rsid w:val="7922343B"/>
    <w:rsid w:val="7926388B"/>
    <w:rsid w:val="79521C10"/>
    <w:rsid w:val="795E17F1"/>
    <w:rsid w:val="795FF9E4"/>
    <w:rsid w:val="79D42C0A"/>
    <w:rsid w:val="79FFF26D"/>
    <w:rsid w:val="7A142583"/>
    <w:rsid w:val="7A267238"/>
    <w:rsid w:val="7A30225F"/>
    <w:rsid w:val="7AAE7979"/>
    <w:rsid w:val="7AD5E80B"/>
    <w:rsid w:val="7AE7FD2B"/>
    <w:rsid w:val="7AF3D7EA"/>
    <w:rsid w:val="7AFE98C0"/>
    <w:rsid w:val="7B0A37F3"/>
    <w:rsid w:val="7B2EC99E"/>
    <w:rsid w:val="7B3E4BF5"/>
    <w:rsid w:val="7B676EB1"/>
    <w:rsid w:val="7B93031C"/>
    <w:rsid w:val="7BB3345A"/>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154BC6"/>
    <w:rsid w:val="7E6B12CB"/>
    <w:rsid w:val="7E7273D9"/>
    <w:rsid w:val="7E7F81E4"/>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8C4AD9"/>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nhideWhenUsed="0" w:uiPriority="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3">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unhideWhenUsed/>
    <w:qFormat/>
    <w:uiPriority w:val="99"/>
    <w:pPr>
      <w:numPr>
        <w:ilvl w:val="0"/>
        <w:numId w:val="2"/>
      </w:numPr>
      <w:spacing w:line="560" w:lineRule="exact"/>
    </w:pPr>
    <w:rPr>
      <w:rFonts w:ascii="楷体" w:hAnsi="楷体" w:eastAsia="楷体" w:cs="楷体"/>
      <w:szCs w:val="32"/>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Body Text"/>
    <w:basedOn w:val="1"/>
    <w:next w:val="1"/>
    <w:qFormat/>
    <w:uiPriority w:val="0"/>
    <w:pPr>
      <w:spacing w:after="120"/>
    </w:pPr>
    <w:rPr>
      <w:rFonts w:ascii="Calibri" w:hAnsi="Calibri"/>
      <w:kern w:val="0"/>
      <w:szCs w:val="20"/>
    </w:rPr>
  </w:style>
  <w:style w:type="paragraph" w:styleId="8">
    <w:name w:val="Body Text Indent"/>
    <w:basedOn w:val="1"/>
    <w:next w:val="9"/>
    <w:link w:val="44"/>
    <w:semiHidden/>
    <w:unhideWhenUsed/>
    <w:qFormat/>
    <w:uiPriority w:val="99"/>
    <w:pPr>
      <w:ind w:firstLine="640"/>
    </w:pPr>
    <w:rPr>
      <w:rFonts w:ascii="Calibri" w:hAnsi="Calibri" w:eastAsia="宋体" w:cs="Times New Roman"/>
      <w:sz w:val="32"/>
      <w:szCs w:val="24"/>
    </w:rPr>
  </w:style>
  <w:style w:type="paragraph" w:styleId="9">
    <w:name w:val="Body Text First Indent 2"/>
    <w:basedOn w:val="8"/>
    <w:qFormat/>
    <w:uiPriority w:val="0"/>
    <w:pPr>
      <w:ind w:firstLine="420"/>
    </w:pPr>
  </w:style>
  <w:style w:type="paragraph" w:styleId="10">
    <w:name w:val="toc 3"/>
    <w:basedOn w:val="1"/>
    <w:next w:val="1"/>
    <w:semiHidden/>
    <w:unhideWhenUsed/>
    <w:qFormat/>
    <w:uiPriority w:val="39"/>
    <w:pPr>
      <w:ind w:left="840" w:leftChars="400"/>
    </w:pPr>
  </w:style>
  <w:style w:type="paragraph" w:styleId="11">
    <w:name w:val="Body Text Indent 2"/>
    <w:basedOn w:val="1"/>
    <w:qFormat/>
    <w:uiPriority w:val="0"/>
    <w:pPr>
      <w:ind w:firstLine="645"/>
      <w:outlineLvl w:val="0"/>
    </w:pPr>
    <w:rPr>
      <w:rFonts w:ascii="仿宋_GB2312"/>
      <w:spacing w:val="-4"/>
      <w:sz w:val="32"/>
    </w:rPr>
  </w:style>
  <w:style w:type="paragraph" w:styleId="12">
    <w:name w:val="footer"/>
    <w:basedOn w:val="1"/>
    <w:link w:val="31"/>
    <w:unhideWhenUsed/>
    <w:qFormat/>
    <w:uiPriority w:val="99"/>
    <w:pPr>
      <w:tabs>
        <w:tab w:val="center" w:pos="4153"/>
        <w:tab w:val="right" w:pos="8306"/>
      </w:tabs>
      <w:snapToGrid w:val="0"/>
      <w:jc w:val="left"/>
    </w:pPr>
    <w:rPr>
      <w:sz w:val="18"/>
      <w:szCs w:val="18"/>
    </w:rPr>
  </w:style>
  <w:style w:type="paragraph" w:styleId="13">
    <w:name w:val="header"/>
    <w:basedOn w:val="1"/>
    <w:next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left" w:pos="709"/>
        <w:tab w:val="right" w:leader="dot" w:pos="8296"/>
      </w:tabs>
    </w:pPr>
  </w:style>
  <w:style w:type="paragraph" w:styleId="15">
    <w:name w:val="footnote text"/>
    <w:basedOn w:val="1"/>
    <w:next w:val="9"/>
    <w:semiHidden/>
    <w:qFormat/>
    <w:uiPriority w:val="0"/>
    <w:pPr>
      <w:snapToGrid w:val="0"/>
      <w:jc w:val="left"/>
    </w:pPr>
    <w:rPr>
      <w:sz w:val="18"/>
      <w:szCs w:val="18"/>
    </w:rPr>
  </w:style>
  <w:style w:type="paragraph" w:styleId="16">
    <w:name w:val="toc 2"/>
    <w:basedOn w:val="1"/>
    <w:next w:val="1"/>
    <w:unhideWhenUsed/>
    <w:qFormat/>
    <w:uiPriority w:val="39"/>
    <w:pPr>
      <w:ind w:left="420" w:leftChars="200"/>
    </w:pPr>
  </w:style>
  <w:style w:type="paragraph" w:styleId="17">
    <w:name w:val="Normal (Web)"/>
    <w:basedOn w:val="1"/>
    <w:unhideWhenUsed/>
    <w:qFormat/>
    <w:uiPriority w:val="99"/>
    <w:pPr>
      <w:spacing w:before="100" w:beforeAutospacing="1" w:after="100" w:afterAutospacing="1"/>
      <w:jc w:val="left"/>
    </w:pPr>
    <w:rPr>
      <w:rFonts w:cs="Times New Roman"/>
      <w:kern w:val="0"/>
      <w:sz w:val="24"/>
    </w:rPr>
  </w:style>
  <w:style w:type="paragraph" w:styleId="18">
    <w:name w:val="Title"/>
    <w:basedOn w:val="1"/>
    <w:link w:val="43"/>
    <w:qFormat/>
    <w:uiPriority w:val="10"/>
    <w:pPr>
      <w:spacing w:before="240" w:after="60"/>
      <w:jc w:val="center"/>
      <w:outlineLvl w:val="0"/>
    </w:pPr>
    <w:rPr>
      <w:rFonts w:ascii="Arial" w:hAnsi="Arial"/>
      <w:b/>
      <w:sz w:val="32"/>
    </w:rPr>
  </w:style>
  <w:style w:type="table" w:styleId="20">
    <w:name w:val="Table Grid"/>
    <w:basedOn w:val="1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bCs/>
    </w:rPr>
  </w:style>
  <w:style w:type="character" w:styleId="23">
    <w:name w:val="Emphasis"/>
    <w:basedOn w:val="21"/>
    <w:qFormat/>
    <w:uiPriority w:val="20"/>
    <w:rPr>
      <w:i/>
    </w:rPr>
  </w:style>
  <w:style w:type="character" w:styleId="24">
    <w:name w:val="Hyperlink"/>
    <w:unhideWhenUsed/>
    <w:qFormat/>
    <w:uiPriority w:val="99"/>
    <w:rPr>
      <w:color w:val="4D4D4D"/>
      <w:u w:val="none"/>
    </w:rPr>
  </w:style>
  <w:style w:type="character" w:styleId="25">
    <w:name w:val="annotation reference"/>
    <w:basedOn w:val="21"/>
    <w:semiHidden/>
    <w:unhideWhenUsed/>
    <w:qFormat/>
    <w:uiPriority w:val="99"/>
    <w:rPr>
      <w:sz w:val="21"/>
      <w:szCs w:val="21"/>
    </w:rPr>
  </w:style>
  <w:style w:type="paragraph" w:customStyle="1" w:styleId="26">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7">
    <w:name w:val="Default"/>
    <w:next w:val="28"/>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8">
    <w:name w:val="_Style 1"/>
    <w:basedOn w:val="1"/>
    <w:next w:val="1"/>
    <w:qFormat/>
    <w:uiPriority w:val="0"/>
    <w:pPr>
      <w:pBdr>
        <w:top w:val="single" w:color="auto" w:sz="6" w:space="1"/>
      </w:pBdr>
      <w:jc w:val="center"/>
    </w:pPr>
    <w:rPr>
      <w:rFonts w:ascii="Arial" w:eastAsia="宋体"/>
      <w:vanish/>
      <w:sz w:val="16"/>
    </w:rPr>
  </w:style>
  <w:style w:type="paragraph" w:customStyle="1" w:styleId="29">
    <w:name w:val="常用样式（方正仿宋简）"/>
    <w:basedOn w:val="1"/>
    <w:qFormat/>
    <w:uiPriority w:val="0"/>
    <w:pPr>
      <w:spacing w:line="560" w:lineRule="exact"/>
      <w:ind w:firstLine="640"/>
    </w:pPr>
    <w:rPr>
      <w:rFonts w:eastAsia="仿宋"/>
      <w:sz w:val="32"/>
    </w:rPr>
  </w:style>
  <w:style w:type="character" w:customStyle="1" w:styleId="30">
    <w:name w:val="页眉 字符"/>
    <w:basedOn w:val="21"/>
    <w:link w:val="13"/>
    <w:qFormat/>
    <w:uiPriority w:val="99"/>
    <w:rPr>
      <w:sz w:val="18"/>
      <w:szCs w:val="18"/>
    </w:rPr>
  </w:style>
  <w:style w:type="character" w:customStyle="1" w:styleId="31">
    <w:name w:val="页脚 字符"/>
    <w:basedOn w:val="21"/>
    <w:link w:val="12"/>
    <w:qFormat/>
    <w:uiPriority w:val="99"/>
    <w:rPr>
      <w:sz w:val="18"/>
      <w:szCs w:val="18"/>
    </w:rPr>
  </w:style>
  <w:style w:type="character" w:customStyle="1" w:styleId="32">
    <w:name w:val="font11"/>
    <w:basedOn w:val="21"/>
    <w:qFormat/>
    <w:uiPriority w:val="0"/>
    <w:rPr>
      <w:rFonts w:hint="eastAsia" w:ascii="宋体" w:hAnsi="宋体" w:eastAsia="宋体" w:cs="宋体"/>
      <w:color w:val="000000"/>
      <w:sz w:val="21"/>
      <w:szCs w:val="21"/>
      <w:u w:val="none"/>
    </w:rPr>
  </w:style>
  <w:style w:type="character" w:customStyle="1" w:styleId="33">
    <w:name w:val="font01"/>
    <w:basedOn w:val="21"/>
    <w:qFormat/>
    <w:uiPriority w:val="0"/>
    <w:rPr>
      <w:rFonts w:hint="default" w:ascii="Calibri" w:hAnsi="Calibri" w:cs="Calibri"/>
      <w:color w:val="000000"/>
      <w:sz w:val="21"/>
      <w:szCs w:val="21"/>
      <w:u w:val="none"/>
    </w:rPr>
  </w:style>
  <w:style w:type="character" w:customStyle="1" w:styleId="34">
    <w:name w:val="font71"/>
    <w:basedOn w:val="21"/>
    <w:qFormat/>
    <w:uiPriority w:val="0"/>
    <w:rPr>
      <w:rFonts w:hint="eastAsia" w:ascii="仿宋" w:hAnsi="仿宋" w:eastAsia="仿宋" w:cs="仿宋"/>
      <w:b/>
      <w:color w:val="000000"/>
      <w:sz w:val="24"/>
      <w:szCs w:val="24"/>
      <w:u w:val="none"/>
    </w:rPr>
  </w:style>
  <w:style w:type="character" w:customStyle="1" w:styleId="35">
    <w:name w:val="font51"/>
    <w:basedOn w:val="21"/>
    <w:qFormat/>
    <w:uiPriority w:val="0"/>
    <w:rPr>
      <w:rFonts w:hint="eastAsia" w:ascii="仿宋" w:hAnsi="仿宋" w:eastAsia="仿宋" w:cs="仿宋"/>
      <w:color w:val="000000"/>
      <w:sz w:val="24"/>
      <w:szCs w:val="24"/>
      <w:u w:val="none"/>
    </w:rPr>
  </w:style>
  <w:style w:type="character" w:customStyle="1" w:styleId="36">
    <w:name w:val="font31"/>
    <w:basedOn w:val="21"/>
    <w:qFormat/>
    <w:uiPriority w:val="0"/>
    <w:rPr>
      <w:rFonts w:hint="eastAsia" w:ascii="宋体" w:hAnsi="宋体" w:eastAsia="宋体" w:cs="宋体"/>
      <w:b/>
      <w:color w:val="000000"/>
      <w:sz w:val="22"/>
      <w:szCs w:val="22"/>
      <w:u w:val="none"/>
    </w:rPr>
  </w:style>
  <w:style w:type="character" w:customStyle="1" w:styleId="37">
    <w:name w:val="font21"/>
    <w:basedOn w:val="21"/>
    <w:qFormat/>
    <w:uiPriority w:val="0"/>
    <w:rPr>
      <w:rFonts w:hint="eastAsia" w:ascii="宋体" w:hAnsi="宋体" w:eastAsia="宋体" w:cs="宋体"/>
      <w:color w:val="000000"/>
      <w:sz w:val="20"/>
      <w:szCs w:val="20"/>
      <w:u w:val="none"/>
    </w:rPr>
  </w:style>
  <w:style w:type="character" w:customStyle="1" w:styleId="38">
    <w:name w:val="font41"/>
    <w:basedOn w:val="21"/>
    <w:qFormat/>
    <w:uiPriority w:val="0"/>
    <w:rPr>
      <w:rFonts w:hint="default" w:ascii="Times New Roman" w:hAnsi="Times New Roman" w:cs="Times New Roman"/>
      <w:b/>
      <w:color w:val="000000"/>
      <w:sz w:val="20"/>
      <w:szCs w:val="20"/>
      <w:u w:val="none"/>
    </w:rPr>
  </w:style>
  <w:style w:type="paragraph" w:customStyle="1" w:styleId="39">
    <w:name w:val="WPSOffice手动目录 1"/>
    <w:qFormat/>
    <w:uiPriority w:val="0"/>
    <w:rPr>
      <w:rFonts w:ascii="Times New Roman" w:hAnsi="Times New Roman" w:eastAsia="宋体" w:cs="Times New Roman"/>
      <w:lang w:val="en-US" w:eastAsia="zh-CN" w:bidi="ar-SA"/>
    </w:rPr>
  </w:style>
  <w:style w:type="paragraph" w:customStyle="1" w:styleId="4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1">
    <w:name w:val="表格"/>
    <w:basedOn w:val="1"/>
    <w:qFormat/>
    <w:uiPriority w:val="0"/>
    <w:rPr>
      <w:rFonts w:hint="eastAsia"/>
      <w:kern w:val="0"/>
      <w:sz w:val="24"/>
      <w:szCs w:val="20"/>
    </w:rPr>
  </w:style>
  <w:style w:type="paragraph" w:customStyle="1" w:styleId="42">
    <w:name w:val="页眉或页脚 (2)"/>
    <w:basedOn w:val="1"/>
    <w:qFormat/>
    <w:uiPriority w:val="0"/>
    <w:rPr>
      <w:rFonts w:eastAsia="Times New Roman" w:cs="Times New Roman"/>
      <w:sz w:val="20"/>
      <w:szCs w:val="20"/>
      <w:lang w:val="zh-CN" w:bidi="zh-CN"/>
    </w:rPr>
  </w:style>
  <w:style w:type="character" w:customStyle="1" w:styleId="43">
    <w:name w:val="标题 字符"/>
    <w:basedOn w:val="21"/>
    <w:link w:val="18"/>
    <w:qFormat/>
    <w:uiPriority w:val="0"/>
    <w:rPr>
      <w:rFonts w:ascii="等线 Light" w:hAnsi="等线 Light" w:eastAsia="等线 Light" w:cs="Times New Roman"/>
      <w:b/>
      <w:bCs/>
      <w:kern w:val="2"/>
      <w:sz w:val="32"/>
      <w:szCs w:val="32"/>
    </w:rPr>
  </w:style>
  <w:style w:type="character" w:customStyle="1" w:styleId="44">
    <w:name w:val="正文文本缩进 字符"/>
    <w:basedOn w:val="21"/>
    <w:link w:val="8"/>
    <w:qFormat/>
    <w:uiPriority w:val="0"/>
    <w:rPr>
      <w:kern w:val="2"/>
      <w:sz w:val="32"/>
      <w:szCs w:val="24"/>
    </w:rPr>
  </w:style>
  <w:style w:type="paragraph" w:customStyle="1" w:styleId="45">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6">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7">
    <w:name w:val="15"/>
    <w:basedOn w:val="21"/>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961aa473-471a-4dd4-99fa-b2dc2e519c08</errorID>
      <errorWord>中心</errorWord>
      <group>L1_AI</group>
      <groupName>深度校对</groupName>
      <ability>L2_AI_Punc</ability>
      <abilityName>标点纠错</abilityName>
      <candidateList>
        <item>，中心</item>
      </candidateList>
      <explain/>
      <paraID> F18E9DE</paraID>
      <start>85</start>
      <end>88</end>
      <status>modified</status>
      <modifiedWord>，中心</modifiedWord>
      <trackRevisions>false</trackRevisions>
    </reviewItem>
    <reviewItem>
      <errorID>f27a8074-cf6c-4fa7-b39f-f7285f2803fa</errorID>
      <errorWord>事业</errorWord>
      <group>L1_AI</group>
      <groupName>深度校对</groupName>
      <ability>L2_AI_Grammar</ability>
      <abilityName>语法纠错</abilityName>
      <candidateList>
        <item>其中事业</item>
      </candidateList>
      <explain/>
      <paraID> F18E9DE</paraID>
      <start>96</start>
      <end>100</end>
      <status>modified</status>
      <modifiedWord>其中事业</modifiedWord>
      <trackRevisions>false</trackRevisions>
    </reviewItem>
    <reviewItem>
      <errorID>90bb7829-5e74-4525-af29-87f8ed817387</errorID>
      <errorWord>增强了</errorWord>
      <group>L1_AI</group>
      <groupName>深度校对</groupName>
      <ability>L2_AI_Grammar</ability>
      <abilityName>语法纠错</abilityName>
      <candidateList>
        <item>增强</item>
      </candidateList>
      <explain>〈动〉增进；加强：～体质｜～信心｜实力大大～。</explain>
      <paraID>7811A481</paraID>
      <start>56</start>
      <end>58</end>
      <status>modified</status>
      <modifiedWord>增强</modifiedWord>
      <trackRevisions>false</trackRevisions>
    </reviewItem>
    <reviewItem>
      <errorID>def9287b-c048-4bcf-83b4-1b8217be1d38</errorID>
      <errorWord>保证</errorWord>
      <group>L1_AI</group>
      <groupName>深度校对</groupName>
      <ability>L2_AI_Word</ability>
      <abilityName>字词纠错</abilityName>
      <candidateList>
        <item>保障</item>
      </candidateList>
      <explain/>
      <paraID>7811A481</paraID>
      <start>78</start>
      <end>80</end>
      <status>modified</status>
      <modifiedWord>保障</modifiedWord>
      <trackRevisions>false</trackRevisions>
    </reviewItem>
    <reviewItem>
      <errorID>0849af09-cb05-4eff-90da-0c8a005782e5</errorID>
      <errorWord>安全工作</errorWord>
      <group>L1_AI</group>
      <groupName>深度校对</groupName>
      <ability>L2_AI_Grammar</ability>
      <abilityName>语法纠错</abilityName>
      <candidateList>
        <item>安全</item>
      </candidateList>
      <explain>〈形〉没有危险；不受威胁；不出事故：～操作｜～地带｜注意交通～。</explain>
      <paraID>7811A481</paraID>
      <start>91</start>
      <end>93</end>
      <status>modified</status>
      <modifiedWord>安全</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d9be31-7879-452d-9bc1-86062183eee8}">
  <ds:schemaRefs/>
</ds:datastoreItem>
</file>

<file path=docProps/app.xml><?xml version="1.0" encoding="utf-8"?>
<Properties xmlns="http://schemas.openxmlformats.org/officeDocument/2006/extended-properties" xmlns:vt="http://schemas.openxmlformats.org/officeDocument/2006/docPropsVTypes">
  <Company>Microsoft</Company>
  <Pages>14</Pages>
  <Words>6253</Words>
  <Characters>6957</Characters>
  <Lines>1</Lines>
  <Paragraphs>1</Paragraphs>
  <TotalTime>2</TotalTime>
  <ScaleCrop>false</ScaleCrop>
  <LinksUpToDate>false</LinksUpToDate>
  <CharactersWithSpaces>7006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Administrator</cp:lastModifiedBy>
  <cp:lastPrinted>2024-11-08T07:16:00Z</cp:lastPrinted>
  <dcterms:modified xsi:type="dcterms:W3CDTF">2025-12-11T02:56:06Z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0323C17550B84971857CA4630E76FAC8</vt:lpwstr>
  </property>
  <property fmtid="{D5CDD505-2E9C-101B-9397-08002B2CF9AE}" pid="4" name="KSOTemplateDocerSaveRecord">
    <vt:lpwstr>eyJoZGlkIjoiMzlkMzQ2Y2I1ODA5MzZkNzZhYmIyNGZlZjQwYWNlNDMiLCJ1c2VySWQiOiIyNTYxODExOTYifQ==</vt:lpwstr>
  </property>
</Properties>
</file>