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6B4CD7">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center"/>
        <w:textAlignment w:val="auto"/>
        <w:rPr>
          <w:rFonts w:hint="default" w:ascii="Times New Roman" w:hAnsi="Times New Roman" w:eastAsia="仿宋" w:cs="Times New Roman"/>
          <w:color w:val="333333"/>
          <w:kern w:val="0"/>
          <w:sz w:val="32"/>
          <w:szCs w:val="32"/>
          <w:highlight w:val="none"/>
        </w:rPr>
      </w:pPr>
      <w:bookmarkStart w:id="0" w:name="_Toc22314"/>
      <w:bookmarkStart w:id="1" w:name="_Toc29524"/>
      <w:bookmarkStart w:id="2" w:name="_Toc14462_WPSOffice_Level1"/>
    </w:p>
    <w:p w14:paraId="54012919">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center"/>
        <w:textAlignment w:val="auto"/>
        <w:rPr>
          <w:rFonts w:hint="default" w:ascii="Times New Roman" w:hAnsi="Times New Roman" w:eastAsia="仿宋" w:cs="Times New Roman"/>
          <w:color w:val="333333"/>
          <w:kern w:val="0"/>
          <w:sz w:val="32"/>
          <w:szCs w:val="32"/>
          <w:highlight w:val="none"/>
        </w:rPr>
      </w:pPr>
    </w:p>
    <w:p w14:paraId="505F6CF0">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center"/>
        <w:textAlignment w:val="auto"/>
        <w:rPr>
          <w:rFonts w:hint="default" w:ascii="Times New Roman" w:hAnsi="Times New Roman" w:eastAsia="仿宋" w:cs="Times New Roman"/>
          <w:color w:val="333333"/>
          <w:kern w:val="0"/>
          <w:sz w:val="32"/>
          <w:szCs w:val="32"/>
          <w:highlight w:val="none"/>
        </w:rPr>
      </w:pPr>
    </w:p>
    <w:p w14:paraId="012902E4">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center"/>
        <w:textAlignment w:val="auto"/>
        <w:rPr>
          <w:rFonts w:hint="default" w:ascii="Times New Roman" w:hAnsi="Times New Roman" w:eastAsia="仿宋" w:cs="Times New Roman"/>
          <w:color w:val="333333"/>
          <w:kern w:val="0"/>
          <w:sz w:val="32"/>
          <w:szCs w:val="32"/>
          <w:highlight w:val="none"/>
        </w:rPr>
      </w:pPr>
    </w:p>
    <w:p w14:paraId="2F5B00F4">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center"/>
        <w:textAlignment w:val="auto"/>
        <w:rPr>
          <w:rFonts w:hint="default" w:ascii="Times New Roman" w:hAnsi="Times New Roman" w:eastAsia="仿宋" w:cs="Times New Roman"/>
          <w:color w:val="333333"/>
          <w:kern w:val="0"/>
          <w:sz w:val="32"/>
          <w:szCs w:val="32"/>
          <w:highlight w:val="none"/>
        </w:rPr>
      </w:pPr>
    </w:p>
    <w:p w14:paraId="64D4E29C">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center"/>
        <w:textAlignment w:val="auto"/>
        <w:rPr>
          <w:rFonts w:hint="default" w:ascii="Times New Roman" w:hAnsi="Times New Roman" w:eastAsia="仿宋" w:cs="Times New Roman"/>
          <w:color w:val="333333"/>
          <w:kern w:val="0"/>
          <w:sz w:val="32"/>
          <w:szCs w:val="32"/>
          <w:highlight w:val="none"/>
        </w:rPr>
      </w:pPr>
    </w:p>
    <w:p w14:paraId="6988F055">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center"/>
        <w:textAlignment w:val="auto"/>
        <w:rPr>
          <w:rFonts w:hint="default" w:ascii="Times New Roman" w:hAnsi="Times New Roman" w:eastAsia="仿宋" w:cs="Times New Roman"/>
          <w:color w:val="333333"/>
          <w:kern w:val="0"/>
          <w:sz w:val="32"/>
          <w:szCs w:val="32"/>
          <w:highlight w:val="none"/>
        </w:rPr>
      </w:pPr>
    </w:p>
    <w:p w14:paraId="76DD2394">
      <w:pPr>
        <w:spacing w:line="600" w:lineRule="exact"/>
        <w:ind w:firstLine="0" w:firstLineChars="0"/>
        <w:jc w:val="center"/>
        <w:rPr>
          <w:rFonts w:hint="default" w:ascii="Times New Roman" w:hAnsi="Times New Roman" w:cs="Times New Roman"/>
          <w:sz w:val="32"/>
          <w:szCs w:val="32"/>
          <w:highlight w:val="none"/>
        </w:rPr>
      </w:pPr>
      <w:r>
        <w:rPr>
          <w:rFonts w:hint="default" w:ascii="Times New Roman" w:hAnsi="Times New Roman" w:cs="Times New Roman"/>
          <w:sz w:val="32"/>
          <w:szCs w:val="32"/>
          <w:highlight w:val="none"/>
        </w:rPr>
        <w:t>泸财绩〔2025〕</w:t>
      </w:r>
      <w:r>
        <w:rPr>
          <w:rFonts w:hint="default" w:ascii="Times New Roman" w:hAnsi="Times New Roman" w:cs="Times New Roman"/>
          <w:sz w:val="32"/>
          <w:szCs w:val="32"/>
          <w:highlight w:val="none"/>
          <w:lang w:val="en-US" w:eastAsia="zh-CN"/>
        </w:rPr>
        <w:t>54</w:t>
      </w:r>
      <w:r>
        <w:rPr>
          <w:rFonts w:hint="default" w:ascii="Times New Roman" w:hAnsi="Times New Roman" w:cs="Times New Roman"/>
          <w:sz w:val="32"/>
          <w:szCs w:val="32"/>
          <w:highlight w:val="none"/>
        </w:rPr>
        <w:t>号</w:t>
      </w:r>
    </w:p>
    <w:p w14:paraId="45C927E8">
      <w:pPr>
        <w:keepNext w:val="0"/>
        <w:keepLines w:val="0"/>
        <w:pageBreakBefore w:val="0"/>
        <w:widowControl/>
        <w:kinsoku/>
        <w:wordWrap/>
        <w:overflowPunct/>
        <w:topLinePunct w:val="0"/>
        <w:autoSpaceDE/>
        <w:autoSpaceDN/>
        <w:bidi w:val="0"/>
        <w:spacing w:line="600" w:lineRule="exact"/>
        <w:ind w:left="0" w:firstLine="0" w:firstLineChars="0"/>
        <w:jc w:val="center"/>
        <w:rPr>
          <w:rFonts w:hint="default" w:ascii="Times New Roman" w:hAnsi="Times New Roman" w:eastAsia="仿宋" w:cs="Times New Roman"/>
          <w:color w:val="333333"/>
          <w:kern w:val="0"/>
          <w:sz w:val="32"/>
          <w:szCs w:val="32"/>
          <w:highlight w:val="none"/>
        </w:rPr>
      </w:pPr>
    </w:p>
    <w:p w14:paraId="14DBB894">
      <w:pPr>
        <w:pStyle w:val="10"/>
        <w:keepNext w:val="0"/>
        <w:keepLines w:val="0"/>
        <w:pageBreakBefore w:val="0"/>
        <w:kinsoku/>
        <w:wordWrap/>
        <w:overflowPunct/>
        <w:topLinePunct w:val="0"/>
        <w:autoSpaceDE/>
        <w:autoSpaceDN/>
        <w:bidi w:val="0"/>
        <w:spacing w:line="600" w:lineRule="exact"/>
        <w:ind w:left="0" w:firstLine="0" w:firstLineChars="0"/>
        <w:jc w:val="center"/>
        <w:outlineLvl w:val="9"/>
        <w:rPr>
          <w:rFonts w:hint="default" w:ascii="Times New Roman" w:hAnsi="Times New Roman" w:eastAsia="仿宋" w:cs="Times New Roman"/>
          <w:color w:val="333333"/>
          <w:kern w:val="0"/>
          <w:sz w:val="32"/>
          <w:szCs w:val="32"/>
          <w:highlight w:val="none"/>
        </w:rPr>
      </w:pPr>
    </w:p>
    <w:p w14:paraId="1DA9DDBB">
      <w:pPr>
        <w:keepNext w:val="0"/>
        <w:keepLines w:val="0"/>
        <w:pageBreakBefore w:val="0"/>
        <w:kinsoku/>
        <w:wordWrap/>
        <w:overflowPunct/>
        <w:topLinePunct w:val="0"/>
        <w:autoSpaceDE/>
        <w:autoSpaceDN/>
        <w:bidi w:val="0"/>
        <w:spacing w:line="600" w:lineRule="exact"/>
        <w:ind w:left="0" w:firstLine="0" w:firstLineChars="0"/>
        <w:jc w:val="center"/>
        <w:rPr>
          <w:rFonts w:hint="eastAsia" w:ascii="方正小标宋简体" w:hAnsi="方正小标宋简体" w:eastAsia="方正小标宋简体" w:cs="方正小标宋简体"/>
          <w:color w:val="auto"/>
          <w:sz w:val="44"/>
          <w:szCs w:val="44"/>
          <w:highlight w:val="none"/>
          <w:lang w:eastAsia="zh-CN"/>
        </w:rPr>
      </w:pPr>
      <w:bookmarkStart w:id="3" w:name="_Toc27398"/>
      <w:r>
        <w:rPr>
          <w:rFonts w:hint="eastAsia" w:ascii="方正小标宋简体" w:hAnsi="方正小标宋简体" w:eastAsia="方正小标宋简体" w:cs="方正小标宋简体"/>
          <w:color w:val="auto"/>
          <w:sz w:val="44"/>
          <w:szCs w:val="44"/>
          <w:highlight w:val="none"/>
          <w:lang w:eastAsia="zh-CN"/>
        </w:rPr>
        <w:t>泸定县综合行政执法局</w:t>
      </w:r>
    </w:p>
    <w:p w14:paraId="014B69B0">
      <w:pPr>
        <w:keepNext w:val="0"/>
        <w:keepLines w:val="0"/>
        <w:pageBreakBefore w:val="0"/>
        <w:kinsoku/>
        <w:wordWrap/>
        <w:overflowPunct/>
        <w:topLinePunct w:val="0"/>
        <w:autoSpaceDE/>
        <w:autoSpaceDN/>
        <w:bidi w:val="0"/>
        <w:spacing w:line="600" w:lineRule="exact"/>
        <w:ind w:left="0" w:firstLine="0" w:firstLineChars="0"/>
        <w:jc w:val="center"/>
        <w:rPr>
          <w:rFonts w:hint="eastAsia" w:ascii="方正小标宋简体" w:hAnsi="方正小标宋简体" w:eastAsia="方正小标宋简体" w:cs="方正小标宋简体"/>
          <w:color w:val="auto"/>
          <w:sz w:val="44"/>
          <w:szCs w:val="44"/>
          <w:highlight w:val="none"/>
        </w:rPr>
      </w:pPr>
      <w:r>
        <w:rPr>
          <w:rFonts w:hint="eastAsia" w:ascii="方正小标宋简体" w:hAnsi="方正小标宋简体" w:eastAsia="方正小标宋简体" w:cs="方正小标宋简体"/>
          <w:color w:val="auto"/>
          <w:sz w:val="44"/>
          <w:szCs w:val="44"/>
          <w:highlight w:val="none"/>
          <w:lang w:eastAsia="zh"/>
        </w:rPr>
        <w:t>202</w:t>
      </w:r>
      <w:r>
        <w:rPr>
          <w:rFonts w:hint="eastAsia" w:ascii="方正小标宋简体" w:hAnsi="方正小标宋简体" w:eastAsia="方正小标宋简体" w:cs="方正小标宋简体"/>
          <w:color w:val="auto"/>
          <w:sz w:val="44"/>
          <w:szCs w:val="44"/>
          <w:highlight w:val="none"/>
          <w:lang w:val="en-US" w:eastAsia="zh-CN"/>
        </w:rPr>
        <w:t>4</w:t>
      </w:r>
      <w:r>
        <w:rPr>
          <w:rFonts w:hint="eastAsia" w:ascii="方正小标宋简体" w:hAnsi="方正小标宋简体" w:eastAsia="方正小标宋简体" w:cs="方正小标宋简体"/>
          <w:color w:val="auto"/>
          <w:sz w:val="44"/>
          <w:szCs w:val="44"/>
          <w:highlight w:val="none"/>
        </w:rPr>
        <w:t>年部门整体支出绩效评价报告</w:t>
      </w:r>
      <w:bookmarkEnd w:id="0"/>
      <w:bookmarkEnd w:id="1"/>
      <w:bookmarkEnd w:id="3"/>
    </w:p>
    <w:p w14:paraId="0833277A">
      <w:pPr>
        <w:keepNext w:val="0"/>
        <w:keepLines w:val="0"/>
        <w:pageBreakBefore w:val="0"/>
        <w:kinsoku/>
        <w:wordWrap/>
        <w:overflowPunct/>
        <w:topLinePunct w:val="0"/>
        <w:autoSpaceDE/>
        <w:autoSpaceDN/>
        <w:bidi w:val="0"/>
        <w:adjustRightInd w:val="0"/>
        <w:snapToGrid w:val="0"/>
        <w:spacing w:line="600" w:lineRule="exact"/>
        <w:ind w:left="0" w:leftChars="0" w:right="0" w:rightChars="0" w:firstLine="0" w:firstLineChars="0"/>
        <w:rPr>
          <w:rFonts w:hint="default" w:ascii="Times New Roman" w:hAnsi="Times New Roman" w:eastAsia="仿宋" w:cs="Times New Roman"/>
          <w:b/>
          <w:bCs/>
          <w:color w:val="auto"/>
          <w:sz w:val="28"/>
          <w:szCs w:val="28"/>
          <w:highlight w:val="none"/>
        </w:rPr>
      </w:pPr>
      <w:bookmarkStart w:id="4" w:name="_Toc22570"/>
    </w:p>
    <w:bookmarkEnd w:id="4"/>
    <w:p w14:paraId="7DF9CEBC">
      <w:pPr>
        <w:keepNext w:val="0"/>
        <w:keepLines w:val="0"/>
        <w:pageBreakBefore w:val="0"/>
        <w:kinsoku/>
        <w:wordWrap/>
        <w:overflowPunct/>
        <w:topLinePunct w:val="0"/>
        <w:autoSpaceDE/>
        <w:autoSpaceDN/>
        <w:bidi w:val="0"/>
        <w:spacing w:line="600" w:lineRule="exact"/>
        <w:ind w:left="0" w:leftChars="0" w:right="0" w:rightChars="0" w:firstLine="0" w:firstLineChars="0"/>
        <w:rPr>
          <w:rFonts w:hint="default" w:ascii="Times New Roman" w:hAnsi="Times New Roman" w:eastAsia="方正仿宋_GB2312" w:cs="Times New Roman"/>
          <w:color w:val="auto"/>
          <w:sz w:val="32"/>
          <w:szCs w:val="32"/>
          <w:highlight w:val="none"/>
          <w:lang w:val="fr-FR" w:eastAsia="zh-CN"/>
        </w:rPr>
      </w:pPr>
      <w:bookmarkStart w:id="5" w:name="_Toc6252"/>
      <w:bookmarkStart w:id="6" w:name="_Toc8938"/>
      <w:bookmarkStart w:id="7" w:name="_Toc26210"/>
      <w:r>
        <w:rPr>
          <w:rFonts w:hint="default" w:ascii="Times New Roman" w:hAnsi="Times New Roman" w:eastAsia="方正仿宋_GB2312" w:cs="Times New Roman"/>
          <w:color w:val="auto"/>
          <w:sz w:val="32"/>
          <w:szCs w:val="32"/>
          <w:highlight w:val="none"/>
          <w:lang w:val="fr-FR" w:eastAsia="zh-CN"/>
        </w:rPr>
        <w:t>泸定县综合行政执法局：</w:t>
      </w:r>
    </w:p>
    <w:p w14:paraId="50FB6A35">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方正仿宋_GB2312" w:cs="Times New Roman"/>
          <w:color w:val="auto"/>
          <w:sz w:val="32"/>
          <w:szCs w:val="32"/>
          <w:highlight w:val="none"/>
          <w:lang w:val="fr-FR"/>
        </w:rPr>
      </w:pPr>
      <w:r>
        <w:rPr>
          <w:rFonts w:hint="default" w:ascii="Times New Roman" w:hAnsi="Times New Roman" w:eastAsia="方正仿宋_GB2312" w:cs="Times New Roman"/>
          <w:sz w:val="32"/>
          <w:szCs w:val="32"/>
          <w:highlight w:val="none"/>
        </w:rPr>
        <w:t>根据《泸定县财政局</w:t>
      </w:r>
      <w:r>
        <w:rPr>
          <w:rFonts w:hint="default" w:ascii="Times New Roman" w:hAnsi="Times New Roman" w:eastAsia="方正仿宋_GB2312" w:cs="Times New Roman"/>
          <w:sz w:val="32"/>
          <w:szCs w:val="32"/>
          <w:highlight w:val="none"/>
          <w:lang w:eastAsia="zh"/>
        </w:rPr>
        <w:t>关于开展202</w:t>
      </w:r>
      <w:r>
        <w:rPr>
          <w:rFonts w:hint="default" w:ascii="Times New Roman" w:hAnsi="Times New Roman" w:eastAsia="方正仿宋_GB2312" w:cs="Times New Roman"/>
          <w:sz w:val="32"/>
          <w:szCs w:val="32"/>
          <w:highlight w:val="none"/>
        </w:rPr>
        <w:t>5</w:t>
      </w:r>
      <w:r>
        <w:rPr>
          <w:rFonts w:hint="default" w:ascii="Times New Roman" w:hAnsi="Times New Roman" w:eastAsia="方正仿宋_GB2312" w:cs="Times New Roman"/>
          <w:sz w:val="32"/>
          <w:szCs w:val="32"/>
          <w:highlight w:val="none"/>
          <w:lang w:eastAsia="zh"/>
        </w:rPr>
        <w:t>年度部门整体绩效评价工作的通知</w:t>
      </w:r>
      <w:r>
        <w:rPr>
          <w:rFonts w:hint="default" w:ascii="Times New Roman" w:hAnsi="Times New Roman" w:eastAsia="方正仿宋_GB2312" w:cs="Times New Roman"/>
          <w:sz w:val="32"/>
          <w:szCs w:val="32"/>
          <w:highlight w:val="none"/>
        </w:rPr>
        <w:t>》（</w:t>
      </w:r>
      <w:r>
        <w:rPr>
          <w:rFonts w:hint="default" w:ascii="Times New Roman" w:hAnsi="Times New Roman" w:eastAsia="方正仿宋_GB2312" w:cs="Times New Roman"/>
          <w:sz w:val="32"/>
          <w:szCs w:val="32"/>
          <w:highlight w:val="none"/>
          <w:lang w:eastAsia="zh"/>
        </w:rPr>
        <w:t>泸财〔202</w:t>
      </w:r>
      <w:r>
        <w:rPr>
          <w:rFonts w:hint="default" w:ascii="Times New Roman" w:hAnsi="Times New Roman" w:eastAsia="方正仿宋_GB2312" w:cs="Times New Roman"/>
          <w:sz w:val="32"/>
          <w:szCs w:val="32"/>
          <w:highlight w:val="none"/>
        </w:rPr>
        <w:t>5</w:t>
      </w:r>
      <w:r>
        <w:rPr>
          <w:rFonts w:hint="default" w:ascii="Times New Roman" w:hAnsi="Times New Roman" w:eastAsia="方正仿宋_GB2312" w:cs="Times New Roman"/>
          <w:sz w:val="32"/>
          <w:szCs w:val="32"/>
          <w:highlight w:val="none"/>
          <w:lang w:eastAsia="zh"/>
        </w:rPr>
        <w:t>〕</w:t>
      </w:r>
      <w:r>
        <w:rPr>
          <w:rFonts w:hint="default" w:ascii="Times New Roman" w:hAnsi="Times New Roman" w:eastAsia="方正仿宋_GB2312" w:cs="Times New Roman"/>
          <w:sz w:val="32"/>
          <w:szCs w:val="32"/>
          <w:highlight w:val="none"/>
        </w:rPr>
        <w:t>67</w:t>
      </w:r>
      <w:r>
        <w:rPr>
          <w:rFonts w:hint="default" w:ascii="Times New Roman" w:hAnsi="Times New Roman" w:eastAsia="方正仿宋_GB2312" w:cs="Times New Roman"/>
          <w:sz w:val="32"/>
          <w:szCs w:val="32"/>
          <w:highlight w:val="none"/>
          <w:lang w:eastAsia="zh"/>
        </w:rPr>
        <w:t>号</w:t>
      </w:r>
      <w:r>
        <w:rPr>
          <w:rFonts w:hint="default" w:ascii="Times New Roman" w:hAnsi="Times New Roman" w:eastAsia="方正仿宋_GB2312" w:cs="Times New Roman"/>
          <w:sz w:val="32"/>
          <w:szCs w:val="32"/>
          <w:highlight w:val="none"/>
        </w:rPr>
        <w:t>）要求，由我局工作人员和第三方机构专业人员组成绩效评价组，</w:t>
      </w:r>
      <w:r>
        <w:rPr>
          <w:rFonts w:hint="default" w:ascii="Times New Roman" w:hAnsi="Times New Roman" w:eastAsia="方正仿宋_GB2312" w:cs="Times New Roman"/>
          <w:color w:val="auto"/>
          <w:sz w:val="32"/>
          <w:szCs w:val="32"/>
          <w:highlight w:val="none"/>
          <w:lang w:val="fr-FR"/>
        </w:rPr>
        <w:t>对</w:t>
      </w:r>
      <w:r>
        <w:rPr>
          <w:rFonts w:hint="default" w:ascii="Times New Roman" w:hAnsi="Times New Roman" w:eastAsia="方正仿宋_GB2312" w:cs="Times New Roman"/>
          <w:color w:val="auto"/>
          <w:sz w:val="32"/>
          <w:szCs w:val="32"/>
          <w:highlight w:val="none"/>
          <w:lang w:val="fr-FR" w:eastAsia="zh-CN"/>
        </w:rPr>
        <w:t>泸定县综合行政执法局</w:t>
      </w:r>
      <w:r>
        <w:rPr>
          <w:rFonts w:hint="default" w:ascii="Times New Roman" w:hAnsi="Times New Roman" w:eastAsia="方正仿宋_GB2312" w:cs="Times New Roman"/>
          <w:color w:val="auto"/>
          <w:sz w:val="32"/>
          <w:szCs w:val="32"/>
          <w:highlight w:val="none"/>
          <w:lang w:eastAsia="zh"/>
        </w:rPr>
        <w:t>202</w:t>
      </w:r>
      <w:r>
        <w:rPr>
          <w:rFonts w:hint="default" w:ascii="Times New Roman" w:hAnsi="Times New Roman" w:eastAsia="方正仿宋_GB2312" w:cs="Times New Roman"/>
          <w:color w:val="auto"/>
          <w:sz w:val="32"/>
          <w:szCs w:val="32"/>
          <w:highlight w:val="none"/>
          <w:lang w:val="en-US" w:eastAsia="zh-CN"/>
        </w:rPr>
        <w:t>4</w:t>
      </w:r>
      <w:r>
        <w:rPr>
          <w:rFonts w:hint="eastAsia" w:ascii="Times New Roman" w:hAnsi="Times New Roman" w:eastAsia="方正仿宋_GB2312" w:cs="Times New Roman"/>
          <w:color w:val="auto"/>
          <w:sz w:val="32"/>
          <w:szCs w:val="32"/>
          <w:highlight w:val="none"/>
          <w:lang w:val="en-US" w:eastAsia="zh-CN"/>
        </w:rPr>
        <w:t>年度</w:t>
      </w:r>
      <w:r>
        <w:rPr>
          <w:rFonts w:hint="default" w:ascii="Times New Roman" w:hAnsi="Times New Roman" w:eastAsia="方正仿宋_GB2312" w:cs="Times New Roman"/>
          <w:color w:val="auto"/>
          <w:sz w:val="32"/>
          <w:szCs w:val="32"/>
          <w:highlight w:val="none"/>
        </w:rPr>
        <w:t>部门整体支出进行</w:t>
      </w:r>
      <w:r>
        <w:rPr>
          <w:rFonts w:hint="default" w:ascii="Times New Roman" w:hAnsi="Times New Roman" w:eastAsia="方正仿宋_GB2312" w:cs="Times New Roman"/>
          <w:color w:val="auto"/>
          <w:sz w:val="32"/>
          <w:szCs w:val="32"/>
          <w:highlight w:val="none"/>
          <w:lang w:val="fr-FR"/>
        </w:rPr>
        <w:t>绩效评价。</w:t>
      </w:r>
      <w:r>
        <w:rPr>
          <w:rFonts w:hint="default" w:ascii="Times New Roman" w:hAnsi="Times New Roman" w:eastAsia="方正仿宋_GB2312" w:cs="Times New Roman"/>
          <w:color w:val="auto"/>
          <w:sz w:val="32"/>
          <w:szCs w:val="32"/>
          <w:highlight w:val="none"/>
          <w:lang w:val="fr-FR" w:eastAsia="zh-CN"/>
        </w:rPr>
        <w:t>泸定县综合行政执法局</w:t>
      </w:r>
      <w:r>
        <w:rPr>
          <w:rFonts w:hint="default" w:ascii="Times New Roman" w:hAnsi="Times New Roman" w:eastAsia="方正仿宋_GB2312" w:cs="Times New Roman"/>
          <w:color w:val="auto"/>
          <w:sz w:val="32"/>
          <w:szCs w:val="32"/>
          <w:highlight w:val="none"/>
          <w:lang w:val="fr-FR"/>
        </w:rPr>
        <w:t>对其提供的绩效评价相关资料的真实性、合法性和完整性负责；我们的责任是依据《中共中央 国务院关于全面实施预算绩效管理的意见》（中发〔2018〕34号）、《中共四川省委 四川省人民政府关于全面实施预算绩效管理的实施意见》（川委发〔201</w:t>
      </w:r>
      <w:r>
        <w:rPr>
          <w:rFonts w:hint="default" w:ascii="Times New Roman" w:hAnsi="Times New Roman" w:eastAsia="方正仿宋_GB2312" w:cs="Times New Roman"/>
          <w:color w:val="auto"/>
          <w:sz w:val="32"/>
          <w:szCs w:val="32"/>
          <w:highlight w:val="none"/>
        </w:rPr>
        <w:t>9</w:t>
      </w:r>
      <w:r>
        <w:rPr>
          <w:rFonts w:hint="default" w:ascii="Times New Roman" w:hAnsi="Times New Roman" w:eastAsia="方正仿宋_GB2312" w:cs="Times New Roman"/>
          <w:color w:val="auto"/>
          <w:sz w:val="32"/>
          <w:szCs w:val="32"/>
          <w:highlight w:val="none"/>
          <w:lang w:val="fr-FR"/>
        </w:rPr>
        <w:t>〕8号）、《中共甘孜州委办公室 甘孜州人民政府办公室关于印发</w:t>
      </w:r>
      <w:r>
        <w:rPr>
          <w:rFonts w:hint="default" w:ascii="Times New Roman" w:hAnsi="Times New Roman" w:eastAsia="方正仿宋_GB2312" w:cs="Times New Roman"/>
          <w:color w:val="auto"/>
          <w:sz w:val="32"/>
          <w:szCs w:val="32"/>
          <w:highlight w:val="none"/>
        </w:rPr>
        <w:t>〈</w:t>
      </w:r>
      <w:r>
        <w:rPr>
          <w:rFonts w:hint="default" w:ascii="Times New Roman" w:hAnsi="Times New Roman" w:eastAsia="方正仿宋_GB2312" w:cs="Times New Roman"/>
          <w:color w:val="auto"/>
          <w:sz w:val="32"/>
          <w:szCs w:val="32"/>
          <w:highlight w:val="none"/>
          <w:lang w:val="fr-FR"/>
        </w:rPr>
        <w:t>甘孜州全面实施预算绩效管理工作实施方案</w:t>
      </w:r>
      <w:r>
        <w:rPr>
          <w:rFonts w:hint="default" w:ascii="Times New Roman" w:hAnsi="Times New Roman" w:eastAsia="方正仿宋_GB2312" w:cs="Times New Roman"/>
          <w:color w:val="auto"/>
          <w:sz w:val="32"/>
          <w:szCs w:val="32"/>
          <w:highlight w:val="none"/>
        </w:rPr>
        <w:t>〉</w:t>
      </w:r>
      <w:r>
        <w:rPr>
          <w:rFonts w:hint="default" w:ascii="Times New Roman" w:hAnsi="Times New Roman" w:eastAsia="方正仿宋_GB2312" w:cs="Times New Roman"/>
          <w:color w:val="auto"/>
          <w:sz w:val="32"/>
          <w:szCs w:val="32"/>
          <w:highlight w:val="none"/>
          <w:lang w:val="fr-FR"/>
        </w:rPr>
        <w:t>的通知》（甘委办〔201</w:t>
      </w:r>
      <w:r>
        <w:rPr>
          <w:rFonts w:hint="default" w:ascii="Times New Roman" w:hAnsi="Times New Roman" w:eastAsia="方正仿宋_GB2312" w:cs="Times New Roman"/>
          <w:color w:val="auto"/>
          <w:sz w:val="32"/>
          <w:szCs w:val="32"/>
          <w:highlight w:val="none"/>
        </w:rPr>
        <w:t>9</w:t>
      </w:r>
      <w:r>
        <w:rPr>
          <w:rFonts w:hint="default" w:ascii="Times New Roman" w:hAnsi="Times New Roman" w:eastAsia="方正仿宋_GB2312" w:cs="Times New Roman"/>
          <w:color w:val="auto"/>
          <w:sz w:val="32"/>
          <w:szCs w:val="32"/>
          <w:highlight w:val="none"/>
          <w:lang w:val="fr-FR"/>
        </w:rPr>
        <w:t>〕120号）</w:t>
      </w:r>
      <w:r>
        <w:rPr>
          <w:rFonts w:hint="default" w:ascii="Times New Roman" w:hAnsi="Times New Roman" w:eastAsia="方正仿宋_GB2312" w:cs="Times New Roman"/>
          <w:color w:val="auto"/>
          <w:sz w:val="32"/>
          <w:szCs w:val="32"/>
          <w:highlight w:val="none"/>
          <w:lang w:val="en-US" w:eastAsia="zh-CN"/>
        </w:rPr>
        <w:t>文件的</w:t>
      </w:r>
      <w:r>
        <w:rPr>
          <w:rFonts w:hint="default" w:ascii="Times New Roman" w:hAnsi="Times New Roman" w:eastAsia="方正仿宋_GB2312" w:cs="Times New Roman"/>
          <w:color w:val="auto"/>
          <w:sz w:val="32"/>
          <w:szCs w:val="32"/>
          <w:highlight w:val="none"/>
          <w:lang w:val="fr-FR"/>
        </w:rPr>
        <w:t>要求，结合</w:t>
      </w:r>
      <w:r>
        <w:rPr>
          <w:rFonts w:hint="default" w:ascii="Times New Roman" w:hAnsi="Times New Roman" w:eastAsia="方正仿宋_GB2312" w:cs="Times New Roman"/>
          <w:color w:val="auto"/>
          <w:sz w:val="32"/>
          <w:szCs w:val="32"/>
          <w:highlight w:val="none"/>
          <w:lang w:val="fr-FR" w:eastAsia="zh-CN"/>
        </w:rPr>
        <w:t>泸定县综合行政执法局</w:t>
      </w:r>
      <w:r>
        <w:rPr>
          <w:rFonts w:hint="default" w:ascii="Times New Roman" w:hAnsi="Times New Roman" w:eastAsia="方正仿宋_GB2312" w:cs="Times New Roman"/>
          <w:color w:val="auto"/>
          <w:sz w:val="32"/>
          <w:szCs w:val="32"/>
          <w:highlight w:val="none"/>
          <w:lang w:val="fr-FR"/>
        </w:rPr>
        <w:t>的实际情况，对</w:t>
      </w:r>
      <w:r>
        <w:rPr>
          <w:rFonts w:hint="default" w:ascii="Times New Roman" w:hAnsi="Times New Roman" w:eastAsia="方正仿宋_GB2312" w:cs="Times New Roman"/>
          <w:color w:val="auto"/>
          <w:sz w:val="32"/>
          <w:szCs w:val="32"/>
          <w:highlight w:val="none"/>
          <w:lang w:eastAsia="zh"/>
        </w:rPr>
        <w:t>202</w:t>
      </w:r>
      <w:r>
        <w:rPr>
          <w:rFonts w:hint="default" w:ascii="Times New Roman" w:hAnsi="Times New Roman" w:eastAsia="方正仿宋_GB2312" w:cs="Times New Roman"/>
          <w:color w:val="auto"/>
          <w:sz w:val="32"/>
          <w:szCs w:val="32"/>
          <w:highlight w:val="none"/>
          <w:lang w:val="en-US" w:eastAsia="zh-CN"/>
        </w:rPr>
        <w:t>4</w:t>
      </w:r>
      <w:r>
        <w:rPr>
          <w:rFonts w:hint="default" w:ascii="Times New Roman" w:hAnsi="Times New Roman" w:eastAsia="方正仿宋_GB2312" w:cs="Times New Roman"/>
          <w:color w:val="auto"/>
          <w:sz w:val="32"/>
          <w:szCs w:val="32"/>
          <w:highlight w:val="none"/>
        </w:rPr>
        <w:t>年部门整体支出</w:t>
      </w:r>
      <w:r>
        <w:rPr>
          <w:rFonts w:hint="default" w:ascii="Times New Roman" w:hAnsi="Times New Roman" w:eastAsia="方正仿宋_GB2312" w:cs="Times New Roman"/>
          <w:color w:val="auto"/>
          <w:sz w:val="32"/>
          <w:szCs w:val="32"/>
          <w:highlight w:val="none"/>
          <w:lang w:val="fr-FR"/>
        </w:rPr>
        <w:t>进行绩效评价，并出具绩效评价报告，现将相关情况报告如下：</w:t>
      </w:r>
      <w:bookmarkEnd w:id="5"/>
      <w:bookmarkEnd w:id="6"/>
      <w:bookmarkEnd w:id="7"/>
      <w:bookmarkStart w:id="8" w:name="_Toc8555"/>
      <w:bookmarkStart w:id="9" w:name="_Toc12185"/>
      <w:bookmarkStart w:id="10" w:name="_Toc109483833"/>
    </w:p>
    <w:p w14:paraId="1CE7ED0B">
      <w:pPr>
        <w:keepNext w:val="0"/>
        <w:keepLines w:val="0"/>
        <w:pageBreakBefore w:val="0"/>
        <w:kinsoku/>
        <w:wordWrap/>
        <w:overflowPunct/>
        <w:topLinePunct w:val="0"/>
        <w:autoSpaceDE/>
        <w:autoSpaceDN/>
        <w:bidi w:val="0"/>
        <w:spacing w:line="600" w:lineRule="exact"/>
        <w:ind w:left="0" w:leftChars="0" w:right="0" w:rightChars="0" w:firstLine="560"/>
        <w:outlineLvl w:val="0"/>
        <w:rPr>
          <w:rFonts w:hint="default" w:ascii="Times New Roman" w:hAnsi="Times New Roman" w:eastAsia="方正黑体简体" w:cs="Times New Roman"/>
          <w:color w:val="auto"/>
          <w:kern w:val="0"/>
          <w:sz w:val="32"/>
          <w:szCs w:val="32"/>
          <w:highlight w:val="none"/>
          <w:shd w:val="clear" w:color="auto" w:fill="FFFFFF"/>
          <w:lang w:eastAsia="zh-CN"/>
        </w:rPr>
      </w:pPr>
      <w:bookmarkStart w:id="11" w:name="_Toc26009"/>
      <w:bookmarkStart w:id="12" w:name="_Toc799907804"/>
      <w:bookmarkStart w:id="13" w:name="_Toc12546"/>
      <w:bookmarkStart w:id="14" w:name="_Toc15220"/>
      <w:bookmarkStart w:id="15" w:name="_Toc4351"/>
      <w:bookmarkStart w:id="16" w:name="_Toc10147"/>
      <w:bookmarkStart w:id="17" w:name="_Toc18579"/>
      <w:bookmarkStart w:id="18" w:name="_Toc27571"/>
      <w:r>
        <w:rPr>
          <w:rFonts w:hint="default" w:ascii="Times New Roman" w:hAnsi="Times New Roman" w:eastAsia="方正黑体简体" w:cs="Times New Roman"/>
          <w:color w:val="auto"/>
          <w:kern w:val="0"/>
          <w:sz w:val="32"/>
          <w:szCs w:val="32"/>
          <w:highlight w:val="none"/>
          <w:shd w:val="clear" w:color="auto" w:fill="FFFFFF"/>
        </w:rPr>
        <w:t>一、</w:t>
      </w:r>
      <w:bookmarkEnd w:id="8"/>
      <w:bookmarkEnd w:id="9"/>
      <w:r>
        <w:rPr>
          <w:rFonts w:hint="default" w:ascii="Times New Roman" w:hAnsi="Times New Roman" w:eastAsia="方正黑体简体" w:cs="Times New Roman"/>
          <w:color w:val="auto"/>
          <w:kern w:val="0"/>
          <w:sz w:val="32"/>
          <w:szCs w:val="32"/>
          <w:highlight w:val="none"/>
          <w:shd w:val="clear" w:color="auto" w:fill="FFFFFF"/>
        </w:rPr>
        <w:t>部门</w:t>
      </w:r>
      <w:bookmarkEnd w:id="10"/>
      <w:bookmarkEnd w:id="11"/>
      <w:bookmarkEnd w:id="12"/>
      <w:bookmarkStart w:id="19" w:name="_Toc30550"/>
      <w:bookmarkStart w:id="20" w:name="_Toc109483834"/>
      <w:bookmarkStart w:id="21" w:name="_Toc16549"/>
      <w:r>
        <w:rPr>
          <w:rFonts w:hint="default" w:ascii="Times New Roman" w:hAnsi="Times New Roman" w:eastAsia="方正黑体简体" w:cs="Times New Roman"/>
          <w:color w:val="auto"/>
          <w:kern w:val="0"/>
          <w:sz w:val="32"/>
          <w:szCs w:val="32"/>
          <w:highlight w:val="none"/>
          <w:shd w:val="clear" w:color="auto" w:fill="FFFFFF"/>
          <w:lang w:val="en-US" w:eastAsia="zh-CN"/>
        </w:rPr>
        <w:t>概况</w:t>
      </w:r>
      <w:bookmarkEnd w:id="13"/>
      <w:bookmarkEnd w:id="14"/>
      <w:bookmarkEnd w:id="15"/>
      <w:bookmarkEnd w:id="16"/>
      <w:bookmarkEnd w:id="17"/>
      <w:bookmarkEnd w:id="18"/>
    </w:p>
    <w:p w14:paraId="20C60406">
      <w:pPr>
        <w:keepNext w:val="0"/>
        <w:keepLines w:val="0"/>
        <w:pageBreakBefore w:val="0"/>
        <w:kinsoku/>
        <w:wordWrap/>
        <w:overflowPunct/>
        <w:topLinePunct w:val="0"/>
        <w:autoSpaceDE/>
        <w:autoSpaceDN/>
        <w:bidi w:val="0"/>
        <w:spacing w:line="600" w:lineRule="exact"/>
        <w:ind w:left="0" w:leftChars="0" w:right="0" w:rightChars="0" w:firstLine="560"/>
        <w:outlineLvl w:val="1"/>
        <w:rPr>
          <w:rFonts w:hint="default" w:ascii="Times New Roman" w:hAnsi="Times New Roman" w:eastAsia="方正楷体简体" w:cs="Times New Roman"/>
          <w:color w:val="auto"/>
          <w:kern w:val="2"/>
          <w:sz w:val="32"/>
          <w:szCs w:val="32"/>
          <w:highlight w:val="none"/>
          <w:shd w:val="clear"/>
          <w:lang w:val="zh-CN" w:eastAsia="zh-CN"/>
        </w:rPr>
      </w:pPr>
      <w:bookmarkStart w:id="22" w:name="_Toc419097264"/>
      <w:bookmarkStart w:id="23" w:name="_Toc7513"/>
      <w:bookmarkStart w:id="24" w:name="_Toc11769"/>
      <w:bookmarkStart w:id="25" w:name="_Toc19098"/>
      <w:bookmarkStart w:id="26" w:name="_Toc24161"/>
      <w:bookmarkStart w:id="27" w:name="_Toc2337"/>
      <w:bookmarkStart w:id="28" w:name="_Toc20865"/>
      <w:bookmarkStart w:id="29" w:name="_Toc18535"/>
      <w:r>
        <w:rPr>
          <w:rFonts w:hint="default" w:ascii="Times New Roman" w:hAnsi="Times New Roman" w:eastAsia="方正楷体简体" w:cs="Times New Roman"/>
          <w:color w:val="auto"/>
          <w:kern w:val="2"/>
          <w:sz w:val="32"/>
          <w:szCs w:val="32"/>
          <w:highlight w:val="none"/>
          <w:shd w:val="clear"/>
          <w:lang w:val="zh-CN"/>
        </w:rPr>
        <w:t>（一）</w:t>
      </w:r>
      <w:bookmarkEnd w:id="19"/>
      <w:bookmarkEnd w:id="20"/>
      <w:bookmarkEnd w:id="21"/>
      <w:bookmarkEnd w:id="22"/>
      <w:bookmarkEnd w:id="23"/>
      <w:r>
        <w:rPr>
          <w:rFonts w:hint="default" w:ascii="Times New Roman" w:hAnsi="Times New Roman" w:eastAsia="方正楷体简体" w:cs="Times New Roman"/>
          <w:color w:val="auto"/>
          <w:kern w:val="2"/>
          <w:sz w:val="32"/>
          <w:szCs w:val="32"/>
          <w:highlight w:val="none"/>
          <w:shd w:val="clear"/>
          <w:lang w:val="zh-CN" w:eastAsia="zh-CN"/>
        </w:rPr>
        <w:t>部门基本情况</w:t>
      </w:r>
      <w:bookmarkEnd w:id="24"/>
      <w:bookmarkEnd w:id="25"/>
      <w:bookmarkEnd w:id="26"/>
      <w:bookmarkEnd w:id="27"/>
      <w:bookmarkEnd w:id="28"/>
      <w:bookmarkEnd w:id="29"/>
    </w:p>
    <w:p w14:paraId="05FA19E9">
      <w:pPr>
        <w:keepNext w:val="0"/>
        <w:keepLines w:val="0"/>
        <w:pageBreakBefore w:val="0"/>
        <w:kinsoku/>
        <w:wordWrap/>
        <w:overflowPunct/>
        <w:topLinePunct w:val="0"/>
        <w:autoSpaceDE/>
        <w:autoSpaceDN/>
        <w:bidi w:val="0"/>
        <w:spacing w:line="600" w:lineRule="exact"/>
        <w:ind w:left="0" w:firstLine="560"/>
        <w:outlineLvl w:val="1"/>
        <w:rPr>
          <w:rFonts w:hint="default" w:ascii="Times New Roman" w:hAnsi="Times New Roman" w:eastAsia="仿宋" w:cs="Times New Roman"/>
          <w:color w:val="auto"/>
          <w:sz w:val="32"/>
          <w:szCs w:val="32"/>
          <w:highlight w:val="none"/>
          <w:lang w:val="fr-FR" w:eastAsia="zh-CN"/>
        </w:rPr>
      </w:pPr>
      <w:bookmarkStart w:id="30" w:name="_Toc109483835"/>
      <w:r>
        <w:rPr>
          <w:rFonts w:hint="default" w:ascii="Times New Roman" w:hAnsi="Times New Roman" w:eastAsia="方正仿宋_GB2312" w:cs="Times New Roman"/>
          <w:color w:val="auto"/>
          <w:sz w:val="32"/>
          <w:szCs w:val="32"/>
          <w:highlight w:val="none"/>
          <w:lang w:val="fr-FR" w:eastAsia="zh-CN"/>
        </w:rPr>
        <w:t>泸定县综合行政执法局</w:t>
      </w:r>
      <w:r>
        <w:rPr>
          <w:rFonts w:hint="default" w:ascii="Times New Roman" w:hAnsi="Times New Roman" w:eastAsia="方正仿宋_GB2312" w:cs="Times New Roman"/>
          <w:color w:val="auto"/>
          <w:sz w:val="32"/>
          <w:szCs w:val="32"/>
          <w:highlight w:val="none"/>
          <w:lang w:val="en-US" w:eastAsia="zh-CN"/>
        </w:rPr>
        <w:t>（以下简称县综合执法局）</w:t>
      </w:r>
      <w:r>
        <w:rPr>
          <w:rFonts w:hint="default" w:ascii="Times New Roman" w:hAnsi="Times New Roman" w:eastAsia="方正仿宋_GB2312" w:cs="Times New Roman"/>
          <w:color w:val="auto"/>
          <w:sz w:val="32"/>
          <w:szCs w:val="32"/>
          <w:highlight w:val="none"/>
          <w:lang w:val="fr-FR" w:eastAsia="zh-CN"/>
        </w:rPr>
        <w:t>，属财政补助（收支统管、全额保障）的一级预算单位，机构性质：机关单位；单位负责人：何归江；统一社会信用代码：11513322MB15847225；单位所在地：四川省甘孜藏族自治州泸定县泸桥镇将军街20号。</w:t>
      </w:r>
      <w:r>
        <w:rPr>
          <w:rFonts w:hint="default" w:ascii="Times New Roman" w:hAnsi="Times New Roman" w:eastAsia="仿宋" w:cs="Times New Roman"/>
          <w:color w:val="auto"/>
          <w:sz w:val="32"/>
          <w:szCs w:val="32"/>
          <w:highlight w:val="none"/>
          <w:lang w:val="fr-FR" w:eastAsia="zh-CN"/>
        </w:rPr>
        <w:t xml:space="preserve"> </w:t>
      </w:r>
    </w:p>
    <w:p w14:paraId="5FA54FAF">
      <w:pPr>
        <w:keepNext w:val="0"/>
        <w:keepLines w:val="0"/>
        <w:pageBreakBefore w:val="0"/>
        <w:kinsoku/>
        <w:wordWrap/>
        <w:overflowPunct/>
        <w:topLinePunct w:val="0"/>
        <w:autoSpaceDE/>
        <w:autoSpaceDN/>
        <w:bidi w:val="0"/>
        <w:spacing w:line="600" w:lineRule="exact"/>
        <w:ind w:left="0" w:leftChars="0" w:right="0" w:rightChars="0" w:firstLine="560"/>
        <w:outlineLvl w:val="1"/>
        <w:rPr>
          <w:rFonts w:hint="default" w:ascii="Times New Roman" w:hAnsi="Times New Roman" w:eastAsia="方正楷体简体" w:cs="Times New Roman"/>
          <w:color w:val="auto"/>
          <w:kern w:val="2"/>
          <w:sz w:val="32"/>
          <w:szCs w:val="32"/>
          <w:highlight w:val="none"/>
          <w:shd w:val="clear"/>
          <w:lang w:val="zh-CN" w:eastAsia="zh"/>
        </w:rPr>
      </w:pPr>
      <w:bookmarkStart w:id="31" w:name="_Toc1278"/>
      <w:bookmarkStart w:id="32" w:name="_Toc31223"/>
      <w:bookmarkStart w:id="33" w:name="_Toc17750"/>
      <w:bookmarkStart w:id="34" w:name="_Toc28538"/>
      <w:bookmarkStart w:id="35" w:name="_Toc26703"/>
      <w:bookmarkStart w:id="36" w:name="_Toc16904"/>
      <w:r>
        <w:rPr>
          <w:rFonts w:hint="default" w:ascii="Times New Roman" w:hAnsi="Times New Roman" w:eastAsia="方正楷体简体" w:cs="Times New Roman"/>
          <w:color w:val="auto"/>
          <w:kern w:val="2"/>
          <w:sz w:val="32"/>
          <w:szCs w:val="32"/>
          <w:highlight w:val="none"/>
          <w:shd w:val="clear"/>
          <w:lang w:val="zh-CN" w:eastAsia="zh-CN"/>
        </w:rPr>
        <w:t>（二）部门</w:t>
      </w:r>
      <w:bookmarkEnd w:id="31"/>
      <w:bookmarkEnd w:id="32"/>
      <w:bookmarkEnd w:id="33"/>
      <w:r>
        <w:rPr>
          <w:rFonts w:hint="default" w:ascii="Times New Roman" w:hAnsi="Times New Roman" w:eastAsia="方正楷体简体" w:cs="Times New Roman"/>
          <w:color w:val="auto"/>
          <w:kern w:val="2"/>
          <w:sz w:val="32"/>
          <w:szCs w:val="32"/>
          <w:highlight w:val="none"/>
          <w:shd w:val="clear"/>
          <w:lang w:val="zh-CN" w:eastAsia="zh"/>
        </w:rPr>
        <w:t>内设机构及人员概况</w:t>
      </w:r>
      <w:bookmarkEnd w:id="34"/>
      <w:bookmarkEnd w:id="35"/>
      <w:bookmarkEnd w:id="36"/>
    </w:p>
    <w:p w14:paraId="20FA589F">
      <w:pPr>
        <w:keepNext w:val="0"/>
        <w:keepLines w:val="0"/>
        <w:pageBreakBefore w:val="0"/>
        <w:kinsoku/>
        <w:wordWrap/>
        <w:overflowPunct/>
        <w:topLinePunct w:val="0"/>
        <w:autoSpaceDE/>
        <w:autoSpaceDN/>
        <w:bidi w:val="0"/>
        <w:spacing w:line="600" w:lineRule="exact"/>
        <w:ind w:left="0" w:firstLine="560"/>
        <w:outlineLvl w:val="1"/>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（1）内设机构。县综合执法局内设机构5个：办公室、信息建设与督查考核股、行政执法股、政策法规股、城市管理股，无二级预算单位。</w:t>
      </w:r>
    </w:p>
    <w:p w14:paraId="79977149">
      <w:pPr>
        <w:keepNext w:val="0"/>
        <w:keepLines w:val="0"/>
        <w:pageBreakBefore w:val="0"/>
        <w:kinsoku/>
        <w:wordWrap/>
        <w:overflowPunct/>
        <w:topLinePunct w:val="0"/>
        <w:autoSpaceDE/>
        <w:autoSpaceDN/>
        <w:bidi w:val="0"/>
        <w:spacing w:line="600" w:lineRule="exact"/>
        <w:ind w:left="0" w:firstLine="560"/>
        <w:outlineLvl w:val="1"/>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（2）人员概况。截至2024年末，县综合执法局单位编制内人数22人，实有在职23人（其中公务员17人，行政工勤人员1人，事业人员5人）。退休人员2人。辅助执法人员42人。</w:t>
      </w:r>
    </w:p>
    <w:p w14:paraId="2171EDF9">
      <w:pPr>
        <w:keepNext w:val="0"/>
        <w:keepLines w:val="0"/>
        <w:pageBreakBefore w:val="0"/>
        <w:kinsoku/>
        <w:wordWrap/>
        <w:overflowPunct/>
        <w:topLinePunct w:val="0"/>
        <w:autoSpaceDE/>
        <w:autoSpaceDN/>
        <w:bidi w:val="0"/>
        <w:spacing w:line="600" w:lineRule="exact"/>
        <w:ind w:left="0" w:leftChars="0" w:right="0" w:rightChars="0" w:firstLine="560"/>
        <w:outlineLvl w:val="1"/>
        <w:rPr>
          <w:rFonts w:hint="default" w:ascii="Times New Roman" w:hAnsi="Times New Roman" w:eastAsia="方正楷体简体" w:cs="Times New Roman"/>
          <w:color w:val="auto"/>
          <w:kern w:val="2"/>
          <w:sz w:val="32"/>
          <w:szCs w:val="32"/>
          <w:highlight w:val="none"/>
          <w:shd w:val="clear"/>
          <w:lang w:val="zh-CN" w:eastAsia="zh-CN"/>
        </w:rPr>
      </w:pPr>
      <w:bookmarkStart w:id="37" w:name="_Toc16978"/>
      <w:bookmarkStart w:id="38" w:name="_Toc568184988"/>
      <w:bookmarkStart w:id="39" w:name="_Toc12241"/>
      <w:bookmarkStart w:id="40" w:name="_Toc21223"/>
      <w:bookmarkStart w:id="41" w:name="_Toc16740"/>
      <w:bookmarkStart w:id="42" w:name="_Toc22604"/>
      <w:r>
        <w:rPr>
          <w:rFonts w:hint="default" w:ascii="Times New Roman" w:hAnsi="Times New Roman" w:eastAsia="方正楷体简体" w:cs="Times New Roman"/>
          <w:color w:val="auto"/>
          <w:kern w:val="2"/>
          <w:sz w:val="32"/>
          <w:szCs w:val="32"/>
          <w:highlight w:val="none"/>
          <w:shd w:val="clear"/>
          <w:lang w:val="zh-CN"/>
        </w:rPr>
        <w:t>（</w:t>
      </w:r>
      <w:r>
        <w:rPr>
          <w:rFonts w:hint="default" w:ascii="Times New Roman" w:hAnsi="Times New Roman" w:eastAsia="方正楷体简体" w:cs="Times New Roman"/>
          <w:color w:val="auto"/>
          <w:kern w:val="2"/>
          <w:sz w:val="32"/>
          <w:szCs w:val="32"/>
          <w:highlight w:val="none"/>
          <w:shd w:val="clear"/>
          <w:lang w:val="zh-CN" w:eastAsia="zh-CN"/>
        </w:rPr>
        <w:t>三</w:t>
      </w:r>
      <w:r>
        <w:rPr>
          <w:rFonts w:hint="default" w:ascii="Times New Roman" w:hAnsi="Times New Roman" w:eastAsia="方正楷体简体" w:cs="Times New Roman"/>
          <w:color w:val="auto"/>
          <w:kern w:val="2"/>
          <w:sz w:val="32"/>
          <w:szCs w:val="32"/>
          <w:highlight w:val="none"/>
          <w:shd w:val="clear"/>
          <w:lang w:val="zh-CN"/>
        </w:rPr>
        <w:t>）</w:t>
      </w:r>
      <w:bookmarkEnd w:id="30"/>
      <w:bookmarkEnd w:id="37"/>
      <w:bookmarkEnd w:id="38"/>
      <w:r>
        <w:rPr>
          <w:rFonts w:hint="default" w:ascii="Times New Roman" w:hAnsi="Times New Roman" w:eastAsia="方正楷体简体" w:cs="Times New Roman"/>
          <w:color w:val="auto"/>
          <w:kern w:val="2"/>
          <w:sz w:val="32"/>
          <w:szCs w:val="32"/>
          <w:highlight w:val="none"/>
          <w:shd w:val="clear"/>
          <w:lang w:val="zh-CN" w:eastAsia="zh-CN"/>
        </w:rPr>
        <w:t>部门职能职责</w:t>
      </w:r>
      <w:bookmarkEnd w:id="39"/>
      <w:bookmarkEnd w:id="40"/>
      <w:bookmarkEnd w:id="41"/>
      <w:bookmarkEnd w:id="42"/>
    </w:p>
    <w:p w14:paraId="10DEF07B">
      <w:pPr>
        <w:keepNext w:val="0"/>
        <w:keepLines w:val="0"/>
        <w:pageBreakBefore w:val="0"/>
        <w:kinsoku/>
        <w:wordWrap/>
        <w:overflowPunct/>
        <w:topLinePunct w:val="0"/>
        <w:autoSpaceDE/>
        <w:autoSpaceDN/>
        <w:bidi w:val="0"/>
        <w:spacing w:line="600" w:lineRule="exact"/>
        <w:ind w:left="0" w:firstLine="560"/>
        <w:outlineLvl w:val="1"/>
        <w:rPr>
          <w:rFonts w:hint="default" w:ascii="Times New Roman" w:hAnsi="Times New Roman" w:eastAsia="方正仿宋_GB2312" w:cs="Times New Roman"/>
          <w:color w:val="auto"/>
          <w:sz w:val="32"/>
          <w:szCs w:val="32"/>
          <w:highlight w:val="none"/>
          <w:lang w:val="fr-FR" w:eastAsia="zh-CN"/>
        </w:rPr>
      </w:pPr>
      <w:bookmarkStart w:id="43" w:name="_Toc33"/>
      <w:bookmarkStart w:id="44" w:name="_Toc109483836"/>
      <w:r>
        <w:rPr>
          <w:rFonts w:hint="default" w:ascii="Times New Roman" w:hAnsi="Times New Roman" w:eastAsia="方正仿宋_GB2312" w:cs="Times New Roman"/>
          <w:color w:val="auto"/>
          <w:sz w:val="32"/>
          <w:szCs w:val="32"/>
          <w:highlight w:val="none"/>
          <w:lang w:val="fr-FR" w:eastAsia="zh-CN"/>
        </w:rPr>
        <w:t>县综合执法局的主要职责是：</w:t>
      </w:r>
    </w:p>
    <w:p w14:paraId="662696FB">
      <w:pPr>
        <w:keepNext w:val="0"/>
        <w:keepLines w:val="0"/>
        <w:pageBreakBefore w:val="0"/>
        <w:kinsoku/>
        <w:wordWrap/>
        <w:overflowPunct/>
        <w:topLinePunct w:val="0"/>
        <w:autoSpaceDE/>
        <w:autoSpaceDN/>
        <w:bidi w:val="0"/>
        <w:spacing w:line="600" w:lineRule="exact"/>
        <w:ind w:left="0" w:firstLine="560"/>
        <w:outlineLvl w:val="1"/>
        <w:rPr>
          <w:rFonts w:hint="default" w:ascii="Times New Roman" w:hAnsi="Times New Roman" w:eastAsia="方正仿宋_GB2312" w:cs="Times New Roman"/>
          <w:color w:val="auto"/>
          <w:sz w:val="32"/>
          <w:szCs w:val="32"/>
          <w:highlight w:val="none"/>
          <w:lang w:val="fr-FR" w:eastAsia="zh-CN"/>
        </w:rPr>
      </w:pPr>
      <w:r>
        <w:rPr>
          <w:rFonts w:hint="default" w:ascii="Times New Roman" w:hAnsi="Times New Roman" w:eastAsia="方正仿宋_GB2312" w:cs="Times New Roman"/>
          <w:color w:val="auto"/>
          <w:sz w:val="32"/>
          <w:szCs w:val="32"/>
          <w:highlight w:val="none"/>
          <w:lang w:val="fr-FR" w:eastAsia="zh-CN"/>
        </w:rPr>
        <w:t>1.贯彻执行国家、省、州、县有关综合行政执法工作政策，分析研判行政执法工作形势和综合行政执法工作重大问题，对全县综合行政执法工作提出全局性部署。</w:t>
      </w:r>
    </w:p>
    <w:p w14:paraId="2BE0D278">
      <w:pPr>
        <w:keepNext w:val="0"/>
        <w:keepLines w:val="0"/>
        <w:pageBreakBefore w:val="0"/>
        <w:kinsoku/>
        <w:wordWrap/>
        <w:overflowPunct/>
        <w:topLinePunct w:val="0"/>
        <w:autoSpaceDE/>
        <w:autoSpaceDN/>
        <w:bidi w:val="0"/>
        <w:spacing w:line="600" w:lineRule="exact"/>
        <w:ind w:left="0" w:firstLine="560"/>
        <w:outlineLvl w:val="1"/>
        <w:rPr>
          <w:rFonts w:hint="default" w:ascii="Times New Roman" w:hAnsi="Times New Roman" w:eastAsia="方正仿宋_GB2312" w:cs="Times New Roman"/>
          <w:color w:val="auto"/>
          <w:sz w:val="32"/>
          <w:szCs w:val="32"/>
          <w:highlight w:val="none"/>
          <w:lang w:val="fr-FR" w:eastAsia="zh-CN"/>
        </w:rPr>
      </w:pPr>
      <w:r>
        <w:rPr>
          <w:rFonts w:hint="default" w:ascii="Times New Roman" w:hAnsi="Times New Roman" w:eastAsia="方正仿宋_GB2312" w:cs="Times New Roman"/>
          <w:color w:val="auto"/>
          <w:sz w:val="32"/>
          <w:szCs w:val="32"/>
          <w:highlight w:val="none"/>
          <w:lang w:val="fr-FR" w:eastAsia="zh-CN"/>
        </w:rPr>
        <w:t>2.组织开展行政执法领域调查研究，拟订全县行政执法工作的政策措施，组织起草有关行政执法方面的规范性文件和工作计划、制度等并组织实施。</w:t>
      </w:r>
    </w:p>
    <w:p w14:paraId="25ABBD76">
      <w:pPr>
        <w:keepNext w:val="0"/>
        <w:keepLines w:val="0"/>
        <w:pageBreakBefore w:val="0"/>
        <w:kinsoku/>
        <w:wordWrap/>
        <w:overflowPunct/>
        <w:topLinePunct w:val="0"/>
        <w:autoSpaceDE/>
        <w:autoSpaceDN/>
        <w:bidi w:val="0"/>
        <w:spacing w:line="600" w:lineRule="exact"/>
        <w:ind w:left="0" w:firstLine="560"/>
        <w:outlineLvl w:val="1"/>
        <w:rPr>
          <w:rFonts w:hint="default" w:ascii="Times New Roman" w:hAnsi="Times New Roman" w:eastAsia="方正仿宋_GB2312" w:cs="Times New Roman"/>
          <w:color w:val="auto"/>
          <w:sz w:val="32"/>
          <w:szCs w:val="32"/>
          <w:highlight w:val="none"/>
          <w:lang w:val="fr-FR" w:eastAsia="zh-CN"/>
        </w:rPr>
      </w:pPr>
      <w:r>
        <w:rPr>
          <w:rFonts w:hint="default" w:ascii="Times New Roman" w:hAnsi="Times New Roman" w:eastAsia="方正仿宋_GB2312" w:cs="Times New Roman"/>
          <w:color w:val="auto"/>
          <w:sz w:val="32"/>
          <w:szCs w:val="32"/>
          <w:highlight w:val="none"/>
          <w:lang w:val="fr-FR" w:eastAsia="zh-CN"/>
        </w:rPr>
        <w:t>3.统筹协调、组织调度、督查考核行政执法工作，负责行政执法队伍建设管理工作。</w:t>
      </w:r>
    </w:p>
    <w:p w14:paraId="325B42C6">
      <w:pPr>
        <w:keepNext w:val="0"/>
        <w:keepLines w:val="0"/>
        <w:pageBreakBefore w:val="0"/>
        <w:kinsoku/>
        <w:wordWrap/>
        <w:overflowPunct/>
        <w:topLinePunct w:val="0"/>
        <w:autoSpaceDE/>
        <w:autoSpaceDN/>
        <w:bidi w:val="0"/>
        <w:spacing w:line="600" w:lineRule="exact"/>
        <w:ind w:left="0" w:firstLine="560"/>
        <w:outlineLvl w:val="1"/>
        <w:rPr>
          <w:rFonts w:hint="default" w:ascii="Times New Roman" w:hAnsi="Times New Roman" w:eastAsia="方正仿宋_GB2312" w:cs="Times New Roman"/>
          <w:color w:val="auto"/>
          <w:sz w:val="32"/>
          <w:szCs w:val="32"/>
          <w:highlight w:val="none"/>
          <w:lang w:val="fr-FR" w:eastAsia="zh-CN"/>
        </w:rPr>
      </w:pPr>
      <w:r>
        <w:rPr>
          <w:rFonts w:hint="default" w:ascii="Times New Roman" w:hAnsi="Times New Roman" w:eastAsia="方正仿宋_GB2312" w:cs="Times New Roman"/>
          <w:color w:val="auto"/>
          <w:sz w:val="32"/>
          <w:szCs w:val="32"/>
          <w:highlight w:val="none"/>
          <w:lang w:val="fr-FR" w:eastAsia="zh-CN"/>
        </w:rPr>
        <w:t>4.统筹、指导、督查、考核各乡（镇）综合行政执法工作及队伍建设，指导乡镇基层行政执法工作。</w:t>
      </w:r>
    </w:p>
    <w:p w14:paraId="6B5669B9">
      <w:pPr>
        <w:keepNext w:val="0"/>
        <w:keepLines w:val="0"/>
        <w:pageBreakBefore w:val="0"/>
        <w:kinsoku/>
        <w:wordWrap/>
        <w:overflowPunct/>
        <w:topLinePunct w:val="0"/>
        <w:autoSpaceDE/>
        <w:autoSpaceDN/>
        <w:bidi w:val="0"/>
        <w:spacing w:line="600" w:lineRule="exact"/>
        <w:ind w:left="0" w:firstLine="560"/>
        <w:outlineLvl w:val="1"/>
        <w:rPr>
          <w:rFonts w:hint="default" w:ascii="Times New Roman" w:hAnsi="Times New Roman" w:eastAsia="方正仿宋_GB2312" w:cs="Times New Roman"/>
          <w:color w:val="auto"/>
          <w:sz w:val="32"/>
          <w:szCs w:val="32"/>
          <w:highlight w:val="none"/>
          <w:lang w:val="fr-FR" w:eastAsia="zh-CN"/>
        </w:rPr>
      </w:pPr>
      <w:r>
        <w:rPr>
          <w:rFonts w:hint="default" w:ascii="Times New Roman" w:hAnsi="Times New Roman" w:eastAsia="方正仿宋_GB2312" w:cs="Times New Roman"/>
          <w:color w:val="auto"/>
          <w:sz w:val="32"/>
          <w:szCs w:val="32"/>
          <w:highlight w:val="none"/>
          <w:lang w:val="fr-FR" w:eastAsia="zh-CN"/>
        </w:rPr>
        <w:t>5.统筹协调、组织调度跨行业、跨区域重大行政执法工作。</w:t>
      </w:r>
    </w:p>
    <w:p w14:paraId="28563F07">
      <w:pPr>
        <w:keepNext w:val="0"/>
        <w:keepLines w:val="0"/>
        <w:pageBreakBefore w:val="0"/>
        <w:kinsoku/>
        <w:wordWrap/>
        <w:overflowPunct/>
        <w:topLinePunct w:val="0"/>
        <w:autoSpaceDE/>
        <w:autoSpaceDN/>
        <w:bidi w:val="0"/>
        <w:spacing w:line="600" w:lineRule="exact"/>
        <w:ind w:left="0" w:firstLine="560"/>
        <w:outlineLvl w:val="1"/>
        <w:rPr>
          <w:rFonts w:hint="default" w:ascii="Times New Roman" w:hAnsi="Times New Roman" w:eastAsia="方正仿宋_GB2312" w:cs="Times New Roman"/>
          <w:color w:val="auto"/>
          <w:sz w:val="32"/>
          <w:szCs w:val="32"/>
          <w:highlight w:val="none"/>
          <w:lang w:val="fr-FR" w:eastAsia="zh-CN"/>
        </w:rPr>
      </w:pPr>
      <w:r>
        <w:rPr>
          <w:rFonts w:hint="default" w:ascii="Times New Roman" w:hAnsi="Times New Roman" w:eastAsia="方正仿宋_GB2312" w:cs="Times New Roman"/>
          <w:color w:val="auto"/>
          <w:sz w:val="32"/>
          <w:szCs w:val="32"/>
          <w:highlight w:val="none"/>
          <w:lang w:val="fr-FR" w:eastAsia="zh-CN"/>
        </w:rPr>
        <w:t>6.参与全县城乡发展规划、重大建设项目设计方案审查。</w:t>
      </w:r>
    </w:p>
    <w:p w14:paraId="2CC4AB4D">
      <w:pPr>
        <w:keepNext w:val="0"/>
        <w:keepLines w:val="0"/>
        <w:pageBreakBefore w:val="0"/>
        <w:kinsoku/>
        <w:wordWrap/>
        <w:overflowPunct/>
        <w:topLinePunct w:val="0"/>
        <w:autoSpaceDE/>
        <w:autoSpaceDN/>
        <w:bidi w:val="0"/>
        <w:spacing w:line="600" w:lineRule="exact"/>
        <w:ind w:left="0" w:firstLine="560"/>
        <w:outlineLvl w:val="1"/>
        <w:rPr>
          <w:rFonts w:hint="default" w:ascii="Times New Roman" w:hAnsi="Times New Roman" w:eastAsia="方正仿宋_GB2312" w:cs="Times New Roman"/>
          <w:color w:val="auto"/>
          <w:sz w:val="32"/>
          <w:szCs w:val="32"/>
          <w:highlight w:val="none"/>
          <w:lang w:val="fr-FR" w:eastAsia="zh-CN"/>
        </w:rPr>
      </w:pPr>
      <w:r>
        <w:rPr>
          <w:rFonts w:hint="default" w:ascii="Times New Roman" w:hAnsi="Times New Roman" w:eastAsia="方正仿宋_GB2312" w:cs="Times New Roman"/>
          <w:color w:val="auto"/>
          <w:sz w:val="32"/>
          <w:szCs w:val="32"/>
          <w:highlight w:val="none"/>
          <w:lang w:val="fr-FR" w:eastAsia="zh-CN"/>
        </w:rPr>
        <w:t>7.组织开展市政管理工作，拟订全县市政管理工作的政策措施，组织起草有关市政管理方面的规范性文件和工作计划。</w:t>
      </w:r>
    </w:p>
    <w:p w14:paraId="2356114A">
      <w:pPr>
        <w:keepNext w:val="0"/>
        <w:keepLines w:val="0"/>
        <w:pageBreakBefore w:val="0"/>
        <w:kinsoku/>
        <w:wordWrap/>
        <w:overflowPunct/>
        <w:topLinePunct w:val="0"/>
        <w:autoSpaceDE/>
        <w:autoSpaceDN/>
        <w:bidi w:val="0"/>
        <w:spacing w:line="600" w:lineRule="exact"/>
        <w:ind w:left="0" w:firstLine="560"/>
        <w:outlineLvl w:val="1"/>
        <w:rPr>
          <w:rFonts w:hint="default" w:ascii="Times New Roman" w:hAnsi="Times New Roman" w:eastAsia="方正仿宋_GB2312" w:cs="Times New Roman"/>
          <w:color w:val="auto"/>
          <w:sz w:val="32"/>
          <w:szCs w:val="32"/>
          <w:highlight w:val="none"/>
          <w:lang w:val="fr-FR" w:eastAsia="zh-CN"/>
        </w:rPr>
      </w:pPr>
      <w:r>
        <w:rPr>
          <w:rFonts w:hint="default" w:ascii="Times New Roman" w:hAnsi="Times New Roman" w:eastAsia="方正仿宋_GB2312" w:cs="Times New Roman"/>
          <w:color w:val="auto"/>
          <w:sz w:val="32"/>
          <w:szCs w:val="32"/>
          <w:highlight w:val="none"/>
          <w:lang w:val="fr-FR" w:eastAsia="zh-CN"/>
        </w:rPr>
        <w:t>8.会同财政部门编制综合行政执法年度经费计划，并组织实施和监管使用。</w:t>
      </w:r>
    </w:p>
    <w:p w14:paraId="26E17149">
      <w:pPr>
        <w:keepNext w:val="0"/>
        <w:keepLines w:val="0"/>
        <w:pageBreakBefore w:val="0"/>
        <w:kinsoku/>
        <w:wordWrap/>
        <w:overflowPunct/>
        <w:topLinePunct w:val="0"/>
        <w:autoSpaceDE/>
        <w:autoSpaceDN/>
        <w:bidi w:val="0"/>
        <w:spacing w:line="600" w:lineRule="exact"/>
        <w:ind w:left="0" w:firstLine="560"/>
        <w:outlineLvl w:val="1"/>
        <w:rPr>
          <w:rFonts w:hint="default" w:ascii="Times New Roman" w:hAnsi="Times New Roman" w:eastAsia="方正仿宋_GB2312" w:cs="Times New Roman"/>
          <w:color w:val="auto"/>
          <w:sz w:val="32"/>
          <w:szCs w:val="32"/>
          <w:highlight w:val="none"/>
          <w:lang w:val="fr-FR" w:eastAsia="zh-CN"/>
        </w:rPr>
      </w:pPr>
      <w:r>
        <w:rPr>
          <w:rFonts w:hint="default" w:ascii="Times New Roman" w:hAnsi="Times New Roman" w:eastAsia="方正仿宋_GB2312" w:cs="Times New Roman"/>
          <w:color w:val="auto"/>
          <w:sz w:val="32"/>
          <w:szCs w:val="32"/>
          <w:highlight w:val="none"/>
          <w:lang w:val="fr-FR" w:eastAsia="zh-CN"/>
        </w:rPr>
        <w:t>9.根据县政府批准的行政执法职权划转目录，负责行使各行业领域法律法规、规章规定的行政处罚权、行政检查权、行政强制权及其他行政权力。</w:t>
      </w:r>
    </w:p>
    <w:p w14:paraId="0EE9DB89">
      <w:pPr>
        <w:keepNext w:val="0"/>
        <w:keepLines w:val="0"/>
        <w:pageBreakBefore w:val="0"/>
        <w:kinsoku/>
        <w:wordWrap/>
        <w:overflowPunct/>
        <w:topLinePunct w:val="0"/>
        <w:autoSpaceDE/>
        <w:autoSpaceDN/>
        <w:bidi w:val="0"/>
        <w:spacing w:line="600" w:lineRule="exact"/>
        <w:ind w:left="0" w:firstLine="560"/>
        <w:outlineLvl w:val="1"/>
        <w:rPr>
          <w:rFonts w:hint="default" w:ascii="Times New Roman" w:hAnsi="Times New Roman" w:eastAsia="方正仿宋_GB2312" w:cs="Times New Roman"/>
          <w:color w:val="auto"/>
          <w:sz w:val="32"/>
          <w:szCs w:val="32"/>
          <w:highlight w:val="none"/>
          <w:lang w:val="fr-FR" w:eastAsia="zh-CN"/>
        </w:rPr>
      </w:pPr>
      <w:r>
        <w:rPr>
          <w:rFonts w:hint="default" w:ascii="Times New Roman" w:hAnsi="Times New Roman" w:eastAsia="方正仿宋_GB2312" w:cs="Times New Roman"/>
          <w:color w:val="auto"/>
          <w:sz w:val="32"/>
          <w:szCs w:val="32"/>
          <w:highlight w:val="none"/>
          <w:lang w:val="fr-FR" w:eastAsia="zh-CN"/>
        </w:rPr>
        <w:t>10.负责拟订综合行政执法队伍人事任免建议方案。</w:t>
      </w:r>
    </w:p>
    <w:p w14:paraId="6E145C5A">
      <w:pPr>
        <w:keepNext w:val="0"/>
        <w:keepLines w:val="0"/>
        <w:pageBreakBefore w:val="0"/>
        <w:kinsoku/>
        <w:wordWrap/>
        <w:overflowPunct/>
        <w:topLinePunct w:val="0"/>
        <w:autoSpaceDE/>
        <w:autoSpaceDN/>
        <w:bidi w:val="0"/>
        <w:spacing w:line="600" w:lineRule="exact"/>
        <w:ind w:left="0" w:firstLine="560"/>
        <w:outlineLvl w:val="1"/>
        <w:rPr>
          <w:rFonts w:hint="default" w:ascii="Times New Roman" w:hAnsi="Times New Roman" w:eastAsia="方正仿宋_GB2312" w:cs="Times New Roman"/>
          <w:color w:val="auto"/>
          <w:sz w:val="32"/>
          <w:szCs w:val="32"/>
          <w:highlight w:val="none"/>
          <w:lang w:val="fr-FR" w:eastAsia="zh-CN"/>
        </w:rPr>
      </w:pPr>
      <w:r>
        <w:rPr>
          <w:rFonts w:hint="default" w:ascii="Times New Roman" w:hAnsi="Times New Roman" w:eastAsia="方正仿宋_GB2312" w:cs="Times New Roman"/>
          <w:color w:val="auto"/>
          <w:sz w:val="32"/>
          <w:szCs w:val="32"/>
          <w:highlight w:val="none"/>
          <w:lang w:val="fr-FR" w:eastAsia="zh-CN"/>
        </w:rPr>
        <w:t>11.组织开展全县综合行政执法工作培训和交流合作。</w:t>
      </w:r>
    </w:p>
    <w:p w14:paraId="5DD8D860">
      <w:pPr>
        <w:keepNext w:val="0"/>
        <w:keepLines w:val="0"/>
        <w:pageBreakBefore w:val="0"/>
        <w:kinsoku/>
        <w:wordWrap/>
        <w:overflowPunct/>
        <w:topLinePunct w:val="0"/>
        <w:autoSpaceDE/>
        <w:autoSpaceDN/>
        <w:bidi w:val="0"/>
        <w:spacing w:line="600" w:lineRule="exact"/>
        <w:ind w:left="0" w:firstLine="560"/>
        <w:outlineLvl w:val="1"/>
        <w:rPr>
          <w:rFonts w:hint="default" w:ascii="Times New Roman" w:hAnsi="Times New Roman" w:eastAsia="方正仿宋_GB2312" w:cs="Times New Roman"/>
          <w:color w:val="auto"/>
          <w:sz w:val="32"/>
          <w:szCs w:val="32"/>
          <w:highlight w:val="none"/>
          <w:lang w:val="fr-FR" w:eastAsia="zh-CN"/>
        </w:rPr>
      </w:pPr>
      <w:r>
        <w:rPr>
          <w:rFonts w:hint="default" w:ascii="Times New Roman" w:hAnsi="Times New Roman" w:eastAsia="方正仿宋_GB2312" w:cs="Times New Roman"/>
          <w:color w:val="auto"/>
          <w:sz w:val="32"/>
          <w:szCs w:val="32"/>
          <w:highlight w:val="none"/>
          <w:lang w:val="fr-FR" w:eastAsia="zh-CN"/>
        </w:rPr>
        <w:t>12.受理行政执法领域信访、举报、投诉、应诉和行政复议等工作。</w:t>
      </w:r>
    </w:p>
    <w:p w14:paraId="63D45F4E">
      <w:pPr>
        <w:keepNext w:val="0"/>
        <w:keepLines w:val="0"/>
        <w:pageBreakBefore w:val="0"/>
        <w:kinsoku/>
        <w:wordWrap/>
        <w:overflowPunct/>
        <w:topLinePunct w:val="0"/>
        <w:autoSpaceDE/>
        <w:autoSpaceDN/>
        <w:bidi w:val="0"/>
        <w:spacing w:line="600" w:lineRule="exact"/>
        <w:ind w:left="0" w:firstLine="560"/>
        <w:outlineLvl w:val="1"/>
        <w:rPr>
          <w:rFonts w:hint="default" w:ascii="Times New Roman" w:hAnsi="Times New Roman" w:eastAsia="方正仿宋_GB2312" w:cs="Times New Roman"/>
          <w:color w:val="auto"/>
          <w:sz w:val="32"/>
          <w:szCs w:val="32"/>
          <w:highlight w:val="none"/>
          <w:lang w:val="fr-FR" w:eastAsia="zh-CN"/>
        </w:rPr>
      </w:pPr>
      <w:r>
        <w:rPr>
          <w:rFonts w:hint="default" w:ascii="Times New Roman" w:hAnsi="Times New Roman" w:eastAsia="方正仿宋_GB2312" w:cs="Times New Roman"/>
          <w:color w:val="auto"/>
          <w:sz w:val="32"/>
          <w:szCs w:val="32"/>
          <w:highlight w:val="none"/>
          <w:lang w:val="fr-FR" w:eastAsia="zh-CN"/>
        </w:rPr>
        <w:t>13.将原住建局的城市管理、城乡环境综合治理工作和拟订市政公用事业管理的有关地方性法规和规章草案、城市执法、城乡规划执法职责划入县综合执法局。</w:t>
      </w:r>
    </w:p>
    <w:p w14:paraId="115730AA">
      <w:pPr>
        <w:keepNext w:val="0"/>
        <w:keepLines w:val="0"/>
        <w:pageBreakBefore w:val="0"/>
        <w:kinsoku/>
        <w:wordWrap/>
        <w:overflowPunct/>
        <w:topLinePunct w:val="0"/>
        <w:autoSpaceDE/>
        <w:autoSpaceDN/>
        <w:bidi w:val="0"/>
        <w:spacing w:line="600" w:lineRule="exact"/>
        <w:ind w:left="0" w:firstLine="560"/>
        <w:outlineLvl w:val="1"/>
        <w:rPr>
          <w:rFonts w:hint="default" w:ascii="Times New Roman" w:hAnsi="Times New Roman" w:eastAsia="方正仿宋_GB2312" w:cs="Times New Roman"/>
          <w:color w:val="auto"/>
          <w:sz w:val="32"/>
          <w:szCs w:val="32"/>
          <w:highlight w:val="none"/>
          <w:lang w:val="fr-FR" w:eastAsia="zh-CN"/>
        </w:rPr>
      </w:pPr>
      <w:r>
        <w:rPr>
          <w:rFonts w:hint="default" w:ascii="Times New Roman" w:hAnsi="Times New Roman" w:eastAsia="方正仿宋_GB2312" w:cs="Times New Roman"/>
          <w:color w:val="auto"/>
          <w:sz w:val="32"/>
          <w:szCs w:val="32"/>
          <w:highlight w:val="none"/>
          <w:lang w:val="fr-FR" w:eastAsia="zh-CN"/>
        </w:rPr>
        <w:t>14.完成县委和县政府交办的其他任务。</w:t>
      </w:r>
    </w:p>
    <w:p w14:paraId="069C751C">
      <w:pPr>
        <w:keepNext w:val="0"/>
        <w:keepLines w:val="0"/>
        <w:pageBreakBefore w:val="0"/>
        <w:kinsoku/>
        <w:wordWrap/>
        <w:overflowPunct/>
        <w:topLinePunct w:val="0"/>
        <w:autoSpaceDE/>
        <w:autoSpaceDN/>
        <w:bidi w:val="0"/>
        <w:spacing w:line="600" w:lineRule="exact"/>
        <w:ind w:left="0" w:leftChars="0" w:right="0" w:rightChars="0" w:firstLine="560"/>
        <w:outlineLvl w:val="0"/>
        <w:rPr>
          <w:rFonts w:hint="default" w:ascii="Times New Roman" w:hAnsi="Times New Roman" w:eastAsia="方正黑体简体" w:cs="Times New Roman"/>
          <w:color w:val="auto"/>
          <w:kern w:val="0"/>
          <w:sz w:val="32"/>
          <w:szCs w:val="32"/>
          <w:highlight w:val="none"/>
          <w:shd w:val="clear" w:color="auto" w:fill="FFFFFF"/>
          <w:lang w:val="zh-CN"/>
        </w:rPr>
      </w:pPr>
      <w:bookmarkStart w:id="45" w:name="_Toc26564"/>
      <w:bookmarkStart w:id="46" w:name="_Toc15163"/>
      <w:bookmarkStart w:id="47" w:name="_Toc5982"/>
      <w:bookmarkStart w:id="48" w:name="_Toc13707"/>
      <w:bookmarkStart w:id="49" w:name="_Toc22594"/>
      <w:bookmarkStart w:id="50" w:name="_Toc16871"/>
      <w:bookmarkStart w:id="51" w:name="_Toc14896"/>
      <w:bookmarkStart w:id="52" w:name="_Toc1218480988"/>
      <w:r>
        <w:rPr>
          <w:rFonts w:hint="default" w:ascii="Times New Roman" w:hAnsi="Times New Roman" w:eastAsia="方正黑体简体" w:cs="Times New Roman"/>
          <w:color w:val="auto"/>
          <w:kern w:val="0"/>
          <w:sz w:val="32"/>
          <w:szCs w:val="32"/>
          <w:highlight w:val="none"/>
          <w:shd w:val="clear" w:color="auto" w:fill="FFFFFF"/>
          <w:lang w:val="zh-CN"/>
        </w:rPr>
        <w:t>二、</w:t>
      </w:r>
      <w:r>
        <w:rPr>
          <w:rFonts w:hint="default" w:ascii="Times New Roman" w:hAnsi="Times New Roman" w:eastAsia="方正黑体简体" w:cs="Times New Roman"/>
          <w:color w:val="auto"/>
          <w:kern w:val="0"/>
          <w:sz w:val="32"/>
          <w:szCs w:val="32"/>
          <w:highlight w:val="none"/>
          <w:shd w:val="clear" w:color="auto" w:fill="FFFFFF"/>
          <w:lang w:val="en-US" w:eastAsia="zh-CN"/>
        </w:rPr>
        <w:t>部门收支</w:t>
      </w:r>
      <w:r>
        <w:rPr>
          <w:rFonts w:hint="default" w:ascii="Times New Roman" w:hAnsi="Times New Roman" w:eastAsia="方正黑体简体" w:cs="Times New Roman"/>
          <w:color w:val="auto"/>
          <w:kern w:val="0"/>
          <w:sz w:val="32"/>
          <w:szCs w:val="32"/>
          <w:highlight w:val="none"/>
          <w:shd w:val="clear" w:color="auto" w:fill="FFFFFF"/>
          <w:lang w:val="zh-CN"/>
        </w:rPr>
        <w:t>情况</w:t>
      </w:r>
      <w:bookmarkEnd w:id="43"/>
      <w:bookmarkEnd w:id="44"/>
      <w:bookmarkEnd w:id="45"/>
      <w:bookmarkEnd w:id="46"/>
      <w:bookmarkEnd w:id="47"/>
      <w:bookmarkEnd w:id="48"/>
      <w:bookmarkEnd w:id="49"/>
      <w:bookmarkEnd w:id="50"/>
      <w:bookmarkEnd w:id="51"/>
      <w:bookmarkEnd w:id="52"/>
      <w:bookmarkStart w:id="53" w:name="_Toc109483837"/>
      <w:bookmarkStart w:id="54" w:name="_Toc2659"/>
    </w:p>
    <w:bookmarkEnd w:id="53"/>
    <w:bookmarkEnd w:id="54"/>
    <w:p w14:paraId="24BA0DDE">
      <w:pPr>
        <w:keepNext w:val="0"/>
        <w:keepLines w:val="0"/>
        <w:pageBreakBefore w:val="0"/>
        <w:kinsoku/>
        <w:wordWrap/>
        <w:overflowPunct/>
        <w:topLinePunct w:val="0"/>
        <w:autoSpaceDE/>
        <w:autoSpaceDN/>
        <w:bidi w:val="0"/>
        <w:spacing w:line="600" w:lineRule="exact"/>
        <w:ind w:left="0" w:leftChars="0" w:right="0" w:rightChars="0" w:firstLine="560"/>
        <w:outlineLvl w:val="1"/>
        <w:rPr>
          <w:rFonts w:hint="default" w:ascii="Times New Roman" w:hAnsi="Times New Roman" w:eastAsia="方正楷体简体" w:cs="Times New Roman"/>
          <w:color w:val="auto"/>
          <w:kern w:val="2"/>
          <w:sz w:val="32"/>
          <w:szCs w:val="32"/>
          <w:highlight w:val="none"/>
          <w:shd w:val="clear"/>
          <w:lang w:val="zh-CN"/>
        </w:rPr>
      </w:pPr>
      <w:bookmarkStart w:id="55" w:name="_Toc1949541301"/>
      <w:bookmarkStart w:id="56" w:name="_Toc32369"/>
      <w:bookmarkStart w:id="57" w:name="_Toc29180"/>
      <w:bookmarkStart w:id="58" w:name="_Toc25866"/>
      <w:bookmarkStart w:id="59" w:name="_Toc21428"/>
      <w:bookmarkStart w:id="60" w:name="_Toc11105"/>
      <w:bookmarkStart w:id="61" w:name="_Toc15898"/>
      <w:bookmarkStart w:id="62" w:name="_Toc2374"/>
      <w:r>
        <w:rPr>
          <w:rFonts w:hint="default" w:ascii="Times New Roman" w:hAnsi="Times New Roman" w:eastAsia="方正楷体简体" w:cs="Times New Roman"/>
          <w:color w:val="auto"/>
          <w:kern w:val="2"/>
          <w:sz w:val="32"/>
          <w:szCs w:val="32"/>
          <w:highlight w:val="none"/>
          <w:shd w:val="clear"/>
          <w:lang w:val="zh-CN"/>
        </w:rPr>
        <w:t>（</w:t>
      </w:r>
      <w:r>
        <w:rPr>
          <w:rFonts w:hint="default" w:ascii="Times New Roman" w:hAnsi="Times New Roman" w:eastAsia="方正楷体简体" w:cs="Times New Roman"/>
          <w:color w:val="auto"/>
          <w:kern w:val="2"/>
          <w:sz w:val="32"/>
          <w:szCs w:val="32"/>
          <w:highlight w:val="none"/>
          <w:shd w:val="clear"/>
          <w:lang w:val="fr-FR"/>
        </w:rPr>
        <w:t>一</w:t>
      </w:r>
      <w:r>
        <w:rPr>
          <w:rFonts w:hint="default" w:ascii="Times New Roman" w:hAnsi="Times New Roman" w:eastAsia="方正楷体简体" w:cs="Times New Roman"/>
          <w:color w:val="auto"/>
          <w:kern w:val="2"/>
          <w:sz w:val="32"/>
          <w:szCs w:val="32"/>
          <w:highlight w:val="none"/>
          <w:shd w:val="clear"/>
          <w:lang w:val="zh-CN"/>
        </w:rPr>
        <w:t>）收入情况</w:t>
      </w:r>
      <w:bookmarkEnd w:id="55"/>
      <w:bookmarkEnd w:id="56"/>
      <w:bookmarkEnd w:id="57"/>
      <w:bookmarkEnd w:id="58"/>
      <w:bookmarkEnd w:id="59"/>
      <w:bookmarkEnd w:id="60"/>
      <w:bookmarkEnd w:id="61"/>
      <w:bookmarkEnd w:id="62"/>
      <w:bookmarkStart w:id="63" w:name="_Toc19132"/>
    </w:p>
    <w:bookmarkEnd w:id="63"/>
    <w:p w14:paraId="412DDDD9">
      <w:pPr>
        <w:keepNext w:val="0"/>
        <w:keepLines w:val="0"/>
        <w:pageBreakBefore w:val="0"/>
        <w:kinsoku/>
        <w:wordWrap/>
        <w:overflowPunct/>
        <w:topLinePunct w:val="0"/>
        <w:autoSpaceDE/>
        <w:autoSpaceDN/>
        <w:bidi w:val="0"/>
        <w:spacing w:line="600" w:lineRule="exact"/>
        <w:ind w:left="0" w:firstLine="560"/>
        <w:outlineLvl w:val="1"/>
        <w:rPr>
          <w:rFonts w:hint="default" w:ascii="Times New Roman" w:hAnsi="Times New Roman" w:eastAsia="方正仿宋_GB2312" w:cs="Times New Roman"/>
          <w:color w:val="auto"/>
          <w:sz w:val="32"/>
          <w:szCs w:val="32"/>
          <w:highlight w:val="none"/>
          <w:lang w:val="en-US" w:eastAsia="zh-CN"/>
        </w:rPr>
      </w:pPr>
      <w:bookmarkStart w:id="64" w:name="_Toc349786989"/>
      <w:bookmarkStart w:id="65" w:name="_Toc19326"/>
      <w:bookmarkStart w:id="66" w:name="_Toc21171"/>
      <w:bookmarkStart w:id="67" w:name="_Toc109483838"/>
      <w:bookmarkStart w:id="68" w:name="_Toc17751"/>
      <w:bookmarkStart w:id="69" w:name="_Toc27782"/>
      <w:bookmarkStart w:id="70" w:name="_Toc27073"/>
      <w:r>
        <w:rPr>
          <w:rFonts w:hint="default" w:ascii="Times New Roman" w:hAnsi="Times New Roman" w:eastAsia="方正仿宋_GB2312" w:cs="Times New Roman"/>
          <w:color w:val="auto"/>
          <w:sz w:val="32"/>
          <w:szCs w:val="32"/>
          <w:highlight w:val="none"/>
          <w:lang w:val="en-US" w:eastAsia="zh-CN"/>
        </w:rPr>
        <w:t>年初预算反映，县综合执法局2024年预算收入合计2,766.92万元，上年结转结余0.00万元，无预算调整。本年收入2,766.92万元，其中：一般公共预算财政拨款收入2,266.92万元，政府性基金预算拨款收入500.00万元。</w:t>
      </w:r>
    </w:p>
    <w:p w14:paraId="001FEF04">
      <w:pPr>
        <w:keepNext w:val="0"/>
        <w:keepLines w:val="0"/>
        <w:pageBreakBefore w:val="0"/>
        <w:kinsoku/>
        <w:wordWrap/>
        <w:overflowPunct/>
        <w:topLinePunct w:val="0"/>
        <w:autoSpaceDE/>
        <w:autoSpaceDN/>
        <w:bidi w:val="0"/>
        <w:spacing w:line="600" w:lineRule="exact"/>
        <w:ind w:left="0" w:firstLine="560"/>
        <w:outlineLvl w:val="1"/>
        <w:rPr>
          <w:rFonts w:hint="default" w:ascii="Times New Roman" w:hAnsi="Times New Roman" w:eastAsia="方正仿宋_GB2312" w:cs="Times New Roman"/>
          <w:color w:val="auto"/>
          <w:sz w:val="32"/>
          <w:szCs w:val="32"/>
          <w:highlight w:val="none"/>
          <w:lang w:val="zh-CN" w:eastAsia="zh"/>
        </w:rPr>
      </w:pPr>
      <w:r>
        <w:rPr>
          <w:rFonts w:hint="default" w:ascii="Times New Roman" w:hAnsi="Times New Roman" w:eastAsia="方正仿宋_GB2312" w:cs="Times New Roman"/>
          <w:color w:val="auto"/>
          <w:sz w:val="32"/>
          <w:szCs w:val="32"/>
          <w:highlight w:val="none"/>
          <w:lang w:val="en-US" w:eastAsia="zh-CN"/>
        </w:rPr>
        <w:t>决算报表反映，县综合执法局2024年决算收入合计3,020.33万元，其中：一般公共预算财政拨款收入2,387.85万元，政府性基金预算拨款收入632.48万元，无年初结转和结余</w:t>
      </w:r>
      <w:r>
        <w:rPr>
          <w:rFonts w:hint="default" w:ascii="Times New Roman" w:hAnsi="Times New Roman" w:eastAsia="方正仿宋_GB2312" w:cs="Times New Roman"/>
          <w:color w:val="auto"/>
          <w:sz w:val="32"/>
          <w:szCs w:val="32"/>
          <w:highlight w:val="none"/>
          <w:lang w:val="zh-CN" w:eastAsia="zh"/>
        </w:rPr>
        <w:t>。</w:t>
      </w:r>
    </w:p>
    <w:p w14:paraId="53A3587D">
      <w:pPr>
        <w:keepNext w:val="0"/>
        <w:keepLines w:val="0"/>
        <w:pageBreakBefore w:val="0"/>
        <w:kinsoku/>
        <w:wordWrap/>
        <w:overflowPunct/>
        <w:topLinePunct w:val="0"/>
        <w:autoSpaceDE/>
        <w:autoSpaceDN/>
        <w:bidi w:val="0"/>
        <w:spacing w:line="600" w:lineRule="exact"/>
        <w:ind w:left="0" w:leftChars="0" w:right="0" w:rightChars="0" w:firstLine="560"/>
        <w:outlineLvl w:val="1"/>
        <w:rPr>
          <w:rFonts w:hint="default" w:ascii="Times New Roman" w:hAnsi="Times New Roman" w:eastAsia="方正楷体简体" w:cs="Times New Roman"/>
          <w:color w:val="auto"/>
          <w:kern w:val="2"/>
          <w:sz w:val="32"/>
          <w:szCs w:val="32"/>
          <w:highlight w:val="none"/>
          <w:shd w:val="clear"/>
          <w:lang w:val="zh-CN"/>
        </w:rPr>
      </w:pPr>
      <w:bookmarkStart w:id="71" w:name="_Toc15130"/>
      <w:bookmarkStart w:id="72" w:name="_Toc30600"/>
      <w:bookmarkStart w:id="73" w:name="_Toc16309"/>
      <w:r>
        <w:rPr>
          <w:rFonts w:hint="default" w:ascii="Times New Roman" w:hAnsi="Times New Roman" w:eastAsia="方正楷体简体" w:cs="Times New Roman"/>
          <w:color w:val="auto"/>
          <w:kern w:val="2"/>
          <w:sz w:val="32"/>
          <w:szCs w:val="32"/>
          <w:highlight w:val="none"/>
          <w:shd w:val="clear"/>
          <w:lang w:val="zh-CN"/>
        </w:rPr>
        <w:t>（二）支出情况</w:t>
      </w:r>
      <w:bookmarkEnd w:id="64"/>
      <w:bookmarkEnd w:id="65"/>
      <w:bookmarkEnd w:id="66"/>
      <w:bookmarkEnd w:id="67"/>
      <w:bookmarkEnd w:id="68"/>
      <w:bookmarkEnd w:id="69"/>
      <w:bookmarkEnd w:id="70"/>
      <w:bookmarkEnd w:id="71"/>
      <w:bookmarkEnd w:id="72"/>
      <w:bookmarkEnd w:id="73"/>
    </w:p>
    <w:p w14:paraId="190EFD14">
      <w:pPr>
        <w:keepNext w:val="0"/>
        <w:keepLines w:val="0"/>
        <w:pageBreakBefore w:val="0"/>
        <w:kinsoku/>
        <w:wordWrap/>
        <w:overflowPunct/>
        <w:topLinePunct w:val="0"/>
        <w:autoSpaceDE/>
        <w:autoSpaceDN/>
        <w:bidi w:val="0"/>
        <w:spacing w:line="600" w:lineRule="exact"/>
        <w:ind w:left="0" w:firstLine="560"/>
        <w:outlineLvl w:val="1"/>
        <w:rPr>
          <w:rFonts w:hint="default" w:ascii="Times New Roman" w:hAnsi="Times New Roman" w:eastAsia="方正仿宋_GB2312" w:cs="Times New Roman"/>
          <w:color w:val="auto"/>
          <w:sz w:val="32"/>
          <w:szCs w:val="32"/>
          <w:highlight w:val="none"/>
          <w:lang w:val="en-US" w:eastAsia="zh-CN"/>
        </w:rPr>
      </w:pPr>
      <w:bookmarkStart w:id="74" w:name="_Toc24721"/>
      <w:bookmarkStart w:id="75" w:name="_Toc18390"/>
      <w:bookmarkStart w:id="76" w:name="_Toc10837"/>
      <w:bookmarkStart w:id="77" w:name="_Toc809"/>
      <w:bookmarkStart w:id="78" w:name="_Toc13841"/>
      <w:bookmarkStart w:id="79" w:name="_Toc1457008154"/>
      <w:bookmarkStart w:id="80" w:name="_Toc109483839"/>
      <w:r>
        <w:rPr>
          <w:rFonts w:hint="default" w:ascii="Times New Roman" w:hAnsi="Times New Roman" w:eastAsia="方正仿宋_GB2312" w:cs="Times New Roman"/>
          <w:color w:val="auto"/>
          <w:sz w:val="32"/>
          <w:szCs w:val="32"/>
          <w:highlight w:val="none"/>
          <w:lang w:val="en-US" w:eastAsia="zh-CN"/>
        </w:rPr>
        <w:t>年初预算反映，县综合执法局2024年预算支出合计2,766.92万元，无年末结转和结余。本年支出中：基本支出1,026.92万元（人员经费975.32万元、公用经费51.60万元），项目支出1,740.00万元。</w:t>
      </w:r>
    </w:p>
    <w:p w14:paraId="70A2FEF6">
      <w:pPr>
        <w:keepNext w:val="0"/>
        <w:keepLines w:val="0"/>
        <w:pageBreakBefore w:val="0"/>
        <w:kinsoku/>
        <w:wordWrap/>
        <w:overflowPunct/>
        <w:topLinePunct w:val="0"/>
        <w:autoSpaceDE/>
        <w:autoSpaceDN/>
        <w:bidi w:val="0"/>
        <w:spacing w:line="600" w:lineRule="exact"/>
        <w:ind w:left="0" w:firstLine="560"/>
        <w:outlineLvl w:val="1"/>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决算报表反映，县综合执法局2024年决算支出合计3,020.33万元，均为本年支出，无年末结转和结余。本年支出中：基本支出955.98万元（人员经费883.93万元、公用经费72.05万元），项目支出2,064.34万元。</w:t>
      </w:r>
    </w:p>
    <w:p w14:paraId="03B600DB">
      <w:pPr>
        <w:spacing w:line="360" w:lineRule="auto"/>
        <w:ind w:firstLine="640"/>
        <w:rPr>
          <w:rFonts w:hint="default" w:ascii="Times New Roman" w:hAnsi="Times New Roman" w:eastAsia="方正楷体简体" w:cs="Times New Roman"/>
          <w:color w:val="auto"/>
          <w:sz w:val="32"/>
          <w:szCs w:val="32"/>
          <w:highlight w:val="none"/>
          <w:lang w:val="zh-CN" w:eastAsia="zh-CN"/>
        </w:rPr>
      </w:pPr>
      <w:r>
        <w:rPr>
          <w:rFonts w:hint="default" w:ascii="Times New Roman" w:hAnsi="Times New Roman" w:eastAsia="方正楷体简体" w:cs="Times New Roman"/>
          <w:color w:val="auto"/>
          <w:sz w:val="32"/>
          <w:szCs w:val="32"/>
          <w:highlight w:val="none"/>
          <w:lang w:val="zh-CN" w:eastAsia="zh-CN"/>
        </w:rPr>
        <w:t>（三）结余分配和结转结余情况</w:t>
      </w:r>
    </w:p>
    <w:p w14:paraId="28891199">
      <w:pPr>
        <w:keepNext w:val="0"/>
        <w:keepLines w:val="0"/>
        <w:pageBreakBefore w:val="0"/>
        <w:kinsoku/>
        <w:wordWrap/>
        <w:overflowPunct/>
        <w:topLinePunct w:val="0"/>
        <w:autoSpaceDE/>
        <w:autoSpaceDN/>
        <w:bidi w:val="0"/>
        <w:spacing w:line="600" w:lineRule="exact"/>
        <w:ind w:left="0" w:firstLine="560"/>
        <w:outlineLvl w:val="1"/>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决算报表反映，县综合执法局2024年末无结余分配和结转结余。</w:t>
      </w:r>
    </w:p>
    <w:p w14:paraId="4BC19A9C">
      <w:pPr>
        <w:keepNext w:val="0"/>
        <w:keepLines w:val="0"/>
        <w:pageBreakBefore w:val="0"/>
        <w:kinsoku/>
        <w:wordWrap/>
        <w:overflowPunct/>
        <w:topLinePunct w:val="0"/>
        <w:autoSpaceDE/>
        <w:autoSpaceDN/>
        <w:bidi w:val="0"/>
        <w:spacing w:line="600" w:lineRule="exact"/>
        <w:ind w:left="0" w:leftChars="0" w:right="0" w:rightChars="0" w:firstLine="560"/>
        <w:outlineLvl w:val="0"/>
        <w:rPr>
          <w:rFonts w:hint="default" w:ascii="Times New Roman" w:hAnsi="Times New Roman" w:eastAsia="方正黑体简体" w:cs="Times New Roman"/>
          <w:color w:val="auto"/>
          <w:kern w:val="0"/>
          <w:sz w:val="32"/>
          <w:szCs w:val="32"/>
          <w:highlight w:val="none"/>
          <w:shd w:val="clear" w:color="auto" w:fill="FFFFFF"/>
          <w:lang w:val="en-US" w:eastAsia="zh-CN"/>
        </w:rPr>
      </w:pPr>
      <w:bookmarkStart w:id="81" w:name="_Toc10974"/>
      <w:bookmarkStart w:id="82" w:name="_Toc7705"/>
      <w:bookmarkStart w:id="83" w:name="_Toc16353"/>
      <w:r>
        <w:rPr>
          <w:rFonts w:hint="default" w:ascii="Times New Roman" w:hAnsi="Times New Roman" w:eastAsia="方正黑体简体" w:cs="Times New Roman"/>
          <w:color w:val="auto"/>
          <w:kern w:val="0"/>
          <w:sz w:val="32"/>
          <w:szCs w:val="32"/>
          <w:highlight w:val="none"/>
          <w:shd w:val="clear" w:color="auto" w:fill="FFFFFF"/>
        </w:rPr>
        <w:t>三、</w:t>
      </w:r>
      <w:r>
        <w:rPr>
          <w:rFonts w:hint="default" w:ascii="Times New Roman" w:hAnsi="Times New Roman" w:eastAsia="方正黑体简体" w:cs="Times New Roman"/>
          <w:color w:val="auto"/>
          <w:kern w:val="0"/>
          <w:sz w:val="32"/>
          <w:szCs w:val="32"/>
          <w:highlight w:val="none"/>
          <w:shd w:val="clear" w:color="auto" w:fill="FFFFFF"/>
          <w:lang w:val="en-US" w:eastAsia="zh-CN"/>
        </w:rPr>
        <w:t>部门目标实现情况</w:t>
      </w:r>
      <w:bookmarkEnd w:id="74"/>
      <w:bookmarkEnd w:id="75"/>
      <w:bookmarkEnd w:id="76"/>
      <w:bookmarkEnd w:id="81"/>
      <w:bookmarkEnd w:id="82"/>
      <w:bookmarkEnd w:id="83"/>
    </w:p>
    <w:p w14:paraId="5552689A">
      <w:pPr>
        <w:keepNext w:val="0"/>
        <w:keepLines w:val="0"/>
        <w:pageBreakBefore w:val="0"/>
        <w:kinsoku/>
        <w:wordWrap/>
        <w:overflowPunct/>
        <w:topLinePunct w:val="0"/>
        <w:autoSpaceDE/>
        <w:autoSpaceDN/>
        <w:bidi w:val="0"/>
        <w:spacing w:line="600" w:lineRule="exact"/>
        <w:ind w:left="0" w:leftChars="0" w:right="0" w:rightChars="0" w:firstLine="560"/>
        <w:outlineLvl w:val="1"/>
        <w:rPr>
          <w:rFonts w:hint="default" w:ascii="Times New Roman" w:hAnsi="Times New Roman" w:eastAsia="方正楷体简体" w:cs="Times New Roman"/>
          <w:color w:val="auto"/>
          <w:kern w:val="2"/>
          <w:sz w:val="32"/>
          <w:szCs w:val="32"/>
          <w:highlight w:val="none"/>
          <w:shd w:val="clear"/>
          <w:lang w:val="zh-CN" w:eastAsia="zh-CN"/>
        </w:rPr>
      </w:pPr>
      <w:bookmarkStart w:id="84" w:name="_Toc3573"/>
      <w:bookmarkStart w:id="85" w:name="_Toc22633"/>
      <w:bookmarkStart w:id="86" w:name="_Toc19300"/>
      <w:bookmarkStart w:id="87" w:name="_Toc1418"/>
      <w:bookmarkStart w:id="88" w:name="_Toc28011"/>
      <w:bookmarkStart w:id="89" w:name="_Toc29501"/>
      <w:r>
        <w:rPr>
          <w:rFonts w:hint="default" w:ascii="Times New Roman" w:hAnsi="Times New Roman" w:eastAsia="方正楷体简体" w:cs="Times New Roman"/>
          <w:color w:val="auto"/>
          <w:kern w:val="2"/>
          <w:sz w:val="32"/>
          <w:szCs w:val="32"/>
          <w:highlight w:val="none"/>
          <w:shd w:val="clear"/>
          <w:lang w:val="zh-CN" w:eastAsia="zh-CN"/>
        </w:rPr>
        <w:t>（一）总体目标</w:t>
      </w:r>
      <w:bookmarkEnd w:id="84"/>
      <w:bookmarkEnd w:id="85"/>
      <w:bookmarkEnd w:id="86"/>
      <w:bookmarkEnd w:id="87"/>
      <w:bookmarkEnd w:id="88"/>
      <w:bookmarkEnd w:id="89"/>
    </w:p>
    <w:p w14:paraId="11DCDB3B">
      <w:pPr>
        <w:keepNext w:val="0"/>
        <w:keepLines w:val="0"/>
        <w:pageBreakBefore w:val="0"/>
        <w:kinsoku/>
        <w:wordWrap/>
        <w:overflowPunct/>
        <w:topLinePunct w:val="0"/>
        <w:autoSpaceDE/>
        <w:autoSpaceDN/>
        <w:bidi w:val="0"/>
        <w:spacing w:line="600" w:lineRule="exact"/>
        <w:ind w:left="0" w:firstLine="560"/>
        <w:outlineLvl w:val="1"/>
        <w:rPr>
          <w:rFonts w:hint="default" w:ascii="Times New Roman" w:hAnsi="Times New Roman" w:eastAsia="方正仿宋_GB2312" w:cs="Times New Roman"/>
          <w:color w:val="auto"/>
          <w:sz w:val="32"/>
          <w:szCs w:val="32"/>
          <w:highlight w:val="none"/>
          <w:lang w:val="en-US" w:eastAsia="zh-CN"/>
        </w:rPr>
      </w:pPr>
      <w:bookmarkStart w:id="90" w:name="_Toc132"/>
      <w:bookmarkStart w:id="91" w:name="_Toc11959"/>
      <w:bookmarkStart w:id="92" w:name="_Toc24652"/>
      <w:r>
        <w:rPr>
          <w:rFonts w:hint="default" w:ascii="Times New Roman" w:hAnsi="Times New Roman" w:eastAsia="方正仿宋_GB2312" w:cs="Times New Roman"/>
          <w:color w:val="auto"/>
          <w:sz w:val="32"/>
          <w:szCs w:val="32"/>
          <w:highlight w:val="none"/>
          <w:lang w:val="en-US" w:eastAsia="zh-CN"/>
        </w:rPr>
        <w:t>一是坚持规范“建”。积极推进综合行政执法改革，始终以队伍建设为抓手，加强党员干部的培养，力争打造一支在党领导下的干事先锋执法队伍。加强教育培训，按省赋权做好划转行权承接工作，完善执法制度、规范执法程序、</w:t>
      </w:r>
      <w:r>
        <w:rPr>
          <w:rFonts w:hint="eastAsia" w:ascii="Times New Roman" w:hAnsi="Times New Roman" w:eastAsia="方正仿宋_GB2312" w:cs="Times New Roman"/>
          <w:color w:val="auto"/>
          <w:sz w:val="32"/>
          <w:szCs w:val="32"/>
          <w:highlight w:val="none"/>
          <w:lang w:val="en-US" w:eastAsia="zh-CN"/>
        </w:rPr>
        <w:t>确保</w:t>
      </w:r>
      <w:r>
        <w:rPr>
          <w:rFonts w:hint="default" w:ascii="Times New Roman" w:hAnsi="Times New Roman" w:eastAsia="方正仿宋_GB2312" w:cs="Times New Roman"/>
          <w:color w:val="auto"/>
          <w:sz w:val="32"/>
          <w:szCs w:val="32"/>
          <w:highlight w:val="none"/>
          <w:lang w:val="en-US" w:eastAsia="zh-CN"/>
        </w:rPr>
        <w:t>执法人员持证上岗，切实</w:t>
      </w:r>
      <w:r>
        <w:rPr>
          <w:rFonts w:hint="eastAsia" w:ascii="Times New Roman" w:hAnsi="Times New Roman" w:eastAsia="方正仿宋_GB2312" w:cs="Times New Roman"/>
          <w:color w:val="auto"/>
          <w:sz w:val="32"/>
          <w:szCs w:val="32"/>
          <w:highlight w:val="none"/>
          <w:lang w:val="en-US" w:eastAsia="zh-CN"/>
        </w:rPr>
        <w:t>提升</w:t>
      </w:r>
      <w:r>
        <w:rPr>
          <w:rFonts w:hint="default" w:ascii="Times New Roman" w:hAnsi="Times New Roman" w:eastAsia="方正仿宋_GB2312" w:cs="Times New Roman"/>
          <w:color w:val="auto"/>
          <w:sz w:val="32"/>
          <w:szCs w:val="32"/>
          <w:highlight w:val="none"/>
          <w:lang w:val="en-US" w:eastAsia="zh-CN"/>
        </w:rPr>
        <w:t>执法力量和水平。</w:t>
      </w:r>
    </w:p>
    <w:p w14:paraId="6233168B">
      <w:pPr>
        <w:keepNext w:val="0"/>
        <w:keepLines w:val="0"/>
        <w:pageBreakBefore w:val="0"/>
        <w:kinsoku/>
        <w:wordWrap/>
        <w:overflowPunct/>
        <w:topLinePunct w:val="0"/>
        <w:autoSpaceDE/>
        <w:autoSpaceDN/>
        <w:bidi w:val="0"/>
        <w:spacing w:line="600" w:lineRule="exact"/>
        <w:ind w:left="0" w:firstLine="560"/>
        <w:outlineLvl w:val="1"/>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二是坚持用心“管”。加大综合执法巡查力度，以巡查监管为主，以日常检查、专项行动、突击检查等方式对涉改执法领域进行检查、监督，做到各司其职、分工协作、综合发力、分类处罚。</w:t>
      </w:r>
    </w:p>
    <w:p w14:paraId="3B7BFA33">
      <w:pPr>
        <w:keepNext w:val="0"/>
        <w:keepLines w:val="0"/>
        <w:pageBreakBefore w:val="0"/>
        <w:kinsoku/>
        <w:wordWrap/>
        <w:overflowPunct/>
        <w:topLinePunct w:val="0"/>
        <w:autoSpaceDE/>
        <w:autoSpaceDN/>
        <w:bidi w:val="0"/>
        <w:spacing w:line="600" w:lineRule="exact"/>
        <w:ind w:left="0" w:firstLine="560"/>
        <w:outlineLvl w:val="1"/>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三是坚持有力“治”。坚持高质量发展理念，以重点突破、精准治理推进城市精细化管理。按照县委决策部署，全力开展城乡环境综合治理工作，切实改善市容市貌。</w:t>
      </w:r>
    </w:p>
    <w:p w14:paraId="332148A8">
      <w:pPr>
        <w:keepNext w:val="0"/>
        <w:keepLines w:val="0"/>
        <w:pageBreakBefore w:val="0"/>
        <w:kinsoku/>
        <w:wordWrap/>
        <w:overflowPunct/>
        <w:topLinePunct w:val="0"/>
        <w:autoSpaceDE/>
        <w:autoSpaceDN/>
        <w:bidi w:val="0"/>
        <w:spacing w:line="600" w:lineRule="exact"/>
        <w:ind w:left="0" w:leftChars="0" w:right="0" w:rightChars="0" w:firstLine="560"/>
        <w:outlineLvl w:val="1"/>
        <w:rPr>
          <w:rFonts w:hint="default" w:ascii="Times New Roman" w:hAnsi="Times New Roman" w:eastAsia="方正楷体简体" w:cs="Times New Roman"/>
          <w:color w:val="auto"/>
          <w:kern w:val="2"/>
          <w:sz w:val="32"/>
          <w:szCs w:val="32"/>
          <w:highlight w:val="none"/>
          <w:shd w:val="clear"/>
          <w:lang w:val="zh-CN" w:eastAsia="zh-CN"/>
        </w:rPr>
      </w:pPr>
      <w:bookmarkStart w:id="93" w:name="_Toc6926"/>
      <w:bookmarkStart w:id="94" w:name="_Toc4650"/>
      <w:bookmarkStart w:id="95" w:name="_Toc30825"/>
      <w:r>
        <w:rPr>
          <w:rFonts w:hint="default" w:ascii="Times New Roman" w:hAnsi="Times New Roman" w:eastAsia="方正楷体简体" w:cs="Times New Roman"/>
          <w:color w:val="auto"/>
          <w:kern w:val="2"/>
          <w:sz w:val="32"/>
          <w:szCs w:val="32"/>
          <w:highlight w:val="none"/>
          <w:shd w:val="clear"/>
          <w:lang w:val="zh-CN" w:eastAsia="zh-CN"/>
        </w:rPr>
        <w:t>（二）具体目标</w:t>
      </w:r>
      <w:bookmarkEnd w:id="90"/>
      <w:bookmarkEnd w:id="91"/>
      <w:bookmarkEnd w:id="92"/>
      <w:bookmarkEnd w:id="93"/>
      <w:bookmarkEnd w:id="94"/>
      <w:bookmarkEnd w:id="95"/>
    </w:p>
    <w:p w14:paraId="54A408D9">
      <w:pPr>
        <w:keepNext w:val="0"/>
        <w:keepLines w:val="0"/>
        <w:pageBreakBefore w:val="0"/>
        <w:kinsoku/>
        <w:wordWrap/>
        <w:overflowPunct/>
        <w:topLinePunct w:val="0"/>
        <w:autoSpaceDE/>
        <w:autoSpaceDN/>
        <w:bidi w:val="0"/>
        <w:spacing w:line="600" w:lineRule="exact"/>
        <w:ind w:left="0" w:firstLine="560"/>
        <w:outlineLvl w:val="1"/>
        <w:rPr>
          <w:rFonts w:hint="default" w:ascii="Times New Roman" w:hAnsi="Times New Roman" w:eastAsia="方正仿宋_GB2312" w:cs="Times New Roman"/>
          <w:color w:val="auto"/>
          <w:sz w:val="32"/>
          <w:szCs w:val="32"/>
          <w:highlight w:val="none"/>
          <w:lang w:val="en-US" w:eastAsia="zh-CN"/>
        </w:rPr>
      </w:pPr>
      <w:bookmarkStart w:id="96" w:name="_Toc6491"/>
      <w:bookmarkStart w:id="97" w:name="_Toc17536"/>
      <w:bookmarkStart w:id="98" w:name="_Toc24081"/>
      <w:r>
        <w:rPr>
          <w:rFonts w:hint="default" w:ascii="Times New Roman" w:hAnsi="Times New Roman" w:eastAsia="方正仿宋_GB2312" w:cs="Times New Roman"/>
          <w:color w:val="auto"/>
          <w:sz w:val="32"/>
          <w:szCs w:val="32"/>
          <w:highlight w:val="none"/>
          <w:lang w:val="en-US" w:eastAsia="zh-CN"/>
        </w:rPr>
        <w:t>县综合执法局2024年认真落实中央、省、州纪委全会部署安排，重点完成以下工作任务：</w:t>
      </w:r>
    </w:p>
    <w:p w14:paraId="72F21F7E">
      <w:pPr>
        <w:keepNext w:val="0"/>
        <w:keepLines w:val="0"/>
        <w:pageBreakBefore w:val="0"/>
        <w:kinsoku/>
        <w:wordWrap/>
        <w:overflowPunct/>
        <w:topLinePunct w:val="0"/>
        <w:autoSpaceDE/>
        <w:autoSpaceDN/>
        <w:bidi w:val="0"/>
        <w:spacing w:line="600" w:lineRule="exact"/>
        <w:ind w:left="0" w:firstLine="560"/>
        <w:outlineLvl w:val="1"/>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1.开展超限专项整治。立足源头、依法严管、标本兼治、长效治理的</w:t>
      </w:r>
      <w:r>
        <w:rPr>
          <w:rFonts w:hint="eastAsia" w:ascii="Times New Roman" w:hAnsi="Times New Roman" w:eastAsia="方正仿宋_GB2312" w:cs="Times New Roman"/>
          <w:color w:val="auto"/>
          <w:sz w:val="32"/>
          <w:szCs w:val="32"/>
          <w:highlight w:val="none"/>
          <w:lang w:val="en-US" w:eastAsia="zh-CN"/>
        </w:rPr>
        <w:t>原则，以这些原则为指导，</w:t>
      </w:r>
      <w:r>
        <w:rPr>
          <w:rFonts w:hint="default" w:ascii="Times New Roman" w:hAnsi="Times New Roman" w:eastAsia="方正仿宋_GB2312" w:cs="Times New Roman"/>
          <w:color w:val="auto"/>
          <w:sz w:val="32"/>
          <w:szCs w:val="32"/>
          <w:highlight w:val="none"/>
          <w:lang w:val="en-US" w:eastAsia="zh-CN"/>
        </w:rPr>
        <w:t>不断创新举措，扎实开展治超工作。通过开展超限超载专项整治行动，采取路面联合执法、源头溯源执法、流动治超等措施，依法从严查处严重违法超限超载车辆，有效遏制辖区公路违法超限超载行为。</w:t>
      </w:r>
    </w:p>
    <w:p w14:paraId="755CBF8A">
      <w:pPr>
        <w:keepNext w:val="0"/>
        <w:keepLines w:val="0"/>
        <w:pageBreakBefore w:val="0"/>
        <w:kinsoku/>
        <w:wordWrap/>
        <w:overflowPunct/>
        <w:topLinePunct w:val="0"/>
        <w:autoSpaceDE/>
        <w:autoSpaceDN/>
        <w:bidi w:val="0"/>
        <w:spacing w:line="600" w:lineRule="exact"/>
        <w:ind w:left="0" w:firstLine="560"/>
        <w:outlineLvl w:val="1"/>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 xml:space="preserve">2.开展城乡环境卫生专项整治。为有效治理城市九乱现象，持续开展城乡环境卫生专项整治，加大对油烟乱排、污水乱排乱倒、施工扬尘、社会噪音、厨余垃圾违规处置、建筑垃圾乱倾乱倒等行为的专项整治，发现一起查处一起。  </w:t>
      </w:r>
      <w:r>
        <w:rPr>
          <w:rFonts w:hint="default" w:ascii="Times New Roman" w:hAnsi="Times New Roman" w:eastAsia="方正仿宋_GB2312" w:cs="Times New Roman"/>
          <w:color w:val="auto"/>
          <w:sz w:val="32"/>
          <w:szCs w:val="32"/>
          <w:highlight w:val="none"/>
          <w:lang w:val="en-US" w:eastAsia="zh-CN"/>
        </w:rPr>
        <w:tab/>
      </w:r>
    </w:p>
    <w:p w14:paraId="4997F2A4">
      <w:pPr>
        <w:keepNext w:val="0"/>
        <w:keepLines w:val="0"/>
        <w:pageBreakBefore w:val="0"/>
        <w:kinsoku/>
        <w:wordWrap/>
        <w:overflowPunct/>
        <w:topLinePunct w:val="0"/>
        <w:autoSpaceDE/>
        <w:autoSpaceDN/>
        <w:bidi w:val="0"/>
        <w:spacing w:line="600" w:lineRule="exact"/>
        <w:ind w:left="0" w:firstLine="560"/>
        <w:outlineLvl w:val="1"/>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3.开展打击非法营运专项整治。</w:t>
      </w:r>
      <w:r>
        <w:rPr>
          <w:rFonts w:hint="eastAsia" w:ascii="Times New Roman" w:hAnsi="Times New Roman" w:eastAsia="方正仿宋_GB2312" w:cs="Times New Roman"/>
          <w:color w:val="auto"/>
          <w:sz w:val="32"/>
          <w:szCs w:val="32"/>
          <w:highlight w:val="none"/>
          <w:lang w:val="en-US" w:eastAsia="zh-CN"/>
        </w:rPr>
        <w:t>维护</w:t>
      </w:r>
      <w:r>
        <w:rPr>
          <w:rFonts w:hint="default" w:ascii="Times New Roman" w:hAnsi="Times New Roman" w:eastAsia="方正仿宋_GB2312" w:cs="Times New Roman"/>
          <w:color w:val="auto"/>
          <w:sz w:val="32"/>
          <w:szCs w:val="32"/>
          <w:highlight w:val="none"/>
          <w:lang w:val="en-US" w:eastAsia="zh-CN"/>
        </w:rPr>
        <w:t>道路运输市场稳定，确保道路运输行业乱象得到有效治理，对道路运输领域开展打非治违专项整治。重点对县境内国道318线、省道217线、雅康高速泸定收费站口、车站周边、学校周围开展打非治违及扫黑除恶专项行动，采取定点检查与流动检查、定时检查与不定时检查的方法进行巡查，打击和整治扰乱运输市场的社会车辆，对营运车辆的违规行为，严格查处。</w:t>
      </w:r>
      <w:r>
        <w:rPr>
          <w:rFonts w:hint="default" w:ascii="Times New Roman" w:hAnsi="Times New Roman" w:eastAsia="方正仿宋_GB2312" w:cs="Times New Roman"/>
          <w:color w:val="auto"/>
          <w:sz w:val="32"/>
          <w:szCs w:val="32"/>
          <w:highlight w:val="none"/>
          <w:lang w:val="en-US" w:eastAsia="zh-CN"/>
        </w:rPr>
        <w:tab/>
      </w:r>
    </w:p>
    <w:p w14:paraId="3D3718D8">
      <w:pPr>
        <w:keepNext w:val="0"/>
        <w:keepLines w:val="0"/>
        <w:pageBreakBefore w:val="0"/>
        <w:kinsoku/>
        <w:wordWrap/>
        <w:overflowPunct/>
        <w:topLinePunct w:val="0"/>
        <w:autoSpaceDE/>
        <w:autoSpaceDN/>
        <w:bidi w:val="0"/>
        <w:spacing w:line="600" w:lineRule="exact"/>
        <w:ind w:left="0" w:firstLine="560"/>
        <w:outlineLvl w:val="1"/>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4.做实做细市政工作。承担我县市容景观、环境卫生、市政设施、城市绿化的行业管理。</w:t>
      </w:r>
      <w:r>
        <w:rPr>
          <w:rFonts w:hint="default" w:ascii="Times New Roman" w:hAnsi="Times New Roman" w:eastAsia="方正仿宋_GB2312" w:cs="Times New Roman"/>
          <w:color w:val="auto"/>
          <w:sz w:val="32"/>
          <w:szCs w:val="32"/>
          <w:highlight w:val="none"/>
          <w:lang w:val="en-US" w:eastAsia="zh-CN"/>
        </w:rPr>
        <w:tab/>
      </w:r>
    </w:p>
    <w:p w14:paraId="244AF3EF">
      <w:pPr>
        <w:keepNext w:val="0"/>
        <w:keepLines w:val="0"/>
        <w:pageBreakBefore w:val="0"/>
        <w:kinsoku/>
        <w:wordWrap/>
        <w:overflowPunct/>
        <w:topLinePunct w:val="0"/>
        <w:autoSpaceDE/>
        <w:autoSpaceDN/>
        <w:bidi w:val="0"/>
        <w:spacing w:line="600" w:lineRule="exact"/>
        <w:ind w:left="0" w:firstLine="560"/>
        <w:outlineLvl w:val="1"/>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5.做好综合执法行政日常运转和执法队伍建设。</w:t>
      </w:r>
      <w:r>
        <w:rPr>
          <w:rFonts w:hint="default" w:ascii="Times New Roman" w:hAnsi="Times New Roman" w:eastAsia="方正仿宋_GB2312" w:cs="Times New Roman"/>
          <w:color w:val="auto"/>
          <w:sz w:val="32"/>
          <w:szCs w:val="32"/>
          <w:highlight w:val="none"/>
          <w:lang w:val="en-US" w:eastAsia="zh-CN"/>
        </w:rPr>
        <w:tab/>
      </w:r>
      <w:r>
        <w:rPr>
          <w:rFonts w:hint="default" w:ascii="Times New Roman" w:hAnsi="Times New Roman" w:eastAsia="方正仿宋_GB2312" w:cs="Times New Roman"/>
          <w:color w:val="auto"/>
          <w:sz w:val="32"/>
          <w:szCs w:val="32"/>
          <w:highlight w:val="none"/>
          <w:lang w:val="en-US" w:eastAsia="zh-CN"/>
        </w:rPr>
        <w:t>统筹协调、组织调度、督查考核行政执法工作，负责行政执法队伍建设管理工作。按改革要求，进一步整合综合行政执法队伍，加强执法队伍规范化建设。</w:t>
      </w:r>
    </w:p>
    <w:p w14:paraId="234D532A">
      <w:pPr>
        <w:keepNext w:val="0"/>
        <w:keepLines w:val="0"/>
        <w:pageBreakBefore w:val="0"/>
        <w:kinsoku/>
        <w:wordWrap/>
        <w:overflowPunct/>
        <w:topLinePunct w:val="0"/>
        <w:autoSpaceDE/>
        <w:autoSpaceDN/>
        <w:bidi w:val="0"/>
        <w:spacing w:line="600" w:lineRule="exact"/>
        <w:ind w:left="0" w:leftChars="0" w:right="0" w:rightChars="0" w:firstLine="560"/>
        <w:outlineLvl w:val="0"/>
        <w:rPr>
          <w:rFonts w:hint="default" w:ascii="Times New Roman" w:hAnsi="Times New Roman" w:eastAsia="方正黑体简体" w:cs="Times New Roman"/>
          <w:color w:val="auto"/>
          <w:kern w:val="0"/>
          <w:sz w:val="32"/>
          <w:szCs w:val="32"/>
          <w:highlight w:val="none"/>
          <w:shd w:val="clear" w:color="auto" w:fill="FFFFFF"/>
        </w:rPr>
      </w:pPr>
      <w:bookmarkStart w:id="99" w:name="_Toc21154"/>
      <w:bookmarkStart w:id="100" w:name="_Toc32189"/>
      <w:bookmarkStart w:id="101" w:name="_Toc13068"/>
      <w:r>
        <w:rPr>
          <w:rFonts w:hint="default" w:ascii="Times New Roman" w:hAnsi="Times New Roman" w:eastAsia="方正黑体简体" w:cs="Times New Roman"/>
          <w:color w:val="auto"/>
          <w:kern w:val="0"/>
          <w:sz w:val="32"/>
          <w:szCs w:val="32"/>
          <w:highlight w:val="none"/>
          <w:shd w:val="clear" w:color="auto" w:fill="FFFFFF"/>
          <w:lang w:val="en-US" w:eastAsia="zh-CN"/>
        </w:rPr>
        <w:t>四、</w:t>
      </w:r>
      <w:r>
        <w:rPr>
          <w:rFonts w:hint="default" w:ascii="Times New Roman" w:hAnsi="Times New Roman" w:eastAsia="方正黑体简体" w:cs="Times New Roman"/>
          <w:color w:val="auto"/>
          <w:kern w:val="0"/>
          <w:sz w:val="32"/>
          <w:szCs w:val="32"/>
          <w:highlight w:val="none"/>
          <w:shd w:val="clear" w:color="auto" w:fill="FFFFFF"/>
        </w:rPr>
        <w:t>部门整体支出</w:t>
      </w:r>
      <w:r>
        <w:rPr>
          <w:rFonts w:hint="default" w:ascii="Times New Roman" w:hAnsi="Times New Roman" w:eastAsia="方正黑体简体" w:cs="Times New Roman"/>
          <w:color w:val="auto"/>
          <w:kern w:val="0"/>
          <w:sz w:val="32"/>
          <w:szCs w:val="32"/>
          <w:highlight w:val="none"/>
          <w:shd w:val="clear" w:color="auto" w:fill="FFFFFF"/>
          <w:lang w:val="zh-CN"/>
        </w:rPr>
        <w:t>绩效评价</w:t>
      </w:r>
      <w:r>
        <w:rPr>
          <w:rFonts w:hint="default" w:ascii="Times New Roman" w:hAnsi="Times New Roman" w:eastAsia="方正黑体简体" w:cs="Times New Roman"/>
          <w:color w:val="auto"/>
          <w:kern w:val="0"/>
          <w:sz w:val="32"/>
          <w:szCs w:val="32"/>
          <w:highlight w:val="none"/>
          <w:shd w:val="clear" w:color="auto" w:fill="FFFFFF"/>
        </w:rPr>
        <w:t>情况</w:t>
      </w:r>
      <w:bookmarkEnd w:id="77"/>
      <w:bookmarkEnd w:id="78"/>
      <w:bookmarkEnd w:id="79"/>
      <w:bookmarkEnd w:id="80"/>
      <w:bookmarkEnd w:id="96"/>
      <w:bookmarkEnd w:id="97"/>
      <w:bookmarkEnd w:id="98"/>
      <w:bookmarkEnd w:id="99"/>
      <w:bookmarkEnd w:id="100"/>
      <w:bookmarkEnd w:id="101"/>
    </w:p>
    <w:p w14:paraId="5A75D544">
      <w:pPr>
        <w:keepNext w:val="0"/>
        <w:keepLines w:val="0"/>
        <w:pageBreakBefore w:val="0"/>
        <w:kinsoku/>
        <w:wordWrap/>
        <w:overflowPunct/>
        <w:topLinePunct w:val="0"/>
        <w:autoSpaceDE/>
        <w:autoSpaceDN/>
        <w:bidi w:val="0"/>
        <w:spacing w:line="600" w:lineRule="exact"/>
        <w:ind w:left="0" w:leftChars="0" w:right="0" w:rightChars="0" w:firstLine="560"/>
        <w:outlineLvl w:val="1"/>
        <w:rPr>
          <w:rFonts w:hint="default" w:ascii="Times New Roman" w:hAnsi="Times New Roman" w:eastAsia="方正楷体简体" w:cs="Times New Roman"/>
          <w:color w:val="auto"/>
          <w:kern w:val="2"/>
          <w:sz w:val="32"/>
          <w:szCs w:val="32"/>
          <w:highlight w:val="none"/>
          <w:shd w:val="clear"/>
          <w:lang w:val="zh-CN" w:eastAsia="zh-CN"/>
        </w:rPr>
      </w:pPr>
      <w:bookmarkStart w:id="102" w:name="_Toc28828"/>
      <w:bookmarkStart w:id="103" w:name="_Toc11694"/>
      <w:bookmarkStart w:id="104" w:name="_Toc24977"/>
      <w:bookmarkStart w:id="105" w:name="_Toc24619"/>
      <w:bookmarkStart w:id="106" w:name="_Toc29571"/>
      <w:bookmarkStart w:id="107" w:name="_Toc7521"/>
      <w:bookmarkStart w:id="108" w:name="_Toc8903"/>
      <w:bookmarkStart w:id="109" w:name="_Toc428273082"/>
      <w:bookmarkStart w:id="110" w:name="_Toc27305"/>
      <w:bookmarkStart w:id="111" w:name="_Toc109483840"/>
      <w:bookmarkStart w:id="112" w:name="_Toc4199"/>
      <w:r>
        <w:rPr>
          <w:rFonts w:hint="default" w:ascii="Times New Roman" w:hAnsi="Times New Roman" w:eastAsia="方正楷体简体" w:cs="Times New Roman"/>
          <w:color w:val="auto"/>
          <w:kern w:val="2"/>
          <w:sz w:val="32"/>
          <w:szCs w:val="32"/>
          <w:highlight w:val="none"/>
          <w:shd w:val="clear"/>
          <w:lang w:val="zh-CN"/>
        </w:rPr>
        <w:t>（一）</w:t>
      </w:r>
      <w:r>
        <w:rPr>
          <w:rFonts w:hint="default" w:ascii="Times New Roman" w:hAnsi="Times New Roman" w:eastAsia="方正楷体简体" w:cs="Times New Roman"/>
          <w:color w:val="auto"/>
          <w:kern w:val="2"/>
          <w:sz w:val="32"/>
          <w:szCs w:val="32"/>
          <w:highlight w:val="none"/>
          <w:shd w:val="clear"/>
          <w:lang w:val="zh-CN" w:eastAsia="zh-CN"/>
        </w:rPr>
        <w:t>绩效评价实施过程</w:t>
      </w:r>
      <w:bookmarkEnd w:id="102"/>
      <w:bookmarkEnd w:id="103"/>
      <w:bookmarkEnd w:id="104"/>
      <w:bookmarkEnd w:id="105"/>
      <w:bookmarkEnd w:id="106"/>
      <w:bookmarkEnd w:id="107"/>
    </w:p>
    <w:p w14:paraId="3E043EBE">
      <w:pPr>
        <w:keepNext w:val="0"/>
        <w:keepLines w:val="0"/>
        <w:pageBreakBefore w:val="0"/>
        <w:kinsoku/>
        <w:wordWrap/>
        <w:overflowPunct/>
        <w:topLinePunct w:val="0"/>
        <w:autoSpaceDE/>
        <w:autoSpaceDN/>
        <w:bidi w:val="0"/>
        <w:spacing w:line="600" w:lineRule="exact"/>
        <w:ind w:left="0" w:firstLine="560"/>
        <w:outlineLvl w:val="1"/>
        <w:rPr>
          <w:rFonts w:hint="default" w:ascii="Times New Roman" w:hAnsi="Times New Roman" w:eastAsia="方正仿宋_GB2312" w:cs="Times New Roman"/>
          <w:color w:val="auto"/>
          <w:sz w:val="32"/>
          <w:szCs w:val="32"/>
          <w:highlight w:val="none"/>
          <w:lang w:val="zh-CN" w:eastAsia="zh-CN"/>
        </w:rPr>
      </w:pPr>
      <w:r>
        <w:rPr>
          <w:rFonts w:hint="default" w:ascii="Times New Roman" w:hAnsi="Times New Roman" w:eastAsia="方正仿宋_GB2312" w:cs="Times New Roman"/>
          <w:color w:val="auto"/>
          <w:sz w:val="32"/>
          <w:szCs w:val="32"/>
          <w:highlight w:val="none"/>
          <w:lang w:val="zh-CN" w:eastAsia="zh-CN"/>
        </w:rPr>
        <w:t>评价小组按照评价日程安排，对</w:t>
      </w:r>
      <w:r>
        <w:rPr>
          <w:rFonts w:hint="default" w:ascii="Times New Roman" w:hAnsi="Times New Roman" w:eastAsia="方正仿宋_GB2312" w:cs="Times New Roman"/>
          <w:color w:val="auto"/>
          <w:sz w:val="32"/>
          <w:szCs w:val="32"/>
          <w:highlight w:val="none"/>
          <w:lang w:val="en-US" w:eastAsia="zh-CN"/>
        </w:rPr>
        <w:t>县综合执法局</w:t>
      </w:r>
      <w:r>
        <w:rPr>
          <w:rFonts w:hint="default" w:ascii="Times New Roman" w:hAnsi="Times New Roman" w:eastAsia="方正仿宋_GB2312" w:cs="Times New Roman"/>
          <w:color w:val="auto"/>
          <w:sz w:val="32"/>
          <w:szCs w:val="32"/>
          <w:highlight w:val="none"/>
          <w:lang w:val="zh-CN" w:eastAsia="zh-CN"/>
        </w:rPr>
        <w:t>提交的评价资料进行认真梳理，测算分析各项指标，汇总评分并形成评价报告。</w:t>
      </w:r>
    </w:p>
    <w:p w14:paraId="5A0A3725">
      <w:pPr>
        <w:keepNext w:val="0"/>
        <w:keepLines w:val="0"/>
        <w:pageBreakBefore w:val="0"/>
        <w:kinsoku/>
        <w:wordWrap/>
        <w:overflowPunct/>
        <w:topLinePunct w:val="0"/>
        <w:autoSpaceDE/>
        <w:autoSpaceDN/>
        <w:bidi w:val="0"/>
        <w:spacing w:line="600" w:lineRule="exact"/>
        <w:ind w:left="0" w:firstLine="560"/>
        <w:outlineLvl w:val="1"/>
        <w:rPr>
          <w:rFonts w:hint="default" w:ascii="Times New Roman" w:hAnsi="Times New Roman" w:eastAsia="方正仿宋_GB2312" w:cs="Times New Roman"/>
          <w:color w:val="auto"/>
          <w:sz w:val="32"/>
          <w:szCs w:val="32"/>
          <w:highlight w:val="none"/>
          <w:lang w:val="zh-CN" w:eastAsia="zh-CN"/>
        </w:rPr>
      </w:pPr>
      <w:r>
        <w:rPr>
          <w:rFonts w:hint="default" w:ascii="Times New Roman" w:hAnsi="Times New Roman" w:eastAsia="方正仿宋_GB2312" w:cs="Times New Roman"/>
          <w:color w:val="auto"/>
          <w:sz w:val="32"/>
          <w:szCs w:val="32"/>
          <w:highlight w:val="none"/>
          <w:lang w:val="zh-CN" w:eastAsia="zh-CN"/>
        </w:rPr>
        <w:t>1.对相关资料进行研读，对整体评价有基本的把握和了解，归纳出进一步评价所需的信息供下一步取数参考。</w:t>
      </w:r>
    </w:p>
    <w:p w14:paraId="5D575BBF">
      <w:pPr>
        <w:keepNext w:val="0"/>
        <w:keepLines w:val="0"/>
        <w:pageBreakBefore w:val="0"/>
        <w:kinsoku/>
        <w:wordWrap/>
        <w:overflowPunct/>
        <w:topLinePunct w:val="0"/>
        <w:autoSpaceDE/>
        <w:autoSpaceDN/>
        <w:bidi w:val="0"/>
        <w:spacing w:line="600" w:lineRule="exact"/>
        <w:ind w:left="0" w:firstLine="560"/>
        <w:outlineLvl w:val="1"/>
        <w:rPr>
          <w:rFonts w:hint="default" w:ascii="Times New Roman" w:hAnsi="Times New Roman" w:eastAsia="方正仿宋_GB2312" w:cs="Times New Roman"/>
          <w:color w:val="auto"/>
          <w:sz w:val="32"/>
          <w:szCs w:val="32"/>
          <w:highlight w:val="none"/>
          <w:lang w:val="zh-CN" w:eastAsia="zh-CN"/>
        </w:rPr>
      </w:pPr>
      <w:r>
        <w:rPr>
          <w:rFonts w:hint="default" w:ascii="Times New Roman" w:hAnsi="Times New Roman" w:eastAsia="方正仿宋_GB2312" w:cs="Times New Roman"/>
          <w:color w:val="auto"/>
          <w:sz w:val="32"/>
          <w:szCs w:val="32"/>
          <w:highlight w:val="none"/>
          <w:lang w:val="zh-CN" w:eastAsia="zh-CN"/>
        </w:rPr>
        <w:t>2.集中对各个评价指标逐一进行分析，以保证取数的准确性。</w:t>
      </w:r>
    </w:p>
    <w:p w14:paraId="777A1762">
      <w:pPr>
        <w:keepNext w:val="0"/>
        <w:keepLines w:val="0"/>
        <w:pageBreakBefore w:val="0"/>
        <w:kinsoku/>
        <w:wordWrap/>
        <w:overflowPunct/>
        <w:topLinePunct w:val="0"/>
        <w:autoSpaceDE/>
        <w:autoSpaceDN/>
        <w:bidi w:val="0"/>
        <w:spacing w:line="600" w:lineRule="exact"/>
        <w:ind w:left="0" w:firstLine="560"/>
        <w:outlineLvl w:val="1"/>
        <w:rPr>
          <w:rFonts w:hint="default" w:ascii="Times New Roman" w:hAnsi="Times New Roman" w:eastAsia="方正仿宋_GB2312" w:cs="Times New Roman"/>
          <w:color w:val="auto"/>
          <w:sz w:val="32"/>
          <w:szCs w:val="32"/>
          <w:highlight w:val="none"/>
          <w:lang w:val="zh-CN" w:eastAsia="zh-CN"/>
        </w:rPr>
      </w:pPr>
      <w:r>
        <w:rPr>
          <w:rFonts w:hint="default" w:ascii="Times New Roman" w:hAnsi="Times New Roman" w:eastAsia="方正仿宋_GB2312" w:cs="Times New Roman"/>
          <w:color w:val="auto"/>
          <w:sz w:val="32"/>
          <w:szCs w:val="32"/>
          <w:highlight w:val="none"/>
          <w:lang w:val="zh-CN" w:eastAsia="zh-CN"/>
        </w:rPr>
        <w:t>3.评价小组汇总分析评价过程中发现的问题并对存在问题进行讨论，根据取得的数据分别计算各评价指标所得分数，形成评价结果。</w:t>
      </w:r>
    </w:p>
    <w:p w14:paraId="3B0DF91C">
      <w:pPr>
        <w:keepNext w:val="0"/>
        <w:keepLines w:val="0"/>
        <w:pageBreakBefore w:val="0"/>
        <w:kinsoku/>
        <w:wordWrap/>
        <w:overflowPunct/>
        <w:topLinePunct w:val="0"/>
        <w:autoSpaceDE/>
        <w:autoSpaceDN/>
        <w:bidi w:val="0"/>
        <w:spacing w:line="600" w:lineRule="exact"/>
        <w:ind w:left="0" w:firstLine="560"/>
        <w:outlineLvl w:val="1"/>
        <w:rPr>
          <w:rFonts w:hint="default" w:ascii="Times New Roman" w:hAnsi="Times New Roman" w:eastAsia="方正仿宋_GB2312" w:cs="Times New Roman"/>
          <w:color w:val="auto"/>
          <w:sz w:val="32"/>
          <w:szCs w:val="32"/>
          <w:highlight w:val="none"/>
          <w:lang w:val="zh-CN" w:eastAsia="zh-CN"/>
        </w:rPr>
      </w:pPr>
      <w:r>
        <w:rPr>
          <w:rFonts w:hint="default" w:ascii="Times New Roman" w:hAnsi="Times New Roman" w:eastAsia="方正仿宋_GB2312" w:cs="Times New Roman"/>
          <w:color w:val="auto"/>
          <w:sz w:val="32"/>
          <w:szCs w:val="32"/>
          <w:highlight w:val="none"/>
          <w:lang w:val="zh-CN" w:eastAsia="zh-CN"/>
        </w:rPr>
        <w:t>4.根据评价结果，撰写评价报告。</w:t>
      </w:r>
    </w:p>
    <w:p w14:paraId="0280D38C">
      <w:pPr>
        <w:keepNext w:val="0"/>
        <w:keepLines w:val="0"/>
        <w:pageBreakBefore w:val="0"/>
        <w:kinsoku/>
        <w:wordWrap/>
        <w:overflowPunct/>
        <w:topLinePunct w:val="0"/>
        <w:autoSpaceDE/>
        <w:autoSpaceDN/>
        <w:bidi w:val="0"/>
        <w:spacing w:line="600" w:lineRule="exact"/>
        <w:ind w:left="0" w:firstLine="560"/>
        <w:outlineLvl w:val="1"/>
        <w:rPr>
          <w:rFonts w:hint="default" w:ascii="Times New Roman" w:hAnsi="Times New Roman" w:eastAsia="方正仿宋_GB2312" w:cs="Times New Roman"/>
          <w:color w:val="auto"/>
          <w:sz w:val="32"/>
          <w:szCs w:val="32"/>
          <w:highlight w:val="none"/>
          <w:lang w:val="zh-CN" w:eastAsia="zh-CN"/>
        </w:rPr>
      </w:pPr>
      <w:r>
        <w:rPr>
          <w:rFonts w:hint="default" w:ascii="Times New Roman" w:hAnsi="Times New Roman" w:eastAsia="方正仿宋_GB2312" w:cs="Times New Roman"/>
          <w:color w:val="auto"/>
          <w:sz w:val="32"/>
          <w:szCs w:val="32"/>
          <w:highlight w:val="none"/>
          <w:lang w:val="zh-CN" w:eastAsia="zh-CN"/>
        </w:rPr>
        <w:t>5.与绩效评价相关者沟通，完善并形成绩效评价报告终稿。</w:t>
      </w:r>
    </w:p>
    <w:p w14:paraId="2ADF116E">
      <w:pPr>
        <w:keepNext w:val="0"/>
        <w:keepLines w:val="0"/>
        <w:pageBreakBefore w:val="0"/>
        <w:kinsoku/>
        <w:wordWrap/>
        <w:overflowPunct/>
        <w:topLinePunct w:val="0"/>
        <w:autoSpaceDE/>
        <w:autoSpaceDN/>
        <w:bidi w:val="0"/>
        <w:spacing w:line="600" w:lineRule="exact"/>
        <w:ind w:left="0" w:leftChars="0" w:right="0" w:rightChars="0" w:firstLine="560"/>
        <w:outlineLvl w:val="1"/>
        <w:rPr>
          <w:rFonts w:hint="default" w:ascii="Times New Roman" w:hAnsi="Times New Roman" w:eastAsia="方正楷体简体" w:cs="Times New Roman"/>
          <w:color w:val="auto"/>
          <w:kern w:val="2"/>
          <w:sz w:val="32"/>
          <w:szCs w:val="32"/>
          <w:highlight w:val="none"/>
          <w:shd w:val="clear"/>
          <w:lang w:val="en-US" w:eastAsia="zh-CN"/>
        </w:rPr>
      </w:pPr>
      <w:bookmarkStart w:id="113" w:name="_Toc4385"/>
      <w:bookmarkStart w:id="114" w:name="_Toc16416"/>
      <w:bookmarkStart w:id="115" w:name="_Toc24380"/>
      <w:bookmarkStart w:id="116" w:name="_Toc23900"/>
      <w:bookmarkStart w:id="117" w:name="_Toc3794"/>
      <w:bookmarkStart w:id="118" w:name="_Toc30977"/>
      <w:r>
        <w:rPr>
          <w:rFonts w:hint="default" w:ascii="Times New Roman" w:hAnsi="Times New Roman" w:eastAsia="方正楷体简体" w:cs="Times New Roman"/>
          <w:color w:val="auto"/>
          <w:kern w:val="2"/>
          <w:sz w:val="32"/>
          <w:szCs w:val="32"/>
          <w:highlight w:val="none"/>
          <w:shd w:val="clear"/>
          <w:lang w:val="zh-CN" w:eastAsia="zh-CN"/>
        </w:rPr>
        <w:t>（</w:t>
      </w:r>
      <w:r>
        <w:rPr>
          <w:rFonts w:hint="default" w:ascii="Times New Roman" w:hAnsi="Times New Roman" w:eastAsia="方正楷体简体" w:cs="Times New Roman"/>
          <w:color w:val="auto"/>
          <w:kern w:val="2"/>
          <w:sz w:val="32"/>
          <w:szCs w:val="32"/>
          <w:highlight w:val="none"/>
          <w:shd w:val="clear"/>
          <w:lang w:val="en-US" w:eastAsia="zh-CN"/>
        </w:rPr>
        <w:t>二）</w:t>
      </w:r>
      <w:bookmarkEnd w:id="108"/>
      <w:bookmarkEnd w:id="109"/>
      <w:r>
        <w:rPr>
          <w:rFonts w:hint="default" w:ascii="Times New Roman" w:hAnsi="Times New Roman" w:eastAsia="方正楷体简体" w:cs="Times New Roman"/>
          <w:color w:val="auto"/>
          <w:kern w:val="2"/>
          <w:sz w:val="32"/>
          <w:szCs w:val="32"/>
          <w:highlight w:val="none"/>
          <w:shd w:val="clear"/>
          <w:lang w:val="en-US" w:eastAsia="zh-CN"/>
        </w:rPr>
        <w:t>评价结论</w:t>
      </w:r>
      <w:bookmarkEnd w:id="113"/>
      <w:bookmarkEnd w:id="114"/>
      <w:bookmarkEnd w:id="115"/>
      <w:bookmarkEnd w:id="116"/>
      <w:bookmarkEnd w:id="117"/>
      <w:bookmarkEnd w:id="118"/>
    </w:p>
    <w:bookmarkEnd w:id="110"/>
    <w:bookmarkEnd w:id="111"/>
    <w:bookmarkEnd w:id="112"/>
    <w:p w14:paraId="11D0484D">
      <w:pPr>
        <w:keepNext w:val="0"/>
        <w:keepLines w:val="0"/>
        <w:pageBreakBefore w:val="0"/>
        <w:kinsoku/>
        <w:wordWrap/>
        <w:overflowPunct/>
        <w:topLinePunct w:val="0"/>
        <w:autoSpaceDE/>
        <w:autoSpaceDN/>
        <w:bidi w:val="0"/>
        <w:spacing w:line="600" w:lineRule="exact"/>
        <w:ind w:left="0" w:firstLine="560"/>
        <w:outlineLvl w:val="1"/>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
        </w:rPr>
        <w:t>202</w:t>
      </w:r>
      <w:r>
        <w:rPr>
          <w:rFonts w:hint="default" w:ascii="Times New Roman" w:hAnsi="Times New Roman" w:eastAsia="方正仿宋_GB2312" w:cs="Times New Roman"/>
          <w:color w:val="auto"/>
          <w:sz w:val="32"/>
          <w:szCs w:val="32"/>
          <w:highlight w:val="none"/>
          <w:lang w:val="en-US" w:eastAsia="zh-CN"/>
        </w:rPr>
        <w:t>4年度，县综合执法局</w:t>
      </w:r>
      <w:r>
        <w:rPr>
          <w:rFonts w:hint="default" w:ascii="Times New Roman" w:hAnsi="Times New Roman" w:eastAsia="方正仿宋_GB2312" w:cs="Times New Roman"/>
          <w:color w:val="auto"/>
          <w:sz w:val="32"/>
          <w:szCs w:val="32"/>
          <w:highlight w:val="none"/>
          <w:lang w:val="en-US" w:eastAsia="zh"/>
        </w:rPr>
        <w:t>坚持以习近平新时代中国特色社会主义思想为指导，深入学习贯彻党的二十大精神和习近平总书记来川视察重要指示精神，认真落实中央、省、州纪委全会部署安排，积极主动围绕中心</w:t>
      </w:r>
      <w:r>
        <w:rPr>
          <w:rFonts w:hint="default" w:ascii="Times New Roman" w:hAnsi="Times New Roman" w:eastAsia="方正仿宋_GB2312" w:cs="Times New Roman"/>
          <w:color w:val="auto"/>
          <w:sz w:val="32"/>
          <w:szCs w:val="32"/>
          <w:highlight w:val="none"/>
          <w:lang w:val="en-US" w:eastAsia="zh-CN"/>
        </w:rPr>
        <w:t>、</w:t>
      </w:r>
      <w:r>
        <w:rPr>
          <w:rFonts w:hint="default" w:ascii="Times New Roman" w:hAnsi="Times New Roman" w:eastAsia="方正仿宋_GB2312" w:cs="Times New Roman"/>
          <w:color w:val="auto"/>
          <w:sz w:val="32"/>
          <w:szCs w:val="32"/>
          <w:highlight w:val="none"/>
          <w:lang w:val="en-US" w:eastAsia="zh"/>
        </w:rPr>
        <w:t>服务大局，坚定不移正风肃纪反腐，扎实推进主题教育和教育整顿，精准聚焦</w:t>
      </w:r>
      <w:r>
        <w:rPr>
          <w:rFonts w:hint="default" w:ascii="Times New Roman" w:hAnsi="Times New Roman" w:eastAsia="方正仿宋_GB2312" w:cs="Times New Roman"/>
          <w:color w:val="auto"/>
          <w:sz w:val="32"/>
          <w:szCs w:val="32"/>
          <w:highlight w:val="none"/>
          <w:lang w:val="en-US" w:eastAsia="zh-CN"/>
        </w:rPr>
        <w:t>“</w:t>
      </w:r>
      <w:r>
        <w:rPr>
          <w:rFonts w:hint="default" w:ascii="Times New Roman" w:hAnsi="Times New Roman" w:eastAsia="方正仿宋_GB2312" w:cs="Times New Roman"/>
          <w:color w:val="auto"/>
          <w:sz w:val="32"/>
          <w:szCs w:val="32"/>
          <w:highlight w:val="none"/>
          <w:lang w:val="en-US" w:eastAsia="zh"/>
        </w:rPr>
        <w:t>六个关键点</w:t>
      </w:r>
      <w:r>
        <w:rPr>
          <w:rFonts w:hint="default" w:ascii="Times New Roman" w:hAnsi="Times New Roman" w:eastAsia="方正仿宋_GB2312" w:cs="Times New Roman"/>
          <w:color w:val="auto"/>
          <w:sz w:val="32"/>
          <w:szCs w:val="32"/>
          <w:highlight w:val="none"/>
          <w:lang w:val="en-US" w:eastAsia="zh-CN"/>
        </w:rPr>
        <w:t>”</w:t>
      </w:r>
      <w:r>
        <w:rPr>
          <w:rFonts w:hint="default" w:ascii="Times New Roman" w:hAnsi="Times New Roman" w:eastAsia="方正仿宋_GB2312" w:cs="Times New Roman"/>
          <w:color w:val="auto"/>
          <w:sz w:val="32"/>
          <w:szCs w:val="32"/>
          <w:highlight w:val="none"/>
          <w:lang w:val="en-US" w:eastAsia="zh"/>
        </w:rPr>
        <w:t>，纵深推进纪检监察工作高质量发展有力助推泸定政治生态实现</w:t>
      </w:r>
      <w:r>
        <w:rPr>
          <w:rFonts w:hint="default" w:ascii="Times New Roman" w:hAnsi="Times New Roman" w:eastAsia="方正仿宋_GB2312" w:cs="Times New Roman"/>
          <w:color w:val="auto"/>
          <w:sz w:val="32"/>
          <w:szCs w:val="32"/>
          <w:highlight w:val="none"/>
          <w:lang w:val="en-US" w:eastAsia="zh-CN"/>
        </w:rPr>
        <w:t>“</w:t>
      </w:r>
      <w:r>
        <w:rPr>
          <w:rFonts w:hint="default" w:ascii="Times New Roman" w:hAnsi="Times New Roman" w:eastAsia="方正仿宋_GB2312" w:cs="Times New Roman"/>
          <w:color w:val="auto"/>
          <w:sz w:val="32"/>
          <w:szCs w:val="32"/>
          <w:highlight w:val="none"/>
          <w:lang w:val="en-US" w:eastAsia="zh"/>
        </w:rPr>
        <w:t>三大变化</w:t>
      </w:r>
      <w:r>
        <w:rPr>
          <w:rFonts w:hint="default" w:ascii="Times New Roman" w:hAnsi="Times New Roman" w:eastAsia="方正仿宋_GB2312" w:cs="Times New Roman"/>
          <w:color w:val="auto"/>
          <w:sz w:val="32"/>
          <w:szCs w:val="32"/>
          <w:highlight w:val="none"/>
          <w:lang w:val="en-US" w:eastAsia="zh-CN"/>
        </w:rPr>
        <w:t>”</w:t>
      </w:r>
      <w:r>
        <w:rPr>
          <w:rFonts w:hint="default" w:ascii="Times New Roman" w:hAnsi="Times New Roman" w:eastAsia="方正仿宋_GB2312" w:cs="Times New Roman"/>
          <w:color w:val="auto"/>
          <w:sz w:val="32"/>
          <w:szCs w:val="32"/>
          <w:highlight w:val="none"/>
          <w:lang w:val="en-US" w:eastAsia="zh"/>
        </w:rPr>
        <w:t>目标</w:t>
      </w:r>
      <w:r>
        <w:rPr>
          <w:rFonts w:hint="default" w:ascii="Times New Roman" w:hAnsi="Times New Roman" w:eastAsia="方正仿宋_GB2312" w:cs="Times New Roman"/>
          <w:color w:val="auto"/>
          <w:sz w:val="32"/>
          <w:szCs w:val="32"/>
          <w:highlight w:val="none"/>
          <w:lang w:val="en-US" w:eastAsia="zh-CN"/>
        </w:rPr>
        <w:t>，县综合执法局在维持部门运转的基础上，完成了部门职责范围内的各项工作，部门履职情况较好。</w:t>
      </w:r>
    </w:p>
    <w:p w14:paraId="38EC8196">
      <w:pPr>
        <w:keepNext w:val="0"/>
        <w:keepLines w:val="0"/>
        <w:pageBreakBefore w:val="0"/>
        <w:kinsoku/>
        <w:wordWrap/>
        <w:overflowPunct/>
        <w:topLinePunct w:val="0"/>
        <w:autoSpaceDE/>
        <w:autoSpaceDN/>
        <w:bidi w:val="0"/>
        <w:spacing w:line="600" w:lineRule="exact"/>
        <w:ind w:left="0" w:firstLine="560"/>
        <w:outlineLvl w:val="1"/>
        <w:rPr>
          <w:rFonts w:hint="default" w:ascii="Times New Roman" w:hAnsi="Times New Roman" w:eastAsia="仿宋"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按照设定的评价指标体系，通过对县综合执法局</w:t>
      </w:r>
      <w:r>
        <w:rPr>
          <w:rFonts w:hint="default" w:ascii="Times New Roman" w:hAnsi="Times New Roman" w:eastAsia="方正仿宋_GB2312" w:cs="Times New Roman"/>
          <w:color w:val="auto"/>
          <w:sz w:val="32"/>
          <w:szCs w:val="32"/>
          <w:highlight w:val="none"/>
          <w:lang w:val="en-US" w:eastAsia="zh"/>
        </w:rPr>
        <w:t>202</w:t>
      </w:r>
      <w:r>
        <w:rPr>
          <w:rFonts w:hint="default" w:ascii="Times New Roman" w:hAnsi="Times New Roman" w:eastAsia="方正仿宋_GB2312" w:cs="Times New Roman"/>
          <w:color w:val="auto"/>
          <w:sz w:val="32"/>
          <w:szCs w:val="32"/>
          <w:highlight w:val="none"/>
          <w:lang w:val="en-US" w:eastAsia="zh-CN"/>
        </w:rPr>
        <w:t>4年度部门整体支出情况在预算编制、预算执行、完成结果、信息公开、整改反馈、自评质量方面进行综合评价，</w:t>
      </w:r>
      <w:r>
        <w:rPr>
          <w:rFonts w:hint="default" w:ascii="Times New Roman" w:hAnsi="Times New Roman" w:eastAsia="方正仿宋_GB2312" w:cs="Times New Roman"/>
          <w:color w:val="auto"/>
          <w:sz w:val="32"/>
          <w:szCs w:val="32"/>
          <w:highlight w:val="none"/>
          <w:lang w:val="en-US" w:eastAsia="zh"/>
        </w:rPr>
        <w:t>202</w:t>
      </w:r>
      <w:r>
        <w:rPr>
          <w:rFonts w:hint="default" w:ascii="Times New Roman" w:hAnsi="Times New Roman" w:eastAsia="方正仿宋_GB2312" w:cs="Times New Roman"/>
          <w:color w:val="auto"/>
          <w:sz w:val="32"/>
          <w:szCs w:val="32"/>
          <w:highlight w:val="none"/>
          <w:lang w:val="en-US" w:eastAsia="zh-CN"/>
        </w:rPr>
        <w:t>4年度县综合执法局部门整体支出绩效评价指标分值100.00分，得分90.22分。详见下表：</w:t>
      </w:r>
    </w:p>
    <w:p w14:paraId="586E1AED">
      <w:pPr>
        <w:keepNext w:val="0"/>
        <w:keepLines w:val="0"/>
        <w:pageBreakBefore w:val="0"/>
        <w:widowControl w:val="0"/>
        <w:kinsoku/>
        <w:wordWrap/>
        <w:overflowPunct/>
        <w:topLinePunct w:val="0"/>
        <w:autoSpaceDE/>
        <w:autoSpaceDN/>
        <w:bidi w:val="0"/>
        <w:adjustRightInd/>
        <w:snapToGrid/>
        <w:spacing w:line="600" w:lineRule="exact"/>
        <w:ind w:left="0" w:firstLine="0" w:firstLineChars="0"/>
        <w:jc w:val="center"/>
        <w:textAlignment w:val="auto"/>
        <w:outlineLvl w:val="9"/>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县综合执法局</w:t>
      </w:r>
      <w:r>
        <w:rPr>
          <w:rFonts w:hint="default" w:ascii="Times New Roman" w:hAnsi="Times New Roman" w:eastAsia="方正仿宋_GB2312" w:cs="Times New Roman"/>
          <w:color w:val="auto"/>
          <w:sz w:val="32"/>
          <w:szCs w:val="32"/>
          <w:highlight w:val="none"/>
          <w:lang w:val="en-US" w:eastAsia="zh"/>
        </w:rPr>
        <w:t>202</w:t>
      </w:r>
      <w:r>
        <w:rPr>
          <w:rFonts w:hint="default" w:ascii="Times New Roman" w:hAnsi="Times New Roman" w:eastAsia="方正仿宋_GB2312" w:cs="Times New Roman"/>
          <w:color w:val="auto"/>
          <w:sz w:val="32"/>
          <w:szCs w:val="32"/>
          <w:highlight w:val="none"/>
          <w:lang w:val="en-US" w:eastAsia="zh-CN"/>
        </w:rPr>
        <w:t>4年部门整体支出绩效评价评分表</w:t>
      </w:r>
    </w:p>
    <w:tbl>
      <w:tblPr>
        <w:tblStyle w:val="18"/>
        <w:tblW w:w="4997"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2491"/>
        <w:gridCol w:w="2292"/>
        <w:gridCol w:w="1318"/>
        <w:gridCol w:w="622"/>
        <w:gridCol w:w="959"/>
        <w:gridCol w:w="829"/>
      </w:tblGrid>
      <w:tr w14:paraId="012A5A6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jc w:val="center"/>
        </w:trPr>
        <w:tc>
          <w:tcPr>
            <w:tcW w:w="14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4FD8D5">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b/>
                <w:bCs/>
                <w:i w:val="0"/>
                <w:iCs w:val="0"/>
                <w:color w:val="000000"/>
                <w:sz w:val="20"/>
                <w:szCs w:val="20"/>
                <w:u w:val="none"/>
              </w:rPr>
            </w:pPr>
            <w:bookmarkStart w:id="119" w:name="_Toc13729"/>
            <w:bookmarkStart w:id="120" w:name="_Toc4242"/>
            <w:bookmarkStart w:id="121" w:name="_Toc14707"/>
            <w:bookmarkStart w:id="122" w:name="_Toc26985"/>
            <w:bookmarkStart w:id="123" w:name="_Toc16394"/>
            <w:bookmarkStart w:id="124" w:name="_Toc1687911260"/>
            <w:bookmarkStart w:id="125" w:name="_Toc109483841"/>
            <w:bookmarkStart w:id="126" w:name="_Toc31945"/>
            <w:bookmarkStart w:id="127" w:name="_Toc24818"/>
            <w:bookmarkStart w:id="128" w:name="_Toc28266"/>
            <w:r>
              <w:rPr>
                <w:rFonts w:hint="default" w:ascii="Times New Roman" w:hAnsi="Times New Roman" w:eastAsia="方正仿宋_GB2312" w:cs="Times New Roman"/>
                <w:b/>
                <w:bCs/>
                <w:i w:val="0"/>
                <w:iCs w:val="0"/>
                <w:color w:val="000000"/>
                <w:kern w:val="0"/>
                <w:sz w:val="20"/>
                <w:szCs w:val="20"/>
                <w:u w:val="none"/>
                <w:lang w:val="en-US" w:eastAsia="zh-CN" w:bidi="ar"/>
              </w:rPr>
              <w:t>一级指标</w:t>
            </w:r>
          </w:p>
        </w:tc>
        <w:tc>
          <w:tcPr>
            <w:tcW w:w="13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7E8171">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b/>
                <w:bCs/>
                <w:i w:val="0"/>
                <w:iCs w:val="0"/>
                <w:color w:val="000000"/>
                <w:sz w:val="20"/>
                <w:szCs w:val="20"/>
                <w:u w:val="none"/>
              </w:rPr>
            </w:pPr>
            <w:r>
              <w:rPr>
                <w:rFonts w:hint="default" w:ascii="Times New Roman" w:hAnsi="Times New Roman" w:eastAsia="方正仿宋_GB2312" w:cs="Times New Roman"/>
                <w:b/>
                <w:bCs/>
                <w:i w:val="0"/>
                <w:iCs w:val="0"/>
                <w:color w:val="000000"/>
                <w:kern w:val="0"/>
                <w:sz w:val="20"/>
                <w:szCs w:val="20"/>
                <w:u w:val="none"/>
                <w:lang w:val="en-US" w:eastAsia="zh-CN" w:bidi="ar"/>
              </w:rPr>
              <w:t>二级指标</w:t>
            </w:r>
          </w:p>
        </w:tc>
        <w:tc>
          <w:tcPr>
            <w:tcW w:w="7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199C1A">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b/>
                <w:bCs/>
                <w:i w:val="0"/>
                <w:iCs w:val="0"/>
                <w:color w:val="000000"/>
                <w:sz w:val="20"/>
                <w:szCs w:val="20"/>
                <w:u w:val="none"/>
              </w:rPr>
            </w:pPr>
            <w:r>
              <w:rPr>
                <w:rFonts w:hint="default" w:ascii="Times New Roman" w:hAnsi="Times New Roman" w:eastAsia="方正仿宋_GB2312" w:cs="Times New Roman"/>
                <w:b/>
                <w:bCs/>
                <w:i w:val="0"/>
                <w:iCs w:val="0"/>
                <w:color w:val="000000"/>
                <w:kern w:val="0"/>
                <w:sz w:val="20"/>
                <w:szCs w:val="20"/>
                <w:u w:val="none"/>
                <w:lang w:val="en-US" w:eastAsia="zh-CN" w:bidi="ar"/>
              </w:rPr>
              <w:t>三级指标</w:t>
            </w:r>
          </w:p>
        </w:tc>
        <w:tc>
          <w:tcPr>
            <w:tcW w:w="3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14440A">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b/>
                <w:bCs/>
                <w:i w:val="0"/>
                <w:iCs w:val="0"/>
                <w:color w:val="000000"/>
                <w:sz w:val="20"/>
                <w:szCs w:val="20"/>
                <w:u w:val="none"/>
              </w:rPr>
            </w:pPr>
            <w:r>
              <w:rPr>
                <w:rFonts w:hint="default" w:ascii="Times New Roman" w:hAnsi="Times New Roman" w:eastAsia="方正仿宋_GB2312" w:cs="Times New Roman"/>
                <w:b/>
                <w:bCs/>
                <w:i w:val="0"/>
                <w:iCs w:val="0"/>
                <w:color w:val="000000"/>
                <w:kern w:val="0"/>
                <w:sz w:val="20"/>
                <w:szCs w:val="20"/>
                <w:u w:val="none"/>
                <w:lang w:val="en-US" w:eastAsia="zh-CN" w:bidi="ar"/>
              </w:rPr>
              <w:t>分值</w:t>
            </w:r>
          </w:p>
        </w:tc>
        <w:tc>
          <w:tcPr>
            <w:tcW w:w="5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1C4580">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b/>
                <w:bCs/>
                <w:i w:val="0"/>
                <w:iCs w:val="0"/>
                <w:color w:val="000000"/>
                <w:sz w:val="20"/>
                <w:szCs w:val="20"/>
                <w:u w:val="none"/>
              </w:rPr>
            </w:pPr>
            <w:r>
              <w:rPr>
                <w:rFonts w:hint="default" w:ascii="Times New Roman" w:hAnsi="Times New Roman" w:eastAsia="方正仿宋_GB2312" w:cs="Times New Roman"/>
                <w:b/>
                <w:bCs/>
                <w:i w:val="0"/>
                <w:iCs w:val="0"/>
                <w:color w:val="000000"/>
                <w:kern w:val="0"/>
                <w:sz w:val="20"/>
                <w:szCs w:val="20"/>
                <w:u w:val="none"/>
                <w:lang w:val="en-US" w:eastAsia="zh-CN" w:bidi="ar"/>
              </w:rPr>
              <w:t>扣分</w:t>
            </w:r>
          </w:p>
        </w:tc>
        <w:tc>
          <w:tcPr>
            <w:tcW w:w="48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9B7AAA">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b/>
                <w:bCs/>
                <w:i w:val="0"/>
                <w:iCs w:val="0"/>
                <w:color w:val="000000"/>
                <w:sz w:val="20"/>
                <w:szCs w:val="20"/>
                <w:u w:val="none"/>
              </w:rPr>
            </w:pPr>
            <w:r>
              <w:rPr>
                <w:rFonts w:hint="default" w:ascii="Times New Roman" w:hAnsi="Times New Roman" w:eastAsia="方正仿宋_GB2312" w:cs="Times New Roman"/>
                <w:b/>
                <w:bCs/>
                <w:i w:val="0"/>
                <w:iCs w:val="0"/>
                <w:color w:val="000000"/>
                <w:kern w:val="0"/>
                <w:sz w:val="20"/>
                <w:szCs w:val="20"/>
                <w:u w:val="none"/>
                <w:lang w:val="en-US" w:eastAsia="zh-CN" w:bidi="ar"/>
              </w:rPr>
              <w:t>得分</w:t>
            </w:r>
          </w:p>
        </w:tc>
      </w:tr>
      <w:tr w14:paraId="1A9BE4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0" w:hRule="atLeast"/>
          <w:jc w:val="center"/>
        </w:trPr>
        <w:tc>
          <w:tcPr>
            <w:tcW w:w="146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2DA9FD5">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部门预算管理（50分）</w:t>
            </w:r>
          </w:p>
        </w:tc>
        <w:tc>
          <w:tcPr>
            <w:tcW w:w="134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1E447DD">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目标管理（15分）</w:t>
            </w:r>
          </w:p>
        </w:tc>
        <w:tc>
          <w:tcPr>
            <w:tcW w:w="7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694326">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目标制定</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2F9B42">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10</w:t>
            </w:r>
          </w:p>
        </w:tc>
        <w:tc>
          <w:tcPr>
            <w:tcW w:w="5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B2B50C">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2</w:t>
            </w:r>
          </w:p>
        </w:tc>
        <w:tc>
          <w:tcPr>
            <w:tcW w:w="48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B2B9C5">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8</w:t>
            </w:r>
          </w:p>
        </w:tc>
      </w:tr>
      <w:tr w14:paraId="2BDDDE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jc w:val="center"/>
        </w:trPr>
        <w:tc>
          <w:tcPr>
            <w:tcW w:w="14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A56133">
            <w:pPr>
              <w:keepNext w:val="0"/>
              <w:keepLines w:val="0"/>
              <w:pageBreakBefore w:val="0"/>
              <w:widowControl/>
              <w:kinsoku/>
              <w:wordWrap/>
              <w:overflowPunct/>
              <w:topLinePunct w:val="0"/>
              <w:autoSpaceDE/>
              <w:autoSpaceDN/>
              <w:bidi w:val="0"/>
              <w:adjustRightInd/>
              <w:snapToGrid/>
              <w:ind w:firstLine="0" w:firstLineChars="0"/>
              <w:jc w:val="center"/>
              <w:rPr>
                <w:rFonts w:hint="default" w:ascii="Times New Roman" w:hAnsi="Times New Roman" w:eastAsia="方正仿宋_GB2312" w:cs="Times New Roman"/>
                <w:i w:val="0"/>
                <w:iCs w:val="0"/>
                <w:color w:val="000000"/>
                <w:sz w:val="20"/>
                <w:szCs w:val="20"/>
                <w:u w:val="none"/>
              </w:rPr>
            </w:pPr>
          </w:p>
        </w:tc>
        <w:tc>
          <w:tcPr>
            <w:tcW w:w="13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6AEA66">
            <w:pPr>
              <w:keepNext w:val="0"/>
              <w:keepLines w:val="0"/>
              <w:pageBreakBefore w:val="0"/>
              <w:widowControl/>
              <w:kinsoku/>
              <w:wordWrap/>
              <w:overflowPunct/>
              <w:topLinePunct w:val="0"/>
              <w:autoSpaceDE/>
              <w:autoSpaceDN/>
              <w:bidi w:val="0"/>
              <w:adjustRightInd/>
              <w:snapToGrid/>
              <w:ind w:firstLine="0" w:firstLineChars="0"/>
              <w:jc w:val="center"/>
              <w:rPr>
                <w:rFonts w:hint="default" w:ascii="Times New Roman" w:hAnsi="Times New Roman" w:eastAsia="方正仿宋_GB2312" w:cs="Times New Roman"/>
                <w:i w:val="0"/>
                <w:iCs w:val="0"/>
                <w:color w:val="000000"/>
                <w:sz w:val="20"/>
                <w:szCs w:val="20"/>
                <w:u w:val="none"/>
              </w:rPr>
            </w:pPr>
          </w:p>
        </w:tc>
        <w:tc>
          <w:tcPr>
            <w:tcW w:w="7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2E7082">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目标实现</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CCEC5F">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5</w:t>
            </w:r>
          </w:p>
        </w:tc>
        <w:tc>
          <w:tcPr>
            <w:tcW w:w="5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EAC3B8">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0</w:t>
            </w:r>
          </w:p>
        </w:tc>
        <w:tc>
          <w:tcPr>
            <w:tcW w:w="48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A12112">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5</w:t>
            </w:r>
          </w:p>
        </w:tc>
      </w:tr>
      <w:tr w14:paraId="60A671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jc w:val="center"/>
        </w:trPr>
        <w:tc>
          <w:tcPr>
            <w:tcW w:w="14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FD71C5">
            <w:pPr>
              <w:keepNext w:val="0"/>
              <w:keepLines w:val="0"/>
              <w:pageBreakBefore w:val="0"/>
              <w:widowControl/>
              <w:kinsoku/>
              <w:wordWrap/>
              <w:overflowPunct/>
              <w:topLinePunct w:val="0"/>
              <w:autoSpaceDE/>
              <w:autoSpaceDN/>
              <w:bidi w:val="0"/>
              <w:adjustRightInd/>
              <w:snapToGrid/>
              <w:ind w:firstLine="0" w:firstLineChars="0"/>
              <w:jc w:val="center"/>
              <w:rPr>
                <w:rFonts w:hint="default" w:ascii="Times New Roman" w:hAnsi="Times New Roman" w:eastAsia="方正仿宋_GB2312" w:cs="Times New Roman"/>
                <w:i w:val="0"/>
                <w:iCs w:val="0"/>
                <w:color w:val="000000"/>
                <w:sz w:val="20"/>
                <w:szCs w:val="20"/>
                <w:u w:val="none"/>
              </w:rPr>
            </w:pPr>
          </w:p>
        </w:tc>
        <w:tc>
          <w:tcPr>
            <w:tcW w:w="134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01AB0C6">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过程控制（10分）</w:t>
            </w:r>
          </w:p>
        </w:tc>
        <w:tc>
          <w:tcPr>
            <w:tcW w:w="7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981038">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执行进度</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71B456">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4</w:t>
            </w:r>
          </w:p>
        </w:tc>
        <w:tc>
          <w:tcPr>
            <w:tcW w:w="5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B6FCDE">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0</w:t>
            </w:r>
          </w:p>
        </w:tc>
        <w:tc>
          <w:tcPr>
            <w:tcW w:w="48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E4F329">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4</w:t>
            </w:r>
          </w:p>
        </w:tc>
      </w:tr>
      <w:tr w14:paraId="250301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jc w:val="center"/>
        </w:trPr>
        <w:tc>
          <w:tcPr>
            <w:tcW w:w="14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EF8A61">
            <w:pPr>
              <w:keepNext w:val="0"/>
              <w:keepLines w:val="0"/>
              <w:pageBreakBefore w:val="0"/>
              <w:widowControl/>
              <w:kinsoku/>
              <w:wordWrap/>
              <w:overflowPunct/>
              <w:topLinePunct w:val="0"/>
              <w:autoSpaceDE/>
              <w:autoSpaceDN/>
              <w:bidi w:val="0"/>
              <w:adjustRightInd/>
              <w:snapToGrid/>
              <w:ind w:firstLine="0" w:firstLineChars="0"/>
              <w:jc w:val="center"/>
              <w:rPr>
                <w:rFonts w:hint="default" w:ascii="Times New Roman" w:hAnsi="Times New Roman" w:eastAsia="方正仿宋_GB2312" w:cs="Times New Roman"/>
                <w:i w:val="0"/>
                <w:iCs w:val="0"/>
                <w:color w:val="000000"/>
                <w:sz w:val="20"/>
                <w:szCs w:val="20"/>
                <w:u w:val="none"/>
              </w:rPr>
            </w:pPr>
          </w:p>
        </w:tc>
        <w:tc>
          <w:tcPr>
            <w:tcW w:w="13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B3C2E9">
            <w:pPr>
              <w:keepNext w:val="0"/>
              <w:keepLines w:val="0"/>
              <w:pageBreakBefore w:val="0"/>
              <w:widowControl/>
              <w:kinsoku/>
              <w:wordWrap/>
              <w:overflowPunct/>
              <w:topLinePunct w:val="0"/>
              <w:autoSpaceDE/>
              <w:autoSpaceDN/>
              <w:bidi w:val="0"/>
              <w:adjustRightInd/>
              <w:snapToGrid/>
              <w:ind w:firstLine="0" w:firstLineChars="0"/>
              <w:jc w:val="center"/>
              <w:rPr>
                <w:rFonts w:hint="default" w:ascii="Times New Roman" w:hAnsi="Times New Roman" w:eastAsia="方正仿宋_GB2312" w:cs="Times New Roman"/>
                <w:i w:val="0"/>
                <w:iCs w:val="0"/>
                <w:color w:val="000000"/>
                <w:sz w:val="20"/>
                <w:szCs w:val="20"/>
                <w:u w:val="none"/>
              </w:rPr>
            </w:pPr>
          </w:p>
        </w:tc>
        <w:tc>
          <w:tcPr>
            <w:tcW w:w="7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0CD7F5">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同步调整</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17CF80">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3</w:t>
            </w:r>
          </w:p>
        </w:tc>
        <w:tc>
          <w:tcPr>
            <w:tcW w:w="5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469DD7">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0</w:t>
            </w:r>
          </w:p>
        </w:tc>
        <w:tc>
          <w:tcPr>
            <w:tcW w:w="48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04204D">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3</w:t>
            </w:r>
          </w:p>
        </w:tc>
      </w:tr>
      <w:tr w14:paraId="64FF1D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jc w:val="center"/>
        </w:trPr>
        <w:tc>
          <w:tcPr>
            <w:tcW w:w="14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0E0B61">
            <w:pPr>
              <w:keepNext w:val="0"/>
              <w:keepLines w:val="0"/>
              <w:pageBreakBefore w:val="0"/>
              <w:widowControl/>
              <w:kinsoku/>
              <w:wordWrap/>
              <w:overflowPunct/>
              <w:topLinePunct w:val="0"/>
              <w:autoSpaceDE/>
              <w:autoSpaceDN/>
              <w:bidi w:val="0"/>
              <w:adjustRightInd/>
              <w:snapToGrid/>
              <w:ind w:firstLine="0" w:firstLineChars="0"/>
              <w:jc w:val="center"/>
              <w:rPr>
                <w:rFonts w:hint="default" w:ascii="Times New Roman" w:hAnsi="Times New Roman" w:eastAsia="方正仿宋_GB2312" w:cs="Times New Roman"/>
                <w:i w:val="0"/>
                <w:iCs w:val="0"/>
                <w:color w:val="000000"/>
                <w:sz w:val="20"/>
                <w:szCs w:val="20"/>
                <w:u w:val="none"/>
              </w:rPr>
            </w:pPr>
          </w:p>
        </w:tc>
        <w:tc>
          <w:tcPr>
            <w:tcW w:w="13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F2932B">
            <w:pPr>
              <w:keepNext w:val="0"/>
              <w:keepLines w:val="0"/>
              <w:pageBreakBefore w:val="0"/>
              <w:widowControl/>
              <w:kinsoku/>
              <w:wordWrap/>
              <w:overflowPunct/>
              <w:topLinePunct w:val="0"/>
              <w:autoSpaceDE/>
              <w:autoSpaceDN/>
              <w:bidi w:val="0"/>
              <w:adjustRightInd/>
              <w:snapToGrid/>
              <w:ind w:firstLine="0" w:firstLineChars="0"/>
              <w:jc w:val="center"/>
              <w:rPr>
                <w:rFonts w:hint="default" w:ascii="Times New Roman" w:hAnsi="Times New Roman" w:eastAsia="方正仿宋_GB2312" w:cs="Times New Roman"/>
                <w:i w:val="0"/>
                <w:iCs w:val="0"/>
                <w:color w:val="000000"/>
                <w:sz w:val="20"/>
                <w:szCs w:val="20"/>
                <w:u w:val="none"/>
              </w:rPr>
            </w:pPr>
          </w:p>
        </w:tc>
        <w:tc>
          <w:tcPr>
            <w:tcW w:w="7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CC8A36">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及时处置</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13905D">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3</w:t>
            </w:r>
          </w:p>
        </w:tc>
        <w:tc>
          <w:tcPr>
            <w:tcW w:w="5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688BA9">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0</w:t>
            </w:r>
          </w:p>
        </w:tc>
        <w:tc>
          <w:tcPr>
            <w:tcW w:w="48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C064BE">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3</w:t>
            </w:r>
          </w:p>
        </w:tc>
      </w:tr>
      <w:tr w14:paraId="45A051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jc w:val="center"/>
        </w:trPr>
        <w:tc>
          <w:tcPr>
            <w:tcW w:w="14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975F5E">
            <w:pPr>
              <w:keepNext w:val="0"/>
              <w:keepLines w:val="0"/>
              <w:pageBreakBefore w:val="0"/>
              <w:widowControl/>
              <w:kinsoku/>
              <w:wordWrap/>
              <w:overflowPunct/>
              <w:topLinePunct w:val="0"/>
              <w:autoSpaceDE/>
              <w:autoSpaceDN/>
              <w:bidi w:val="0"/>
              <w:adjustRightInd/>
              <w:snapToGrid/>
              <w:ind w:firstLine="0" w:firstLineChars="0"/>
              <w:jc w:val="center"/>
              <w:rPr>
                <w:rFonts w:hint="default" w:ascii="Times New Roman" w:hAnsi="Times New Roman" w:eastAsia="方正仿宋_GB2312" w:cs="Times New Roman"/>
                <w:i w:val="0"/>
                <w:iCs w:val="0"/>
                <w:color w:val="000000"/>
                <w:sz w:val="20"/>
                <w:szCs w:val="20"/>
                <w:u w:val="none"/>
              </w:rPr>
            </w:pPr>
          </w:p>
        </w:tc>
        <w:tc>
          <w:tcPr>
            <w:tcW w:w="13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7D68C4">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完成效率（5分）</w:t>
            </w:r>
          </w:p>
        </w:tc>
        <w:tc>
          <w:tcPr>
            <w:tcW w:w="7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9E0031">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预算结余率</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48ECE9">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5</w:t>
            </w:r>
          </w:p>
        </w:tc>
        <w:tc>
          <w:tcPr>
            <w:tcW w:w="5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71B150">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3.75</w:t>
            </w:r>
          </w:p>
        </w:tc>
        <w:tc>
          <w:tcPr>
            <w:tcW w:w="48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49A2FA">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1.25</w:t>
            </w:r>
          </w:p>
        </w:tc>
      </w:tr>
      <w:tr w14:paraId="0A549E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jc w:val="center"/>
        </w:trPr>
        <w:tc>
          <w:tcPr>
            <w:tcW w:w="14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D789E5">
            <w:pPr>
              <w:keepNext w:val="0"/>
              <w:keepLines w:val="0"/>
              <w:pageBreakBefore w:val="0"/>
              <w:widowControl/>
              <w:kinsoku/>
              <w:wordWrap/>
              <w:overflowPunct/>
              <w:topLinePunct w:val="0"/>
              <w:autoSpaceDE/>
              <w:autoSpaceDN/>
              <w:bidi w:val="0"/>
              <w:adjustRightInd/>
              <w:snapToGrid/>
              <w:ind w:firstLine="0" w:firstLineChars="0"/>
              <w:jc w:val="center"/>
              <w:rPr>
                <w:rFonts w:hint="default" w:ascii="Times New Roman" w:hAnsi="Times New Roman" w:eastAsia="方正仿宋_GB2312" w:cs="Times New Roman"/>
                <w:i w:val="0"/>
                <w:iCs w:val="0"/>
                <w:color w:val="000000"/>
                <w:sz w:val="20"/>
                <w:szCs w:val="20"/>
                <w:u w:val="none"/>
              </w:rPr>
            </w:pPr>
          </w:p>
        </w:tc>
        <w:tc>
          <w:tcPr>
            <w:tcW w:w="13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45B5FB">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完成效果（20分）</w:t>
            </w:r>
          </w:p>
        </w:tc>
        <w:tc>
          <w:tcPr>
            <w:tcW w:w="7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822C07">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实施效果</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8B5C94">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20</w:t>
            </w:r>
          </w:p>
        </w:tc>
        <w:tc>
          <w:tcPr>
            <w:tcW w:w="5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45FC32">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1.02</w:t>
            </w:r>
          </w:p>
        </w:tc>
        <w:tc>
          <w:tcPr>
            <w:tcW w:w="48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8C18E6">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18.98</w:t>
            </w:r>
          </w:p>
        </w:tc>
      </w:tr>
      <w:tr w14:paraId="3F29BA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0" w:hRule="atLeast"/>
          <w:jc w:val="center"/>
        </w:trPr>
        <w:tc>
          <w:tcPr>
            <w:tcW w:w="14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994E58">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专项预算绩效（30分）</w:t>
            </w:r>
          </w:p>
        </w:tc>
        <w:tc>
          <w:tcPr>
            <w:tcW w:w="13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74944D">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整体完成（30分）</w:t>
            </w:r>
          </w:p>
        </w:tc>
        <w:tc>
          <w:tcPr>
            <w:tcW w:w="7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38CB91">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完成率</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7E3EC0">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30</w:t>
            </w:r>
          </w:p>
        </w:tc>
        <w:tc>
          <w:tcPr>
            <w:tcW w:w="5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94DC44">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0</w:t>
            </w:r>
          </w:p>
        </w:tc>
        <w:tc>
          <w:tcPr>
            <w:tcW w:w="48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8DA546">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30</w:t>
            </w:r>
          </w:p>
        </w:tc>
      </w:tr>
      <w:tr w14:paraId="16A944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jc w:val="center"/>
        </w:trPr>
        <w:tc>
          <w:tcPr>
            <w:tcW w:w="146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CF38694">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绩效结果应用（14分）</w:t>
            </w:r>
          </w:p>
        </w:tc>
        <w:tc>
          <w:tcPr>
            <w:tcW w:w="13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89B341">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内部应用（4分）</w:t>
            </w:r>
          </w:p>
        </w:tc>
        <w:tc>
          <w:tcPr>
            <w:tcW w:w="7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41E617">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预算挂钩</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F74AA0">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4</w:t>
            </w:r>
          </w:p>
        </w:tc>
        <w:tc>
          <w:tcPr>
            <w:tcW w:w="5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B13553">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2</w:t>
            </w:r>
          </w:p>
        </w:tc>
        <w:tc>
          <w:tcPr>
            <w:tcW w:w="48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8AD647">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2</w:t>
            </w:r>
          </w:p>
        </w:tc>
      </w:tr>
      <w:tr w14:paraId="7844BA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jc w:val="center"/>
        </w:trPr>
        <w:tc>
          <w:tcPr>
            <w:tcW w:w="14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D5B4E7">
            <w:pPr>
              <w:keepNext w:val="0"/>
              <w:keepLines w:val="0"/>
              <w:pageBreakBefore w:val="0"/>
              <w:widowControl/>
              <w:kinsoku/>
              <w:wordWrap/>
              <w:overflowPunct/>
              <w:topLinePunct w:val="0"/>
              <w:autoSpaceDE/>
              <w:autoSpaceDN/>
              <w:bidi w:val="0"/>
              <w:adjustRightInd/>
              <w:snapToGrid/>
              <w:ind w:firstLine="0" w:firstLineChars="0"/>
              <w:jc w:val="center"/>
              <w:rPr>
                <w:rFonts w:hint="default" w:ascii="Times New Roman" w:hAnsi="Times New Roman" w:eastAsia="方正仿宋_GB2312" w:cs="Times New Roman"/>
                <w:i w:val="0"/>
                <w:iCs w:val="0"/>
                <w:color w:val="000000"/>
                <w:sz w:val="20"/>
                <w:szCs w:val="20"/>
                <w:u w:val="none"/>
              </w:rPr>
            </w:pPr>
          </w:p>
        </w:tc>
        <w:tc>
          <w:tcPr>
            <w:tcW w:w="13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CF9EA7">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信息公开（4分）</w:t>
            </w:r>
          </w:p>
        </w:tc>
        <w:tc>
          <w:tcPr>
            <w:tcW w:w="7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962DDB">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自评公开</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092C03">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4</w:t>
            </w:r>
          </w:p>
        </w:tc>
        <w:tc>
          <w:tcPr>
            <w:tcW w:w="5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7751C4">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0</w:t>
            </w:r>
          </w:p>
        </w:tc>
        <w:tc>
          <w:tcPr>
            <w:tcW w:w="48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B80D13">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4</w:t>
            </w:r>
          </w:p>
        </w:tc>
      </w:tr>
      <w:tr w14:paraId="11DCB7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jc w:val="center"/>
        </w:trPr>
        <w:tc>
          <w:tcPr>
            <w:tcW w:w="14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F2E071">
            <w:pPr>
              <w:keepNext w:val="0"/>
              <w:keepLines w:val="0"/>
              <w:pageBreakBefore w:val="0"/>
              <w:widowControl/>
              <w:kinsoku/>
              <w:wordWrap/>
              <w:overflowPunct/>
              <w:topLinePunct w:val="0"/>
              <w:autoSpaceDE/>
              <w:autoSpaceDN/>
              <w:bidi w:val="0"/>
              <w:adjustRightInd/>
              <w:snapToGrid/>
              <w:ind w:firstLine="0" w:firstLineChars="0"/>
              <w:jc w:val="center"/>
              <w:rPr>
                <w:rFonts w:hint="default" w:ascii="Times New Roman" w:hAnsi="Times New Roman" w:eastAsia="方正仿宋_GB2312" w:cs="Times New Roman"/>
                <w:i w:val="0"/>
                <w:iCs w:val="0"/>
                <w:color w:val="000000"/>
                <w:sz w:val="20"/>
                <w:szCs w:val="20"/>
                <w:u w:val="none"/>
              </w:rPr>
            </w:pPr>
          </w:p>
        </w:tc>
        <w:tc>
          <w:tcPr>
            <w:tcW w:w="13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A31ED5">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整改反馈（6分）</w:t>
            </w:r>
          </w:p>
        </w:tc>
        <w:tc>
          <w:tcPr>
            <w:tcW w:w="7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7F7CAB">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问题整改</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1D4DE7">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6</w:t>
            </w:r>
          </w:p>
        </w:tc>
        <w:tc>
          <w:tcPr>
            <w:tcW w:w="5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4E8CD7">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0</w:t>
            </w:r>
          </w:p>
        </w:tc>
        <w:tc>
          <w:tcPr>
            <w:tcW w:w="48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0FE069">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6</w:t>
            </w:r>
          </w:p>
        </w:tc>
      </w:tr>
      <w:tr w14:paraId="6473DA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70" w:hRule="atLeast"/>
          <w:jc w:val="center"/>
        </w:trPr>
        <w:tc>
          <w:tcPr>
            <w:tcW w:w="14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248B94">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自评质量（6分）</w:t>
            </w:r>
          </w:p>
        </w:tc>
        <w:tc>
          <w:tcPr>
            <w:tcW w:w="13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69D8B9">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自评质量（6分）</w:t>
            </w:r>
          </w:p>
        </w:tc>
        <w:tc>
          <w:tcPr>
            <w:tcW w:w="7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8598F0">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自评质量</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3D9D60">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6</w:t>
            </w:r>
          </w:p>
        </w:tc>
        <w:tc>
          <w:tcPr>
            <w:tcW w:w="5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C05760">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0</w:t>
            </w:r>
          </w:p>
        </w:tc>
        <w:tc>
          <w:tcPr>
            <w:tcW w:w="48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DF9832">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6</w:t>
            </w:r>
          </w:p>
        </w:tc>
      </w:tr>
      <w:tr w14:paraId="041742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jc w:val="center"/>
        </w:trPr>
        <w:tc>
          <w:tcPr>
            <w:tcW w:w="3583"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3BD720">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合计</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C28F84">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100</w:t>
            </w:r>
          </w:p>
        </w:tc>
        <w:tc>
          <w:tcPr>
            <w:tcW w:w="5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51DB66">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8.77</w:t>
            </w:r>
          </w:p>
        </w:tc>
        <w:tc>
          <w:tcPr>
            <w:tcW w:w="48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8E75F7">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90.22</w:t>
            </w:r>
          </w:p>
        </w:tc>
      </w:tr>
    </w:tbl>
    <w:p w14:paraId="7CAEDB59">
      <w:pPr>
        <w:keepNext w:val="0"/>
        <w:keepLines w:val="0"/>
        <w:pageBreakBefore w:val="0"/>
        <w:kinsoku/>
        <w:wordWrap/>
        <w:overflowPunct/>
        <w:topLinePunct w:val="0"/>
        <w:autoSpaceDE/>
        <w:autoSpaceDN/>
        <w:bidi w:val="0"/>
        <w:spacing w:line="600" w:lineRule="exact"/>
        <w:ind w:left="0" w:leftChars="0" w:right="0" w:rightChars="0" w:firstLine="560"/>
        <w:outlineLvl w:val="1"/>
        <w:rPr>
          <w:rFonts w:hint="default" w:ascii="Times New Roman" w:hAnsi="Times New Roman" w:eastAsia="方正楷体简体" w:cs="Times New Roman"/>
          <w:color w:val="auto"/>
          <w:kern w:val="2"/>
          <w:sz w:val="32"/>
          <w:szCs w:val="32"/>
          <w:highlight w:val="none"/>
          <w:shd w:val="clear"/>
          <w:lang w:val="en-US" w:eastAsia="zh-CN"/>
        </w:rPr>
      </w:pPr>
      <w:r>
        <w:rPr>
          <w:rFonts w:hint="default" w:ascii="Times New Roman" w:hAnsi="Times New Roman" w:eastAsia="方正楷体简体" w:cs="Times New Roman"/>
          <w:color w:val="auto"/>
          <w:kern w:val="2"/>
          <w:sz w:val="32"/>
          <w:szCs w:val="32"/>
          <w:highlight w:val="none"/>
          <w:shd w:val="clear"/>
          <w:lang w:val="en-US" w:eastAsia="zh-CN"/>
        </w:rPr>
        <w:t>（三）绩效结果应用</w:t>
      </w:r>
      <w:bookmarkEnd w:id="119"/>
      <w:bookmarkEnd w:id="120"/>
      <w:bookmarkEnd w:id="121"/>
    </w:p>
    <w:p w14:paraId="3974C46A">
      <w:pPr>
        <w:keepNext w:val="0"/>
        <w:keepLines w:val="0"/>
        <w:pageBreakBefore w:val="0"/>
        <w:kinsoku/>
        <w:wordWrap/>
        <w:overflowPunct/>
        <w:topLinePunct w:val="0"/>
        <w:autoSpaceDE/>
        <w:autoSpaceDN/>
        <w:bidi w:val="0"/>
        <w:spacing w:line="600" w:lineRule="exact"/>
        <w:ind w:left="0" w:firstLine="560"/>
        <w:outlineLvl w:val="1"/>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县综合执法局</w:t>
      </w:r>
      <w:r>
        <w:rPr>
          <w:rFonts w:hint="default" w:ascii="Times New Roman" w:hAnsi="Times New Roman" w:eastAsia="方正仿宋_GB2312" w:cs="Times New Roman"/>
          <w:color w:val="auto"/>
          <w:sz w:val="32"/>
          <w:szCs w:val="32"/>
          <w:highlight w:val="none"/>
          <w:lang w:val="en-US" w:eastAsia="zh"/>
        </w:rPr>
        <w:t>认真落实中央、省、州纪委全会部署安排，积极主动围绕中心</w:t>
      </w:r>
      <w:r>
        <w:rPr>
          <w:rFonts w:hint="default" w:ascii="Times New Roman" w:hAnsi="Times New Roman" w:eastAsia="方正仿宋_GB2312" w:cs="Times New Roman"/>
          <w:color w:val="auto"/>
          <w:sz w:val="32"/>
          <w:szCs w:val="32"/>
          <w:highlight w:val="none"/>
          <w:lang w:val="en-US" w:eastAsia="zh-CN"/>
        </w:rPr>
        <w:t>、</w:t>
      </w:r>
      <w:r>
        <w:rPr>
          <w:rFonts w:hint="default" w:ascii="Times New Roman" w:hAnsi="Times New Roman" w:eastAsia="方正仿宋_GB2312" w:cs="Times New Roman"/>
          <w:color w:val="auto"/>
          <w:sz w:val="32"/>
          <w:szCs w:val="32"/>
          <w:highlight w:val="none"/>
          <w:lang w:val="en-US" w:eastAsia="zh"/>
        </w:rPr>
        <w:t>服务大局，坚定不移正风肃纪反腐，扎实推进主题教育和教育整顿</w:t>
      </w:r>
      <w:r>
        <w:rPr>
          <w:rFonts w:hint="default" w:ascii="Times New Roman" w:hAnsi="Times New Roman" w:eastAsia="方正仿宋_GB2312" w:cs="Times New Roman"/>
          <w:color w:val="auto"/>
          <w:sz w:val="32"/>
          <w:szCs w:val="32"/>
          <w:highlight w:val="none"/>
          <w:lang w:val="en-US" w:eastAsia="zh-CN"/>
        </w:rPr>
        <w:t>。通过评价组对县综合执法局进行事后评价，最终县综合执法局绩效等级为“优”。秉承科学公正、统筹兼顾、激励约束和公开透明财政绩效原则。我局建议泸定县财政局针对部门预算绩效管理，进一步要求县综合执法局完善绩效目标编制、提高绩效自评质量、加强年初预算编制准确性。</w:t>
      </w:r>
    </w:p>
    <w:p w14:paraId="0651BF79">
      <w:pPr>
        <w:keepNext w:val="0"/>
        <w:keepLines w:val="0"/>
        <w:pageBreakBefore w:val="0"/>
        <w:kinsoku/>
        <w:wordWrap/>
        <w:overflowPunct/>
        <w:topLinePunct w:val="0"/>
        <w:autoSpaceDE/>
        <w:autoSpaceDN/>
        <w:bidi w:val="0"/>
        <w:spacing w:line="600" w:lineRule="exact"/>
        <w:ind w:left="0" w:leftChars="0" w:right="0" w:rightChars="0" w:firstLine="560"/>
        <w:outlineLvl w:val="1"/>
        <w:rPr>
          <w:rFonts w:hint="default" w:ascii="Times New Roman" w:hAnsi="Times New Roman" w:eastAsia="方正楷体简体" w:cs="Times New Roman"/>
          <w:color w:val="auto"/>
          <w:kern w:val="2"/>
          <w:sz w:val="32"/>
          <w:szCs w:val="32"/>
          <w:highlight w:val="none"/>
          <w:shd w:val="clear"/>
          <w:lang w:val="en-US" w:eastAsia="zh-CN"/>
        </w:rPr>
      </w:pPr>
      <w:bookmarkStart w:id="129" w:name="_Toc11390"/>
      <w:bookmarkStart w:id="130" w:name="_Toc6100"/>
      <w:bookmarkStart w:id="131" w:name="_Toc26977"/>
      <w:r>
        <w:rPr>
          <w:rFonts w:hint="default" w:ascii="Times New Roman" w:hAnsi="Times New Roman" w:eastAsia="方正楷体简体" w:cs="Times New Roman"/>
          <w:color w:val="auto"/>
          <w:kern w:val="2"/>
          <w:sz w:val="32"/>
          <w:szCs w:val="32"/>
          <w:highlight w:val="none"/>
          <w:shd w:val="clear"/>
          <w:lang w:val="en-US" w:eastAsia="zh-CN"/>
        </w:rPr>
        <w:t>（四）</w:t>
      </w:r>
      <w:bookmarkEnd w:id="122"/>
      <w:bookmarkEnd w:id="123"/>
      <w:bookmarkEnd w:id="124"/>
      <w:bookmarkEnd w:id="125"/>
      <w:r>
        <w:rPr>
          <w:rFonts w:hint="default" w:ascii="Times New Roman" w:hAnsi="Times New Roman" w:eastAsia="方正楷体简体" w:cs="Times New Roman"/>
          <w:color w:val="auto"/>
          <w:kern w:val="2"/>
          <w:sz w:val="32"/>
          <w:szCs w:val="32"/>
          <w:highlight w:val="none"/>
          <w:shd w:val="clear"/>
          <w:lang w:val="en-US" w:eastAsia="zh-CN"/>
        </w:rPr>
        <w:t>评价分析</w:t>
      </w:r>
      <w:bookmarkEnd w:id="126"/>
      <w:bookmarkEnd w:id="127"/>
      <w:bookmarkEnd w:id="128"/>
      <w:bookmarkEnd w:id="129"/>
      <w:bookmarkEnd w:id="130"/>
      <w:bookmarkEnd w:id="131"/>
    </w:p>
    <w:p w14:paraId="6BF6F19C">
      <w:pPr>
        <w:keepNext w:val="0"/>
        <w:keepLines w:val="0"/>
        <w:pageBreakBefore w:val="0"/>
        <w:kinsoku/>
        <w:wordWrap/>
        <w:overflowPunct/>
        <w:topLinePunct w:val="0"/>
        <w:autoSpaceDE/>
        <w:autoSpaceDN/>
        <w:bidi w:val="0"/>
        <w:spacing w:line="600" w:lineRule="exact"/>
        <w:ind w:left="0" w:firstLine="560"/>
        <w:outlineLvl w:val="1"/>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1.部门预算总体绩效管理情况</w:t>
      </w:r>
    </w:p>
    <w:p w14:paraId="18E76880">
      <w:pPr>
        <w:keepNext w:val="0"/>
        <w:keepLines w:val="0"/>
        <w:pageBreakBefore w:val="0"/>
        <w:kinsoku/>
        <w:wordWrap/>
        <w:overflowPunct/>
        <w:topLinePunct w:val="0"/>
        <w:autoSpaceDE/>
        <w:autoSpaceDN/>
        <w:bidi w:val="0"/>
        <w:spacing w:line="600" w:lineRule="exact"/>
        <w:ind w:left="0" w:firstLine="560"/>
        <w:outlineLvl w:val="1"/>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（1）目标管理</w:t>
      </w:r>
    </w:p>
    <w:p w14:paraId="14F83EDD">
      <w:pPr>
        <w:keepNext w:val="0"/>
        <w:keepLines w:val="0"/>
        <w:pageBreakBefore w:val="0"/>
        <w:kinsoku/>
        <w:wordWrap/>
        <w:overflowPunct/>
        <w:topLinePunct w:val="0"/>
        <w:autoSpaceDE/>
        <w:autoSpaceDN/>
        <w:bidi w:val="0"/>
        <w:spacing w:line="600" w:lineRule="exact"/>
        <w:ind w:left="0" w:firstLine="560"/>
        <w:outlineLvl w:val="1"/>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二级指标“目标管理”下设两个三级指标分别为：目标制定、目标实现。</w:t>
      </w:r>
    </w:p>
    <w:p w14:paraId="5852C135">
      <w:pPr>
        <w:keepNext w:val="0"/>
        <w:keepLines w:val="0"/>
        <w:pageBreakBefore w:val="0"/>
        <w:kinsoku/>
        <w:wordWrap/>
        <w:overflowPunct/>
        <w:topLinePunct w:val="0"/>
        <w:autoSpaceDE/>
        <w:autoSpaceDN/>
        <w:bidi w:val="0"/>
        <w:spacing w:line="600" w:lineRule="exact"/>
        <w:ind w:left="0" w:firstLine="560"/>
        <w:outlineLvl w:val="1"/>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①目标制定</w:t>
      </w:r>
    </w:p>
    <w:p w14:paraId="4059A897">
      <w:pPr>
        <w:keepNext w:val="0"/>
        <w:keepLines w:val="0"/>
        <w:pageBreakBefore w:val="0"/>
        <w:kinsoku/>
        <w:wordWrap/>
        <w:overflowPunct/>
        <w:topLinePunct w:val="0"/>
        <w:autoSpaceDE/>
        <w:autoSpaceDN/>
        <w:bidi w:val="0"/>
        <w:spacing w:line="600" w:lineRule="exact"/>
        <w:ind w:left="0" w:firstLine="560"/>
        <w:outlineLvl w:val="1"/>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根据县综合执法局在泸定县人民政府门户网站公开的2024年度部门预算和绩效目标，制定了年度部门及项目整体支出绩效目标，绩效目标涵盖数量、质量、时效、效益等指标，但存在整体绩效目标不够细化、指标设置不规范、不明确、指标要素不完整等情况。扣除2.00分。</w:t>
      </w:r>
    </w:p>
    <w:p w14:paraId="4392A5A9">
      <w:pPr>
        <w:keepNext w:val="0"/>
        <w:keepLines w:val="0"/>
        <w:pageBreakBefore w:val="0"/>
        <w:kinsoku/>
        <w:wordWrap/>
        <w:overflowPunct/>
        <w:topLinePunct w:val="0"/>
        <w:autoSpaceDE/>
        <w:autoSpaceDN/>
        <w:bidi w:val="0"/>
        <w:spacing w:line="600" w:lineRule="exact"/>
        <w:ind w:left="0" w:firstLine="560"/>
        <w:outlineLvl w:val="1"/>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本项分值为10.00分，扣2.00分，得分为8.00分。</w:t>
      </w:r>
    </w:p>
    <w:p w14:paraId="051439E4">
      <w:pPr>
        <w:keepNext w:val="0"/>
        <w:keepLines w:val="0"/>
        <w:pageBreakBefore w:val="0"/>
        <w:kinsoku/>
        <w:wordWrap/>
        <w:overflowPunct/>
        <w:topLinePunct w:val="0"/>
        <w:autoSpaceDE/>
        <w:autoSpaceDN/>
        <w:bidi w:val="0"/>
        <w:spacing w:line="600" w:lineRule="exact"/>
        <w:ind w:left="0" w:firstLine="560"/>
        <w:outlineLvl w:val="1"/>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②目标实现</w:t>
      </w:r>
    </w:p>
    <w:p w14:paraId="692F37BD">
      <w:pPr>
        <w:keepNext w:val="0"/>
        <w:keepLines w:val="0"/>
        <w:pageBreakBefore w:val="0"/>
        <w:kinsoku/>
        <w:wordWrap/>
        <w:overflowPunct/>
        <w:topLinePunct w:val="0"/>
        <w:autoSpaceDE/>
        <w:autoSpaceDN/>
        <w:bidi w:val="0"/>
        <w:spacing w:line="600" w:lineRule="exact"/>
        <w:ind w:left="0" w:firstLine="560"/>
        <w:outlineLvl w:val="1"/>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根据县综合执法局提供的2024年度年初预算项目绩效目标申报表及项目完成资料，县综合执法局整体涉及2个数量指标、2个质量指标、2个时效指标、2个成本指标、1个社会效益指标、1个经济效益指标、1个生态效益指标、1个可持续影响指标、1个满意度指标。根据现场评价情况，实际完成2个数量指标，完成率100%；实际完成2个成本指标，完成率100%。</w:t>
      </w:r>
    </w:p>
    <w:p w14:paraId="35DC9D77">
      <w:pPr>
        <w:keepNext w:val="0"/>
        <w:keepLines w:val="0"/>
        <w:pageBreakBefore w:val="0"/>
        <w:kinsoku/>
        <w:wordWrap/>
        <w:overflowPunct/>
        <w:topLinePunct w:val="0"/>
        <w:autoSpaceDE/>
        <w:autoSpaceDN/>
        <w:bidi w:val="0"/>
        <w:spacing w:line="600" w:lineRule="exact"/>
        <w:ind w:left="0" w:firstLine="560"/>
        <w:outlineLvl w:val="1"/>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本项分值为5.00分，扣0.00分，得分为5.00分。</w:t>
      </w:r>
    </w:p>
    <w:p w14:paraId="07A84896">
      <w:pPr>
        <w:keepNext w:val="0"/>
        <w:keepLines w:val="0"/>
        <w:pageBreakBefore w:val="0"/>
        <w:kinsoku/>
        <w:wordWrap/>
        <w:overflowPunct/>
        <w:topLinePunct w:val="0"/>
        <w:autoSpaceDE/>
        <w:autoSpaceDN/>
        <w:bidi w:val="0"/>
        <w:spacing w:line="600" w:lineRule="exact"/>
        <w:ind w:left="0" w:firstLine="560"/>
        <w:outlineLvl w:val="1"/>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（2）过程控制</w:t>
      </w:r>
    </w:p>
    <w:p w14:paraId="51D011BB">
      <w:pPr>
        <w:keepNext w:val="0"/>
        <w:keepLines w:val="0"/>
        <w:pageBreakBefore w:val="0"/>
        <w:kinsoku/>
        <w:wordWrap/>
        <w:overflowPunct/>
        <w:topLinePunct w:val="0"/>
        <w:autoSpaceDE/>
        <w:autoSpaceDN/>
        <w:bidi w:val="0"/>
        <w:spacing w:line="600" w:lineRule="exact"/>
        <w:ind w:left="0" w:firstLine="560"/>
        <w:outlineLvl w:val="1"/>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二级指标“过程控制”下设三个三级指标分别为：执行进度、同步调整、及时处置。</w:t>
      </w:r>
    </w:p>
    <w:p w14:paraId="2AC6A60C">
      <w:pPr>
        <w:keepNext w:val="0"/>
        <w:keepLines w:val="0"/>
        <w:pageBreakBefore w:val="0"/>
        <w:kinsoku/>
        <w:wordWrap/>
        <w:overflowPunct/>
        <w:topLinePunct w:val="0"/>
        <w:autoSpaceDE/>
        <w:autoSpaceDN/>
        <w:bidi w:val="0"/>
        <w:spacing w:line="600" w:lineRule="exact"/>
        <w:ind w:left="0" w:firstLine="560"/>
        <w:outlineLvl w:val="1"/>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①执行进度</w:t>
      </w:r>
    </w:p>
    <w:p w14:paraId="507D1927">
      <w:pPr>
        <w:keepNext w:val="0"/>
        <w:keepLines w:val="0"/>
        <w:pageBreakBefore w:val="0"/>
        <w:kinsoku/>
        <w:wordWrap/>
        <w:overflowPunct/>
        <w:topLinePunct w:val="0"/>
        <w:autoSpaceDE/>
        <w:autoSpaceDN/>
        <w:bidi w:val="0"/>
        <w:spacing w:line="600" w:lineRule="exact"/>
        <w:ind w:left="0" w:firstLine="560"/>
        <w:outlineLvl w:val="1"/>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根据《2025年泸定县部门整体支出绩效评价指标体系》，部门预算执行进度在6、9、11月应达到序时进度的80%、90%、90%，即实际支出进度分别达到40%、67.5%、82.5%。</w:t>
      </w:r>
    </w:p>
    <w:p w14:paraId="69161266">
      <w:pPr>
        <w:keepNext w:val="0"/>
        <w:keepLines w:val="0"/>
        <w:pageBreakBefore w:val="0"/>
        <w:kinsoku/>
        <w:wordWrap/>
        <w:overflowPunct/>
        <w:topLinePunct w:val="0"/>
        <w:autoSpaceDE/>
        <w:autoSpaceDN/>
        <w:bidi w:val="0"/>
        <w:spacing w:line="600" w:lineRule="exact"/>
        <w:ind w:left="0" w:firstLine="560"/>
        <w:outlineLvl w:val="1"/>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根据被评价单位提供的1-6月、1-9月、1-11月可执行指标执行情况表显示，2024年县综合执法局1—6月预算数2,926.24万元，实际执行数1,550.34万元，进度为52.98%；1—9月预算数2,949.00万元，实际执行数2,294.03万元，进度为77.79%；1—11月预算数2,994.89万元，实际执行数2,912.47万元，进度为97.25%。</w:t>
      </w:r>
    </w:p>
    <w:p w14:paraId="453EC0F7">
      <w:pPr>
        <w:keepNext w:val="0"/>
        <w:keepLines w:val="0"/>
        <w:pageBreakBefore w:val="0"/>
        <w:kinsoku/>
        <w:wordWrap/>
        <w:overflowPunct/>
        <w:topLinePunct w:val="0"/>
        <w:autoSpaceDE/>
        <w:autoSpaceDN/>
        <w:bidi w:val="0"/>
        <w:spacing w:line="600" w:lineRule="exact"/>
        <w:ind w:left="0" w:firstLine="560"/>
        <w:outlineLvl w:val="1"/>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上述三个阶段中，根据可执行指标执行情况表被评价单位1-6月、1-9月、1-11月实际支出进度均已达到目标进度。</w:t>
      </w:r>
    </w:p>
    <w:p w14:paraId="51F3DF05">
      <w:pPr>
        <w:keepNext w:val="0"/>
        <w:keepLines w:val="0"/>
        <w:pageBreakBefore w:val="0"/>
        <w:kinsoku/>
        <w:wordWrap/>
        <w:overflowPunct/>
        <w:topLinePunct w:val="0"/>
        <w:autoSpaceDE/>
        <w:autoSpaceDN/>
        <w:bidi w:val="0"/>
        <w:spacing w:line="600" w:lineRule="exact"/>
        <w:ind w:left="0" w:firstLine="560"/>
        <w:outlineLvl w:val="1"/>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本项分值为4.00分，扣0.00分，得分为4.00分。</w:t>
      </w:r>
    </w:p>
    <w:p w14:paraId="22956C49">
      <w:pPr>
        <w:keepNext w:val="0"/>
        <w:keepLines w:val="0"/>
        <w:pageBreakBefore w:val="0"/>
        <w:kinsoku/>
        <w:wordWrap/>
        <w:overflowPunct/>
        <w:topLinePunct w:val="0"/>
        <w:autoSpaceDE/>
        <w:autoSpaceDN/>
        <w:bidi w:val="0"/>
        <w:spacing w:line="600" w:lineRule="exact"/>
        <w:ind w:left="0" w:firstLine="560"/>
        <w:outlineLvl w:val="1"/>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②同步调整</w:t>
      </w:r>
    </w:p>
    <w:p w14:paraId="6C6EECA3">
      <w:pPr>
        <w:keepNext w:val="0"/>
        <w:keepLines w:val="0"/>
        <w:pageBreakBefore w:val="0"/>
        <w:kinsoku/>
        <w:wordWrap/>
        <w:overflowPunct/>
        <w:topLinePunct w:val="0"/>
        <w:autoSpaceDE/>
        <w:autoSpaceDN/>
        <w:bidi w:val="0"/>
        <w:spacing w:line="600" w:lineRule="exact"/>
        <w:ind w:left="0" w:firstLine="560"/>
        <w:outlineLvl w:val="1"/>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2024年县综合执法局预算项目12个，根据被评价单位提供的可执行指标执行情况表，预算调整项目3个，均随预算调整同步完成绩效目标调整。</w:t>
      </w:r>
    </w:p>
    <w:p w14:paraId="67B9BB74">
      <w:pPr>
        <w:keepNext w:val="0"/>
        <w:keepLines w:val="0"/>
        <w:pageBreakBefore w:val="0"/>
        <w:kinsoku/>
        <w:wordWrap/>
        <w:overflowPunct/>
        <w:topLinePunct w:val="0"/>
        <w:autoSpaceDE/>
        <w:autoSpaceDN/>
        <w:bidi w:val="0"/>
        <w:spacing w:line="600" w:lineRule="exact"/>
        <w:ind w:left="0" w:firstLine="560"/>
        <w:outlineLvl w:val="1"/>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本项分值为3.00分，扣0.00分，得分为3.00分。</w:t>
      </w:r>
    </w:p>
    <w:p w14:paraId="2756E4FE">
      <w:pPr>
        <w:keepNext w:val="0"/>
        <w:keepLines w:val="0"/>
        <w:pageBreakBefore w:val="0"/>
        <w:kinsoku/>
        <w:wordWrap/>
        <w:overflowPunct/>
        <w:topLinePunct w:val="0"/>
        <w:autoSpaceDE/>
        <w:autoSpaceDN/>
        <w:bidi w:val="0"/>
        <w:spacing w:line="600" w:lineRule="exact"/>
        <w:ind w:left="0" w:firstLine="560"/>
        <w:outlineLvl w:val="1"/>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③及时处置</w:t>
      </w:r>
    </w:p>
    <w:p w14:paraId="7D6D2538">
      <w:pPr>
        <w:keepNext w:val="0"/>
        <w:keepLines w:val="0"/>
        <w:pageBreakBefore w:val="0"/>
        <w:kinsoku/>
        <w:wordWrap/>
        <w:overflowPunct/>
        <w:topLinePunct w:val="0"/>
        <w:autoSpaceDE/>
        <w:autoSpaceDN/>
        <w:bidi w:val="0"/>
        <w:spacing w:line="600" w:lineRule="exact"/>
        <w:ind w:left="0" w:firstLine="560"/>
        <w:outlineLvl w:val="1"/>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 xml:space="preserve">2024年县综合执法局自行开展了绩效运行监控，并出具了《泸定县综合行政执法局部门绩效运行监控分析报告》，主要发现在专项支出方面存在实际支出与预算数存在一定偏差的问题，导致个别项目支出进展缓慢，一般年底拨付进度较大；未提出预算收回、调整处置意见。                       </w:t>
      </w:r>
    </w:p>
    <w:p w14:paraId="3F0CF77E">
      <w:pPr>
        <w:keepNext w:val="0"/>
        <w:keepLines w:val="0"/>
        <w:pageBreakBefore w:val="0"/>
        <w:kinsoku/>
        <w:wordWrap/>
        <w:overflowPunct/>
        <w:topLinePunct w:val="0"/>
        <w:autoSpaceDE/>
        <w:autoSpaceDN/>
        <w:bidi w:val="0"/>
        <w:spacing w:line="600" w:lineRule="exact"/>
        <w:ind w:left="0" w:firstLine="560"/>
        <w:outlineLvl w:val="1"/>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本项分值为3.00分，扣0.00分，得分为3.00分。</w:t>
      </w:r>
    </w:p>
    <w:p w14:paraId="28F3F602">
      <w:pPr>
        <w:keepNext w:val="0"/>
        <w:keepLines w:val="0"/>
        <w:pageBreakBefore w:val="0"/>
        <w:kinsoku/>
        <w:wordWrap/>
        <w:overflowPunct/>
        <w:topLinePunct w:val="0"/>
        <w:autoSpaceDE/>
        <w:autoSpaceDN/>
        <w:bidi w:val="0"/>
        <w:spacing w:line="600" w:lineRule="exact"/>
        <w:ind w:left="0" w:firstLine="560"/>
        <w:outlineLvl w:val="1"/>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（3）完成效率</w:t>
      </w:r>
    </w:p>
    <w:p w14:paraId="6AD9472A">
      <w:pPr>
        <w:keepNext w:val="0"/>
        <w:keepLines w:val="0"/>
        <w:pageBreakBefore w:val="0"/>
        <w:kinsoku/>
        <w:wordWrap/>
        <w:overflowPunct/>
        <w:topLinePunct w:val="0"/>
        <w:autoSpaceDE/>
        <w:autoSpaceDN/>
        <w:bidi w:val="0"/>
        <w:spacing w:line="600" w:lineRule="exact"/>
        <w:ind w:left="0" w:firstLine="560"/>
        <w:outlineLvl w:val="1"/>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二级指标“完成效率”下设一个三级指标为：预算结余率。</w:t>
      </w:r>
    </w:p>
    <w:p w14:paraId="73B5FAFD">
      <w:pPr>
        <w:keepNext w:val="0"/>
        <w:keepLines w:val="0"/>
        <w:pageBreakBefore w:val="0"/>
        <w:kinsoku/>
        <w:wordWrap/>
        <w:overflowPunct/>
        <w:topLinePunct w:val="0"/>
        <w:autoSpaceDE/>
        <w:autoSpaceDN/>
        <w:bidi w:val="0"/>
        <w:spacing w:line="600" w:lineRule="exact"/>
        <w:ind w:left="0" w:firstLine="560"/>
        <w:outlineLvl w:val="1"/>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根据县综合执法局2024年度决算报表与可执行指标执行情况表被评价单位2024年度预算项目共计12个，部门预算项目资金结余率小于10%有10个，大于10%有2个。</w:t>
      </w:r>
    </w:p>
    <w:p w14:paraId="4A928BD9">
      <w:pPr>
        <w:keepNext w:val="0"/>
        <w:keepLines w:val="0"/>
        <w:pageBreakBefore w:val="0"/>
        <w:kinsoku/>
        <w:wordWrap/>
        <w:overflowPunct/>
        <w:topLinePunct w:val="0"/>
        <w:autoSpaceDE/>
        <w:autoSpaceDN/>
        <w:bidi w:val="0"/>
        <w:spacing w:line="600" w:lineRule="exact"/>
        <w:ind w:left="0" w:firstLine="560"/>
        <w:outlineLvl w:val="1"/>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本项分值为5.00分，扣0.83分，得分为4.17分。</w:t>
      </w:r>
    </w:p>
    <w:p w14:paraId="38BE5EDF">
      <w:pPr>
        <w:keepNext w:val="0"/>
        <w:keepLines w:val="0"/>
        <w:pageBreakBefore w:val="0"/>
        <w:kinsoku/>
        <w:wordWrap/>
        <w:overflowPunct/>
        <w:topLinePunct w:val="0"/>
        <w:autoSpaceDE/>
        <w:autoSpaceDN/>
        <w:bidi w:val="0"/>
        <w:spacing w:line="600" w:lineRule="exact"/>
        <w:ind w:left="0" w:firstLine="560"/>
        <w:outlineLvl w:val="1"/>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2.部门预算项目绩效管理情况</w:t>
      </w:r>
    </w:p>
    <w:p w14:paraId="5AC66852">
      <w:pPr>
        <w:keepNext w:val="0"/>
        <w:keepLines w:val="0"/>
        <w:pageBreakBefore w:val="0"/>
        <w:kinsoku/>
        <w:wordWrap/>
        <w:overflowPunct/>
        <w:topLinePunct w:val="0"/>
        <w:autoSpaceDE/>
        <w:autoSpaceDN/>
        <w:bidi w:val="0"/>
        <w:spacing w:line="600" w:lineRule="exact"/>
        <w:ind w:left="0" w:firstLine="560"/>
        <w:outlineLvl w:val="1"/>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（1）完成效果</w:t>
      </w:r>
    </w:p>
    <w:p w14:paraId="2B68E035">
      <w:pPr>
        <w:keepNext w:val="0"/>
        <w:keepLines w:val="0"/>
        <w:pageBreakBefore w:val="0"/>
        <w:kinsoku/>
        <w:wordWrap/>
        <w:overflowPunct/>
        <w:topLinePunct w:val="0"/>
        <w:autoSpaceDE/>
        <w:autoSpaceDN/>
        <w:bidi w:val="0"/>
        <w:spacing w:line="600" w:lineRule="exact"/>
        <w:ind w:left="0" w:firstLine="560"/>
        <w:outlineLvl w:val="1"/>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二级指标“完成效果”下设一个三级指标为实施效果。</w:t>
      </w:r>
    </w:p>
    <w:p w14:paraId="37D66CB3">
      <w:pPr>
        <w:keepNext w:val="0"/>
        <w:keepLines w:val="0"/>
        <w:pageBreakBefore w:val="0"/>
        <w:kinsoku/>
        <w:wordWrap/>
        <w:overflowPunct/>
        <w:topLinePunct w:val="0"/>
        <w:autoSpaceDE/>
        <w:autoSpaceDN/>
        <w:bidi w:val="0"/>
        <w:spacing w:line="600" w:lineRule="exact"/>
        <w:ind w:left="0" w:firstLine="560"/>
        <w:outlineLvl w:val="1"/>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2024年县综合执法局部门预算项目共12个，涉及预算资金2,168.86万元，评价组抽取项目的绩效评价指标体系均采用《2025年泸定县部门整体支出绩效评价指标体系》，抽取的项目为泸定县城区绿化维护管理费用、城市基础设施维护费，抽取项目预算资金602.00万元。经评价小组复核评分，抽查的预算项目平均得分91.25分。</w:t>
      </w:r>
    </w:p>
    <w:p w14:paraId="4ADF518D">
      <w:pPr>
        <w:keepNext w:val="0"/>
        <w:keepLines w:val="0"/>
        <w:pageBreakBefore w:val="0"/>
        <w:kinsoku/>
        <w:wordWrap/>
        <w:overflowPunct/>
        <w:topLinePunct w:val="0"/>
        <w:autoSpaceDE/>
        <w:autoSpaceDN/>
        <w:bidi w:val="0"/>
        <w:spacing w:line="600" w:lineRule="exact"/>
        <w:ind w:left="0" w:firstLine="560"/>
        <w:outlineLvl w:val="1"/>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本项分值为20.00分，扣1.75分，得分为18.25分。</w:t>
      </w:r>
    </w:p>
    <w:p w14:paraId="3B1C687A">
      <w:pPr>
        <w:keepNext w:val="0"/>
        <w:keepLines w:val="0"/>
        <w:pageBreakBefore w:val="0"/>
        <w:kinsoku/>
        <w:wordWrap/>
        <w:overflowPunct/>
        <w:topLinePunct w:val="0"/>
        <w:autoSpaceDE/>
        <w:autoSpaceDN/>
        <w:bidi w:val="0"/>
        <w:spacing w:line="600" w:lineRule="exact"/>
        <w:ind w:left="0" w:firstLine="560"/>
        <w:outlineLvl w:val="1"/>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3.专项预算绩效管理情况</w:t>
      </w:r>
    </w:p>
    <w:p w14:paraId="19A5BE0D">
      <w:pPr>
        <w:keepNext w:val="0"/>
        <w:keepLines w:val="0"/>
        <w:pageBreakBefore w:val="0"/>
        <w:kinsoku/>
        <w:wordWrap/>
        <w:overflowPunct/>
        <w:topLinePunct w:val="0"/>
        <w:autoSpaceDE/>
        <w:autoSpaceDN/>
        <w:bidi w:val="0"/>
        <w:spacing w:line="600" w:lineRule="exact"/>
        <w:ind w:left="0" w:firstLine="560"/>
        <w:outlineLvl w:val="1"/>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（1）整体完成</w:t>
      </w:r>
    </w:p>
    <w:p w14:paraId="1B9DC6F4">
      <w:pPr>
        <w:keepNext w:val="0"/>
        <w:keepLines w:val="0"/>
        <w:pageBreakBefore w:val="0"/>
        <w:kinsoku/>
        <w:wordWrap/>
        <w:overflowPunct/>
        <w:topLinePunct w:val="0"/>
        <w:autoSpaceDE/>
        <w:autoSpaceDN/>
        <w:bidi w:val="0"/>
        <w:spacing w:line="600" w:lineRule="exact"/>
        <w:ind w:left="0" w:firstLine="560"/>
        <w:outlineLvl w:val="1"/>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二级指标“整体完成”下设一个三级指标为：完成率。</w:t>
      </w:r>
    </w:p>
    <w:p w14:paraId="7C2923AF">
      <w:pPr>
        <w:keepNext w:val="0"/>
        <w:keepLines w:val="0"/>
        <w:pageBreakBefore w:val="0"/>
        <w:kinsoku/>
        <w:wordWrap/>
        <w:overflowPunct/>
        <w:topLinePunct w:val="0"/>
        <w:autoSpaceDE/>
        <w:autoSpaceDN/>
        <w:bidi w:val="0"/>
        <w:spacing w:line="600" w:lineRule="exact"/>
        <w:ind w:left="0" w:firstLine="560"/>
        <w:outlineLvl w:val="1"/>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2024年，县综合执法局专项预算项目12个，评价组抽取专项预算项目3个，抽取项目预算资金282.75万元，抽取项目为“海螺沟垃圾填埋场渗滤液处理系统、在线监测系统运行维护服务”、抢险费、“8·3”泥石流自然灾害次生地质灾害应急处置项目。经评价小组复核评分，抽查的预算项目平均得分89.33分。</w:t>
      </w:r>
    </w:p>
    <w:p w14:paraId="7C50EB7D">
      <w:pPr>
        <w:keepNext w:val="0"/>
        <w:keepLines w:val="0"/>
        <w:pageBreakBefore w:val="0"/>
        <w:kinsoku/>
        <w:wordWrap/>
        <w:overflowPunct/>
        <w:topLinePunct w:val="0"/>
        <w:autoSpaceDE/>
        <w:autoSpaceDN/>
        <w:bidi w:val="0"/>
        <w:spacing w:line="600" w:lineRule="exact"/>
        <w:ind w:left="0" w:firstLine="560"/>
        <w:outlineLvl w:val="1"/>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本项分值为30.00分，扣3.20分，得分为26.80分。</w:t>
      </w:r>
    </w:p>
    <w:p w14:paraId="6B552CA4">
      <w:pPr>
        <w:keepNext w:val="0"/>
        <w:keepLines w:val="0"/>
        <w:pageBreakBefore w:val="0"/>
        <w:kinsoku/>
        <w:wordWrap/>
        <w:overflowPunct/>
        <w:topLinePunct w:val="0"/>
        <w:autoSpaceDE/>
        <w:autoSpaceDN/>
        <w:bidi w:val="0"/>
        <w:spacing w:line="600" w:lineRule="exact"/>
        <w:ind w:left="0" w:firstLine="560"/>
        <w:outlineLvl w:val="1"/>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4.绩效结果应用</w:t>
      </w:r>
    </w:p>
    <w:p w14:paraId="0AF25A09">
      <w:pPr>
        <w:keepNext w:val="0"/>
        <w:keepLines w:val="0"/>
        <w:pageBreakBefore w:val="0"/>
        <w:kinsoku/>
        <w:wordWrap/>
        <w:overflowPunct/>
        <w:topLinePunct w:val="0"/>
        <w:autoSpaceDE/>
        <w:autoSpaceDN/>
        <w:bidi w:val="0"/>
        <w:spacing w:line="600" w:lineRule="exact"/>
        <w:ind w:left="0" w:firstLine="560"/>
        <w:outlineLvl w:val="1"/>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（1）内部应用</w:t>
      </w:r>
    </w:p>
    <w:p w14:paraId="1C81E90C">
      <w:pPr>
        <w:keepNext w:val="0"/>
        <w:keepLines w:val="0"/>
        <w:pageBreakBefore w:val="0"/>
        <w:kinsoku/>
        <w:wordWrap/>
        <w:overflowPunct/>
        <w:topLinePunct w:val="0"/>
        <w:autoSpaceDE/>
        <w:autoSpaceDN/>
        <w:bidi w:val="0"/>
        <w:spacing w:line="600" w:lineRule="exact"/>
        <w:ind w:left="0" w:firstLine="560"/>
        <w:outlineLvl w:val="1"/>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二级指标“内部应用”下设一个三级指标为：预算挂钩。</w:t>
      </w:r>
    </w:p>
    <w:p w14:paraId="45E97E47">
      <w:pPr>
        <w:keepNext w:val="0"/>
        <w:keepLines w:val="0"/>
        <w:pageBreakBefore w:val="0"/>
        <w:kinsoku/>
        <w:wordWrap/>
        <w:overflowPunct/>
        <w:topLinePunct w:val="0"/>
        <w:autoSpaceDE/>
        <w:autoSpaceDN/>
        <w:bidi w:val="0"/>
        <w:spacing w:line="600" w:lineRule="exact"/>
        <w:ind w:left="0" w:firstLine="560"/>
        <w:outlineLvl w:val="1"/>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截至评价日，县综合执法局已制定《内部控制规范建设制度汇编》，包含《预算管理制度》《收支管理制度》等制度，但单位绩效管理情况未纳入内部考核体系且内部绩效结果未与预算挂钩。</w:t>
      </w:r>
    </w:p>
    <w:p w14:paraId="26F62B8E">
      <w:pPr>
        <w:keepNext w:val="0"/>
        <w:keepLines w:val="0"/>
        <w:pageBreakBefore w:val="0"/>
        <w:kinsoku/>
        <w:wordWrap/>
        <w:overflowPunct/>
        <w:topLinePunct w:val="0"/>
        <w:autoSpaceDE/>
        <w:autoSpaceDN/>
        <w:bidi w:val="0"/>
        <w:spacing w:line="600" w:lineRule="exact"/>
        <w:ind w:left="0" w:firstLine="560"/>
        <w:outlineLvl w:val="1"/>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本项分值为4.00分，扣2.00分，得分为2.00分。</w:t>
      </w:r>
    </w:p>
    <w:p w14:paraId="3DFC40C8">
      <w:pPr>
        <w:keepNext w:val="0"/>
        <w:keepLines w:val="0"/>
        <w:pageBreakBefore w:val="0"/>
        <w:kinsoku/>
        <w:wordWrap/>
        <w:overflowPunct/>
        <w:topLinePunct w:val="0"/>
        <w:autoSpaceDE/>
        <w:autoSpaceDN/>
        <w:bidi w:val="0"/>
        <w:spacing w:line="600" w:lineRule="exact"/>
        <w:ind w:left="0" w:firstLine="560"/>
        <w:outlineLvl w:val="1"/>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（2）信息公开</w:t>
      </w:r>
    </w:p>
    <w:p w14:paraId="02CEE864">
      <w:pPr>
        <w:keepNext w:val="0"/>
        <w:keepLines w:val="0"/>
        <w:pageBreakBefore w:val="0"/>
        <w:kinsoku/>
        <w:wordWrap/>
        <w:overflowPunct/>
        <w:topLinePunct w:val="0"/>
        <w:autoSpaceDE/>
        <w:autoSpaceDN/>
        <w:bidi w:val="0"/>
        <w:spacing w:line="600" w:lineRule="exact"/>
        <w:ind w:left="0" w:firstLine="560"/>
        <w:outlineLvl w:val="1"/>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二级指标“信息公开”下设一个三级指标为：自评公开。</w:t>
      </w:r>
    </w:p>
    <w:p w14:paraId="0704524F">
      <w:pPr>
        <w:keepNext w:val="0"/>
        <w:keepLines w:val="0"/>
        <w:pageBreakBefore w:val="0"/>
        <w:kinsoku/>
        <w:wordWrap/>
        <w:overflowPunct/>
        <w:topLinePunct w:val="0"/>
        <w:autoSpaceDE/>
        <w:autoSpaceDN/>
        <w:bidi w:val="0"/>
        <w:spacing w:line="600" w:lineRule="exact"/>
        <w:ind w:left="0" w:firstLine="560"/>
        <w:outlineLvl w:val="1"/>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①预决算公开。县综合执法局于2024年11月12日在泸定县人民政府网上进行了部门预算及项目绩效目标的公开。截至评价日，代表大会常务委员会暂未召开，未对2024年泸定县决算（草案）和决算报告进行审查，故未进行2024年决算信息的公开。</w:t>
      </w:r>
    </w:p>
    <w:p w14:paraId="4A2F8C25">
      <w:pPr>
        <w:keepNext w:val="0"/>
        <w:keepLines w:val="0"/>
        <w:pageBreakBefore w:val="0"/>
        <w:kinsoku/>
        <w:wordWrap/>
        <w:overflowPunct/>
        <w:topLinePunct w:val="0"/>
        <w:autoSpaceDE/>
        <w:autoSpaceDN/>
        <w:bidi w:val="0"/>
        <w:spacing w:line="600" w:lineRule="exact"/>
        <w:ind w:left="0" w:firstLine="560"/>
        <w:outlineLvl w:val="1"/>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②绩效信息公开。截至评价日，因2024年决算信息未公开，即被评价单位部门整体自评报告及项目自评等相关绩效信息情况均未随决算公开。</w:t>
      </w:r>
    </w:p>
    <w:p w14:paraId="101CBC09">
      <w:pPr>
        <w:keepNext w:val="0"/>
        <w:keepLines w:val="0"/>
        <w:pageBreakBefore w:val="0"/>
        <w:kinsoku/>
        <w:wordWrap/>
        <w:overflowPunct/>
        <w:topLinePunct w:val="0"/>
        <w:autoSpaceDE/>
        <w:autoSpaceDN/>
        <w:bidi w:val="0"/>
        <w:spacing w:line="600" w:lineRule="exact"/>
        <w:ind w:left="0" w:firstLine="560"/>
        <w:outlineLvl w:val="1"/>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本项分值为4.00分，扣0.00分，得分为4.00分。</w:t>
      </w:r>
    </w:p>
    <w:p w14:paraId="6B3C2C52">
      <w:pPr>
        <w:keepNext w:val="0"/>
        <w:keepLines w:val="0"/>
        <w:pageBreakBefore w:val="0"/>
        <w:kinsoku/>
        <w:wordWrap/>
        <w:overflowPunct/>
        <w:topLinePunct w:val="0"/>
        <w:autoSpaceDE/>
        <w:autoSpaceDN/>
        <w:bidi w:val="0"/>
        <w:spacing w:line="600" w:lineRule="exact"/>
        <w:ind w:left="0" w:firstLine="560"/>
        <w:outlineLvl w:val="1"/>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（3）整改反馈</w:t>
      </w:r>
    </w:p>
    <w:p w14:paraId="23157FC1">
      <w:pPr>
        <w:keepNext w:val="0"/>
        <w:keepLines w:val="0"/>
        <w:pageBreakBefore w:val="0"/>
        <w:kinsoku/>
        <w:wordWrap/>
        <w:overflowPunct/>
        <w:topLinePunct w:val="0"/>
        <w:autoSpaceDE/>
        <w:autoSpaceDN/>
        <w:bidi w:val="0"/>
        <w:spacing w:line="600" w:lineRule="exact"/>
        <w:ind w:left="0" w:firstLine="560"/>
        <w:outlineLvl w:val="1"/>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二级指标“整改反馈”下设两个三级指标为：问题整改、应用反馈。</w:t>
      </w:r>
    </w:p>
    <w:p w14:paraId="53A4A77D">
      <w:pPr>
        <w:keepNext w:val="0"/>
        <w:keepLines w:val="0"/>
        <w:pageBreakBefore w:val="0"/>
        <w:kinsoku/>
        <w:wordWrap/>
        <w:overflowPunct/>
        <w:topLinePunct w:val="0"/>
        <w:autoSpaceDE/>
        <w:autoSpaceDN/>
        <w:bidi w:val="0"/>
        <w:spacing w:line="600" w:lineRule="exact"/>
        <w:ind w:left="0" w:firstLine="560"/>
        <w:outlineLvl w:val="1"/>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①问题整改。2024年度，县综合执法局未收到绩效目标核查、绩效重点监控和重点绩效评价等方面整改意见，无需整改。</w:t>
      </w:r>
    </w:p>
    <w:p w14:paraId="0E6FAB34">
      <w:pPr>
        <w:keepNext w:val="0"/>
        <w:keepLines w:val="0"/>
        <w:pageBreakBefore w:val="0"/>
        <w:kinsoku/>
        <w:wordWrap/>
        <w:overflowPunct/>
        <w:topLinePunct w:val="0"/>
        <w:autoSpaceDE/>
        <w:autoSpaceDN/>
        <w:bidi w:val="0"/>
        <w:spacing w:line="600" w:lineRule="exact"/>
        <w:ind w:left="0" w:firstLine="560"/>
        <w:outlineLvl w:val="1"/>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本项分值为3.00分，扣0.00分，得分为3.00分。</w:t>
      </w:r>
    </w:p>
    <w:p w14:paraId="477FA3F0">
      <w:pPr>
        <w:keepNext w:val="0"/>
        <w:keepLines w:val="0"/>
        <w:pageBreakBefore w:val="0"/>
        <w:kinsoku/>
        <w:wordWrap/>
        <w:overflowPunct/>
        <w:topLinePunct w:val="0"/>
        <w:autoSpaceDE/>
        <w:autoSpaceDN/>
        <w:bidi w:val="0"/>
        <w:spacing w:line="600" w:lineRule="exact"/>
        <w:ind w:left="0" w:firstLine="560"/>
        <w:outlineLvl w:val="1"/>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②应用反馈。2024年度，县综合执法局在规定时间内向财政部门反馈绩效结果应用报告，报告内容翔实、问题整改到位、结果应用充分。</w:t>
      </w:r>
    </w:p>
    <w:p w14:paraId="192AD229">
      <w:pPr>
        <w:keepNext w:val="0"/>
        <w:keepLines w:val="0"/>
        <w:pageBreakBefore w:val="0"/>
        <w:kinsoku/>
        <w:wordWrap/>
        <w:overflowPunct/>
        <w:topLinePunct w:val="0"/>
        <w:autoSpaceDE/>
        <w:autoSpaceDN/>
        <w:bidi w:val="0"/>
        <w:spacing w:line="600" w:lineRule="exact"/>
        <w:ind w:left="0" w:firstLine="560"/>
        <w:outlineLvl w:val="1"/>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本项分值为3.00分，扣0.00分，得分为3.00分。</w:t>
      </w:r>
    </w:p>
    <w:p w14:paraId="714DA500">
      <w:pPr>
        <w:keepNext w:val="0"/>
        <w:keepLines w:val="0"/>
        <w:pageBreakBefore w:val="0"/>
        <w:kinsoku/>
        <w:wordWrap/>
        <w:overflowPunct/>
        <w:topLinePunct w:val="0"/>
        <w:autoSpaceDE/>
        <w:autoSpaceDN/>
        <w:bidi w:val="0"/>
        <w:spacing w:line="600" w:lineRule="exact"/>
        <w:ind w:left="0" w:firstLine="560"/>
        <w:outlineLvl w:val="1"/>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5.自评质量</w:t>
      </w:r>
    </w:p>
    <w:p w14:paraId="772DA100">
      <w:pPr>
        <w:keepNext w:val="0"/>
        <w:keepLines w:val="0"/>
        <w:pageBreakBefore w:val="0"/>
        <w:kinsoku/>
        <w:wordWrap/>
        <w:overflowPunct/>
        <w:topLinePunct w:val="0"/>
        <w:autoSpaceDE/>
        <w:autoSpaceDN/>
        <w:bidi w:val="0"/>
        <w:spacing w:line="600" w:lineRule="exact"/>
        <w:ind w:left="0" w:firstLine="560"/>
        <w:outlineLvl w:val="1"/>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二级指标“自评质量”下设一个三级指标为：自评质量。</w:t>
      </w:r>
    </w:p>
    <w:p w14:paraId="4145457C">
      <w:pPr>
        <w:keepNext w:val="0"/>
        <w:keepLines w:val="0"/>
        <w:pageBreakBefore w:val="0"/>
        <w:kinsoku/>
        <w:wordWrap/>
        <w:overflowPunct/>
        <w:topLinePunct w:val="0"/>
        <w:autoSpaceDE/>
        <w:autoSpaceDN/>
        <w:bidi w:val="0"/>
        <w:spacing w:line="600" w:lineRule="exact"/>
        <w:ind w:left="0" w:firstLine="560"/>
        <w:outlineLvl w:val="1"/>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县综合执法局2024年部门整体支出绩效自评得分85分（不包括“自评质量”指标分值，满分为94分），根据现场评价情况，评价组对县综合执法局的考评得分84.22分（不包括“自评质量”指标分值，满分为94分），自评差异率0.92%，低于10.00%。</w:t>
      </w:r>
    </w:p>
    <w:p w14:paraId="62CC1504">
      <w:pPr>
        <w:keepNext w:val="0"/>
        <w:keepLines w:val="0"/>
        <w:pageBreakBefore w:val="0"/>
        <w:kinsoku/>
        <w:wordWrap/>
        <w:overflowPunct/>
        <w:topLinePunct w:val="0"/>
        <w:autoSpaceDE/>
        <w:autoSpaceDN/>
        <w:bidi w:val="0"/>
        <w:spacing w:line="600" w:lineRule="exact"/>
        <w:ind w:left="0" w:firstLine="560"/>
        <w:outlineLvl w:val="1"/>
        <w:rPr>
          <w:rFonts w:hint="default" w:ascii="Times New Roman" w:hAnsi="Times New Roman" w:eastAsia="仿宋"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本项分值为6.00分，扣0.00分，得分为6.00分。</w:t>
      </w:r>
    </w:p>
    <w:bookmarkEnd w:id="2"/>
    <w:p w14:paraId="6478B652">
      <w:pPr>
        <w:keepNext w:val="0"/>
        <w:keepLines w:val="0"/>
        <w:pageBreakBefore w:val="0"/>
        <w:kinsoku/>
        <w:wordWrap/>
        <w:overflowPunct/>
        <w:topLinePunct w:val="0"/>
        <w:autoSpaceDE/>
        <w:autoSpaceDN/>
        <w:bidi w:val="0"/>
        <w:spacing w:line="600" w:lineRule="exact"/>
        <w:ind w:left="0" w:leftChars="0" w:right="0" w:rightChars="0" w:firstLine="560"/>
        <w:outlineLvl w:val="0"/>
        <w:rPr>
          <w:rFonts w:hint="default" w:ascii="Times New Roman" w:hAnsi="Times New Roman" w:eastAsia="方正黑体简体" w:cs="Times New Roman"/>
          <w:color w:val="auto"/>
          <w:kern w:val="0"/>
          <w:sz w:val="32"/>
          <w:szCs w:val="32"/>
          <w:highlight w:val="none"/>
          <w:shd w:val="clear" w:color="auto" w:fill="FFFFFF"/>
        </w:rPr>
      </w:pPr>
      <w:bookmarkStart w:id="132" w:name="_Toc21218"/>
      <w:bookmarkStart w:id="133" w:name="_Toc30339"/>
      <w:bookmarkStart w:id="134" w:name="_Toc25603"/>
      <w:bookmarkStart w:id="135" w:name="_Toc30515"/>
      <w:bookmarkStart w:id="136" w:name="_Toc4350"/>
      <w:bookmarkStart w:id="137" w:name="_Toc14032"/>
      <w:bookmarkStart w:id="138" w:name="_Toc5060"/>
      <w:bookmarkStart w:id="139" w:name="_Toc7306"/>
      <w:bookmarkStart w:id="140" w:name="_Toc248033833"/>
      <w:bookmarkStart w:id="141" w:name="_Toc823448808"/>
      <w:bookmarkStart w:id="142" w:name="_Toc19973"/>
      <w:bookmarkStart w:id="143" w:name="_Toc8336"/>
      <w:r>
        <w:rPr>
          <w:rFonts w:hint="default" w:ascii="Times New Roman" w:hAnsi="Times New Roman" w:eastAsia="方正黑体简体" w:cs="Times New Roman"/>
          <w:color w:val="auto"/>
          <w:kern w:val="0"/>
          <w:sz w:val="32"/>
          <w:szCs w:val="32"/>
          <w:highlight w:val="none"/>
          <w:shd w:val="clear" w:color="auto" w:fill="FFFFFF"/>
          <w:lang w:val="en-US" w:eastAsia="zh-CN"/>
        </w:rPr>
        <w:t>五</w:t>
      </w:r>
      <w:r>
        <w:rPr>
          <w:rFonts w:hint="default" w:ascii="Times New Roman" w:hAnsi="Times New Roman" w:eastAsia="方正黑体简体" w:cs="Times New Roman"/>
          <w:color w:val="auto"/>
          <w:kern w:val="0"/>
          <w:sz w:val="32"/>
          <w:szCs w:val="32"/>
          <w:highlight w:val="none"/>
          <w:shd w:val="clear" w:color="auto" w:fill="FFFFFF"/>
        </w:rPr>
        <w:t>、存在的主要问题</w:t>
      </w:r>
      <w:bookmarkEnd w:id="132"/>
      <w:bookmarkEnd w:id="133"/>
      <w:bookmarkEnd w:id="134"/>
      <w:bookmarkEnd w:id="135"/>
      <w:bookmarkEnd w:id="136"/>
      <w:bookmarkEnd w:id="137"/>
      <w:bookmarkEnd w:id="138"/>
      <w:bookmarkEnd w:id="139"/>
      <w:bookmarkEnd w:id="140"/>
      <w:bookmarkEnd w:id="141"/>
    </w:p>
    <w:p w14:paraId="4161B4D3">
      <w:pPr>
        <w:keepNext w:val="0"/>
        <w:keepLines w:val="0"/>
        <w:pageBreakBefore w:val="0"/>
        <w:kinsoku/>
        <w:wordWrap/>
        <w:overflowPunct/>
        <w:topLinePunct w:val="0"/>
        <w:autoSpaceDE/>
        <w:autoSpaceDN/>
        <w:bidi w:val="0"/>
        <w:spacing w:line="600" w:lineRule="exact"/>
        <w:ind w:left="0" w:leftChars="0" w:right="0" w:rightChars="0" w:firstLine="560"/>
        <w:outlineLvl w:val="1"/>
        <w:rPr>
          <w:rFonts w:hint="default" w:ascii="Times New Roman" w:hAnsi="Times New Roman" w:eastAsia="方正楷体简体" w:cs="Times New Roman"/>
          <w:color w:val="auto"/>
          <w:kern w:val="2"/>
          <w:sz w:val="32"/>
          <w:szCs w:val="32"/>
          <w:highlight w:val="none"/>
          <w:shd w:val="clear"/>
          <w:lang w:val="zh-CN"/>
        </w:rPr>
      </w:pPr>
      <w:bookmarkStart w:id="144" w:name="_Toc464104487"/>
      <w:bookmarkStart w:id="145" w:name="_Toc3240"/>
      <w:bookmarkStart w:id="146" w:name="_Toc771997543"/>
      <w:bookmarkStart w:id="147" w:name="_Toc31629"/>
      <w:bookmarkStart w:id="148" w:name="_Toc15651"/>
      <w:bookmarkStart w:id="149" w:name="_Toc22968"/>
      <w:bookmarkStart w:id="150" w:name="_Toc10426"/>
      <w:r>
        <w:rPr>
          <w:rFonts w:hint="default" w:ascii="Times New Roman" w:hAnsi="Times New Roman" w:eastAsia="方正楷体简体" w:cs="Times New Roman"/>
          <w:color w:val="auto"/>
          <w:kern w:val="2"/>
          <w:sz w:val="32"/>
          <w:szCs w:val="32"/>
          <w:highlight w:val="none"/>
          <w:shd w:val="clear"/>
          <w:lang w:val="zh-CN"/>
        </w:rPr>
        <w:t>（一）绩效目标编制和上报不准确</w:t>
      </w:r>
    </w:p>
    <w:p w14:paraId="302F22E5">
      <w:pPr>
        <w:keepNext w:val="0"/>
        <w:keepLines w:val="0"/>
        <w:pageBreakBefore w:val="0"/>
        <w:kinsoku/>
        <w:wordWrap/>
        <w:overflowPunct/>
        <w:topLinePunct w:val="0"/>
        <w:autoSpaceDE/>
        <w:autoSpaceDN/>
        <w:bidi w:val="0"/>
        <w:spacing w:line="600" w:lineRule="exact"/>
        <w:ind w:left="0" w:firstLine="560"/>
        <w:outlineLvl w:val="1"/>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评价中发现，县综合执法局2024年部门综合绩效目标与个别预算项目绩效目标均不同程度存在编制不规范，指标设置要素不完整、不合理、不明确等问题，导致绩效目标科学性、合理性不够强，不便于考核评价。</w:t>
      </w:r>
    </w:p>
    <w:p w14:paraId="5DB0182F">
      <w:pPr>
        <w:numPr>
          <w:ilvl w:val="0"/>
          <w:numId w:val="0"/>
        </w:numPr>
        <w:tabs>
          <w:tab w:val="left" w:pos="479"/>
        </w:tabs>
        <w:ind w:firstLine="640" w:firstLineChars="200"/>
        <w:rPr>
          <w:rFonts w:hint="default" w:ascii="Times New Roman" w:hAnsi="Times New Roman" w:eastAsia="楷体" w:cs="Times New Roman"/>
          <w:sz w:val="32"/>
          <w:szCs w:val="32"/>
          <w:highlight w:val="none"/>
          <w:lang w:val="en-US" w:eastAsia="zh-CN"/>
        </w:rPr>
      </w:pPr>
      <w:r>
        <w:rPr>
          <w:rFonts w:hint="default" w:ascii="Times New Roman" w:hAnsi="Times New Roman" w:eastAsia="楷体" w:cs="Times New Roman"/>
          <w:sz w:val="32"/>
          <w:szCs w:val="32"/>
          <w:highlight w:val="none"/>
          <w:lang w:val="en-US" w:eastAsia="zh-CN"/>
        </w:rPr>
        <w:t>（二）部门绩效目标制定未纳入本部门集体决策范围</w:t>
      </w:r>
    </w:p>
    <w:p w14:paraId="0F284CBB">
      <w:pPr>
        <w:keepNext w:val="0"/>
        <w:keepLines w:val="0"/>
        <w:pageBreakBefore w:val="0"/>
        <w:kinsoku/>
        <w:wordWrap/>
        <w:overflowPunct/>
        <w:topLinePunct w:val="0"/>
        <w:autoSpaceDE/>
        <w:autoSpaceDN/>
        <w:bidi w:val="0"/>
        <w:spacing w:line="600" w:lineRule="exact"/>
        <w:ind w:left="0" w:firstLine="560"/>
        <w:outlineLvl w:val="1"/>
        <w:rPr>
          <w:rFonts w:hint="default" w:ascii="Times New Roman" w:hAnsi="Times New Roman" w:eastAsia="仿宋" w:cs="Times New Roman"/>
          <w:bCs/>
          <w:kern w:val="2"/>
          <w:sz w:val="32"/>
          <w:szCs w:val="32"/>
          <w:highlight w:val="yellow"/>
          <w:lang w:val="en-US" w:eastAsia="zh-CN" w:bidi="ar-SA"/>
        </w:rPr>
      </w:pPr>
      <w:r>
        <w:rPr>
          <w:rFonts w:hint="default" w:ascii="Times New Roman" w:hAnsi="Times New Roman" w:eastAsia="方正仿宋_GB2312" w:cs="Times New Roman"/>
          <w:color w:val="auto"/>
          <w:sz w:val="32"/>
          <w:szCs w:val="32"/>
          <w:highlight w:val="none"/>
          <w:lang w:val="en-US" w:eastAsia="zh-CN"/>
        </w:rPr>
        <w:t>2024年，县综合执法局已编报《部门（单位）整体支出绩效目标申报表》，绩效目标随预算已上报人大完成审核，但未对部门整体项目进行集体决策，未将部门绩效目标纳入集体决策范围。</w:t>
      </w:r>
    </w:p>
    <w:p w14:paraId="2ED0C50A">
      <w:pPr>
        <w:numPr>
          <w:ilvl w:val="0"/>
          <w:numId w:val="0"/>
        </w:numPr>
        <w:tabs>
          <w:tab w:val="left" w:pos="479"/>
        </w:tabs>
        <w:ind w:firstLine="640" w:firstLineChars="200"/>
        <w:rPr>
          <w:rFonts w:hint="default" w:ascii="Times New Roman" w:hAnsi="Times New Roman" w:eastAsia="楷体" w:cs="Times New Roman"/>
          <w:sz w:val="32"/>
          <w:szCs w:val="32"/>
          <w:highlight w:val="none"/>
          <w:lang w:val="en-US" w:eastAsia="zh-CN"/>
        </w:rPr>
      </w:pPr>
      <w:r>
        <w:rPr>
          <w:rFonts w:hint="default" w:ascii="Times New Roman" w:hAnsi="Times New Roman" w:eastAsia="楷体" w:cs="Times New Roman"/>
          <w:sz w:val="32"/>
          <w:szCs w:val="32"/>
          <w:highlight w:val="none"/>
          <w:lang w:val="en-US" w:eastAsia="zh-CN"/>
        </w:rPr>
        <w:t>（三）存在绩效自评报告不精准的情况</w:t>
      </w:r>
    </w:p>
    <w:p w14:paraId="6BA6023F">
      <w:pPr>
        <w:keepNext w:val="0"/>
        <w:keepLines w:val="0"/>
        <w:pageBreakBefore w:val="0"/>
        <w:kinsoku/>
        <w:wordWrap/>
        <w:overflowPunct/>
        <w:topLinePunct w:val="0"/>
        <w:autoSpaceDE/>
        <w:autoSpaceDN/>
        <w:bidi w:val="0"/>
        <w:spacing w:line="600" w:lineRule="exact"/>
        <w:ind w:left="0" w:firstLine="560"/>
        <w:outlineLvl w:val="1"/>
        <w:rPr>
          <w:rFonts w:hint="default" w:ascii="Times New Roman" w:hAnsi="Times New Roman" w:cs="Times New Roman"/>
          <w:bCs/>
          <w:kern w:val="2"/>
          <w:sz w:val="32"/>
          <w:szCs w:val="32"/>
          <w:highlight w:val="yellow"/>
          <w:lang w:val="en-US" w:eastAsia="zh-CN" w:bidi="ar-SA"/>
        </w:rPr>
      </w:pPr>
      <w:r>
        <w:rPr>
          <w:rFonts w:hint="default" w:ascii="Times New Roman" w:hAnsi="Times New Roman" w:eastAsia="方正仿宋_GB2312" w:cs="Times New Roman"/>
          <w:color w:val="auto"/>
          <w:sz w:val="32"/>
          <w:szCs w:val="32"/>
          <w:highlight w:val="none"/>
          <w:lang w:val="en-US" w:eastAsia="zh-CN"/>
        </w:rPr>
        <w:t>2024年县综合执法局预算项目“海螺沟垃圾填埋场渗滤液处理系统、在线监测系统运行维护服务”，经核实该项目绩效自评报告，存在绩效自评报告内容不精准的情况。例如目标任务量完成情况未明确；项目实际下达资金130万元，2024年年度使用项目资金130万元，但项目报告中，项目资金为136.6666万元，与项目实际情况不一致的情况。</w:t>
      </w:r>
    </w:p>
    <w:p w14:paraId="570A7B66">
      <w:pPr>
        <w:numPr>
          <w:ilvl w:val="0"/>
          <w:numId w:val="0"/>
        </w:numPr>
        <w:tabs>
          <w:tab w:val="left" w:pos="479"/>
        </w:tabs>
        <w:ind w:firstLine="640" w:firstLineChars="200"/>
        <w:rPr>
          <w:rFonts w:hint="default" w:ascii="Times New Roman" w:hAnsi="Times New Roman" w:eastAsia="楷体" w:cs="Times New Roman"/>
          <w:sz w:val="32"/>
          <w:szCs w:val="32"/>
          <w:highlight w:val="none"/>
          <w:lang w:val="en-US" w:eastAsia="zh-CN"/>
        </w:rPr>
      </w:pPr>
      <w:r>
        <w:rPr>
          <w:rFonts w:hint="default" w:ascii="Times New Roman" w:hAnsi="Times New Roman" w:eastAsia="楷体" w:cs="Times New Roman"/>
          <w:sz w:val="32"/>
          <w:szCs w:val="32"/>
          <w:highlight w:val="none"/>
          <w:lang w:val="en-US" w:eastAsia="zh-CN"/>
        </w:rPr>
        <w:t>（四）存在监控发现问题未及时处置的情况</w:t>
      </w:r>
    </w:p>
    <w:p w14:paraId="683DD95D">
      <w:pPr>
        <w:keepNext w:val="0"/>
        <w:keepLines w:val="0"/>
        <w:pageBreakBefore w:val="0"/>
        <w:kinsoku/>
        <w:wordWrap/>
        <w:overflowPunct/>
        <w:topLinePunct w:val="0"/>
        <w:autoSpaceDE/>
        <w:autoSpaceDN/>
        <w:bidi w:val="0"/>
        <w:spacing w:line="600" w:lineRule="exact"/>
        <w:ind w:left="0" w:firstLine="560"/>
        <w:outlineLvl w:val="1"/>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2024年县综合执法局自行开展了绩效监控，并出具了《泸定县综合行政执法局部门绩效运行监控分析报告》，主要发现在专项支出方面存在实际支出与预算数存在一定偏差的问题，导致个别项目支出进展缓慢，一般年底拨付进度较大。</w:t>
      </w:r>
    </w:p>
    <w:p w14:paraId="6F299C79">
      <w:pPr>
        <w:numPr>
          <w:ilvl w:val="0"/>
          <w:numId w:val="0"/>
        </w:numPr>
        <w:tabs>
          <w:tab w:val="left" w:pos="479"/>
        </w:tabs>
        <w:ind w:firstLine="640" w:firstLineChars="200"/>
        <w:rPr>
          <w:rFonts w:hint="default" w:ascii="Times New Roman" w:hAnsi="Times New Roman" w:eastAsia="楷体" w:cs="Times New Roman"/>
          <w:sz w:val="32"/>
          <w:szCs w:val="32"/>
          <w:highlight w:val="none"/>
          <w:lang w:val="en-US" w:eastAsia="zh-CN"/>
        </w:rPr>
      </w:pPr>
      <w:r>
        <w:rPr>
          <w:rFonts w:hint="default" w:ascii="Times New Roman" w:hAnsi="Times New Roman" w:eastAsia="楷体" w:cs="Times New Roman"/>
          <w:sz w:val="32"/>
          <w:szCs w:val="32"/>
          <w:highlight w:val="none"/>
          <w:lang w:val="en-US" w:eastAsia="zh-CN"/>
        </w:rPr>
        <w:t>（五）预算绩效管理制度机制不够健全完善</w:t>
      </w:r>
    </w:p>
    <w:p w14:paraId="38D044E8">
      <w:pPr>
        <w:keepNext w:val="0"/>
        <w:keepLines w:val="0"/>
        <w:pageBreakBefore w:val="0"/>
        <w:kinsoku/>
        <w:wordWrap/>
        <w:overflowPunct/>
        <w:topLinePunct w:val="0"/>
        <w:autoSpaceDE/>
        <w:autoSpaceDN/>
        <w:bidi w:val="0"/>
        <w:spacing w:line="600" w:lineRule="exact"/>
        <w:ind w:left="0" w:firstLine="560"/>
        <w:outlineLvl w:val="1"/>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截至评价日，县综合执法局制定了《预决算制度》，但单位绩效管理情况未纳入内部考核体系且内部绩效结果未与预算挂钩。</w:t>
      </w:r>
    </w:p>
    <w:p w14:paraId="4EFDC167">
      <w:pPr>
        <w:keepNext w:val="0"/>
        <w:keepLines w:val="0"/>
        <w:pageBreakBefore w:val="0"/>
        <w:kinsoku/>
        <w:wordWrap/>
        <w:overflowPunct/>
        <w:topLinePunct w:val="0"/>
        <w:autoSpaceDE/>
        <w:autoSpaceDN/>
        <w:bidi w:val="0"/>
        <w:spacing w:line="600" w:lineRule="exact"/>
        <w:ind w:left="0" w:leftChars="0" w:right="0" w:rightChars="0" w:firstLine="560"/>
        <w:outlineLvl w:val="0"/>
        <w:rPr>
          <w:rFonts w:hint="default" w:ascii="Times New Roman" w:hAnsi="Times New Roman" w:eastAsia="方正黑体简体" w:cs="Times New Roman"/>
          <w:color w:val="auto"/>
          <w:kern w:val="0"/>
          <w:sz w:val="32"/>
          <w:szCs w:val="32"/>
          <w:highlight w:val="none"/>
          <w:shd w:val="clear" w:color="auto" w:fill="FFFFFF"/>
        </w:rPr>
      </w:pPr>
      <w:bookmarkStart w:id="151" w:name="_Toc5324"/>
      <w:bookmarkStart w:id="152" w:name="_Toc22775"/>
      <w:bookmarkStart w:id="153" w:name="_Toc29227"/>
      <w:r>
        <w:rPr>
          <w:rFonts w:hint="default" w:ascii="Times New Roman" w:hAnsi="Times New Roman" w:eastAsia="方正黑体简体" w:cs="Times New Roman"/>
          <w:color w:val="auto"/>
          <w:kern w:val="0"/>
          <w:sz w:val="32"/>
          <w:szCs w:val="32"/>
          <w:highlight w:val="none"/>
          <w:shd w:val="clear" w:color="auto" w:fill="FFFFFF"/>
          <w:lang w:val="en-US" w:eastAsia="zh-CN"/>
        </w:rPr>
        <w:t>六</w:t>
      </w:r>
      <w:r>
        <w:rPr>
          <w:rFonts w:hint="default" w:ascii="Times New Roman" w:hAnsi="Times New Roman" w:eastAsia="方正黑体简体" w:cs="Times New Roman"/>
          <w:color w:val="auto"/>
          <w:kern w:val="0"/>
          <w:sz w:val="32"/>
          <w:szCs w:val="32"/>
          <w:highlight w:val="none"/>
          <w:shd w:val="clear" w:color="auto" w:fill="FFFFFF"/>
        </w:rPr>
        <w:t>、相关措施建议</w:t>
      </w:r>
      <w:bookmarkEnd w:id="144"/>
      <w:bookmarkEnd w:id="145"/>
      <w:bookmarkEnd w:id="146"/>
      <w:bookmarkEnd w:id="147"/>
      <w:bookmarkEnd w:id="148"/>
      <w:bookmarkEnd w:id="149"/>
      <w:bookmarkEnd w:id="150"/>
      <w:bookmarkEnd w:id="151"/>
      <w:bookmarkEnd w:id="152"/>
      <w:bookmarkEnd w:id="153"/>
    </w:p>
    <w:p w14:paraId="0385D5D0">
      <w:pPr>
        <w:keepNext w:val="0"/>
        <w:keepLines w:val="0"/>
        <w:pageBreakBefore w:val="0"/>
        <w:kinsoku/>
        <w:wordWrap/>
        <w:overflowPunct/>
        <w:topLinePunct w:val="0"/>
        <w:autoSpaceDE/>
        <w:autoSpaceDN/>
        <w:bidi w:val="0"/>
        <w:spacing w:line="600" w:lineRule="exact"/>
        <w:ind w:left="0" w:firstLine="560"/>
        <w:outlineLvl w:val="1"/>
        <w:rPr>
          <w:rFonts w:hint="default" w:ascii="Times New Roman" w:hAnsi="Times New Roman" w:eastAsia="方正楷体简体" w:cs="Times New Roman"/>
          <w:color w:val="auto"/>
          <w:kern w:val="0"/>
          <w:sz w:val="32"/>
          <w:szCs w:val="32"/>
          <w:highlight w:val="none"/>
          <w:shd w:val="clear" w:color="auto" w:fill="FFFFFF"/>
          <w:lang w:val="en-US" w:eastAsia="zh-CN"/>
        </w:rPr>
      </w:pPr>
      <w:r>
        <w:rPr>
          <w:rFonts w:hint="default" w:ascii="Times New Roman" w:hAnsi="Times New Roman" w:eastAsia="方正楷体简体" w:cs="Times New Roman"/>
          <w:color w:val="auto"/>
          <w:kern w:val="0"/>
          <w:sz w:val="32"/>
          <w:szCs w:val="32"/>
          <w:highlight w:val="none"/>
          <w:shd w:val="clear" w:color="auto" w:fill="FFFFFF"/>
          <w:lang w:val="en-US" w:eastAsia="zh-CN"/>
        </w:rPr>
        <w:t>（一）规范项目绩效目标设置</w:t>
      </w:r>
    </w:p>
    <w:p w14:paraId="32B2BF9F">
      <w:pPr>
        <w:keepNext w:val="0"/>
        <w:keepLines w:val="0"/>
        <w:pageBreakBefore w:val="0"/>
        <w:kinsoku/>
        <w:wordWrap/>
        <w:overflowPunct/>
        <w:topLinePunct w:val="0"/>
        <w:autoSpaceDE/>
        <w:autoSpaceDN/>
        <w:bidi w:val="0"/>
        <w:spacing w:line="600" w:lineRule="exact"/>
        <w:ind w:left="0" w:firstLine="560"/>
        <w:outlineLvl w:val="1"/>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严格单位自评指标设置，注重采用定量和定性评价相结合的方法，设置最具代表性，最能直接反映产出和效益的核心绩效指标和标准体系。对此次评价中未完成绩效目标或偏离绩效目标较大的项目要分析原因，对由于年初指标值设定明显偏低造成的，要按照偏离度适度调减分值。</w:t>
      </w:r>
    </w:p>
    <w:p w14:paraId="2F56402D">
      <w:pPr>
        <w:keepNext w:val="0"/>
        <w:keepLines w:val="0"/>
        <w:pageBreakBefore w:val="0"/>
        <w:kinsoku/>
        <w:wordWrap/>
        <w:overflowPunct/>
        <w:topLinePunct w:val="0"/>
        <w:autoSpaceDE/>
        <w:autoSpaceDN/>
        <w:bidi w:val="0"/>
        <w:spacing w:line="600" w:lineRule="exact"/>
        <w:ind w:left="0" w:firstLine="560"/>
        <w:outlineLvl w:val="1"/>
        <w:rPr>
          <w:rFonts w:hint="default" w:ascii="Times New Roman" w:hAnsi="Times New Roman" w:eastAsia="方正楷体简体" w:cs="Times New Roman"/>
          <w:color w:val="auto"/>
          <w:kern w:val="0"/>
          <w:sz w:val="32"/>
          <w:szCs w:val="32"/>
          <w:highlight w:val="none"/>
          <w:shd w:val="clear" w:color="auto" w:fill="FFFFFF"/>
          <w:lang w:val="en-US" w:eastAsia="zh-CN"/>
        </w:rPr>
      </w:pPr>
      <w:r>
        <w:rPr>
          <w:rFonts w:hint="default" w:ascii="Times New Roman" w:hAnsi="Times New Roman" w:eastAsia="方正楷体简体" w:cs="Times New Roman"/>
          <w:color w:val="auto"/>
          <w:kern w:val="0"/>
          <w:sz w:val="32"/>
          <w:szCs w:val="32"/>
          <w:highlight w:val="none"/>
          <w:shd w:val="clear" w:color="auto" w:fill="FFFFFF"/>
          <w:lang w:val="en-US" w:eastAsia="zh-CN"/>
        </w:rPr>
        <w:t>（二）绩效目标制定纳入部门集体决策范围</w:t>
      </w:r>
    </w:p>
    <w:p w14:paraId="214057D5">
      <w:pPr>
        <w:keepNext w:val="0"/>
        <w:keepLines w:val="0"/>
        <w:pageBreakBefore w:val="0"/>
        <w:kinsoku/>
        <w:wordWrap/>
        <w:overflowPunct/>
        <w:topLinePunct w:val="0"/>
        <w:autoSpaceDE/>
        <w:autoSpaceDN/>
        <w:bidi w:val="0"/>
        <w:spacing w:line="600" w:lineRule="exact"/>
        <w:ind w:left="0" w:firstLine="560"/>
        <w:outlineLvl w:val="1"/>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建议将绩效目标制定纳入部门集体决策范围，通过集体决策增强绩效目标制定的科学性、可行性与准确性。</w:t>
      </w:r>
    </w:p>
    <w:p w14:paraId="585AA9FF">
      <w:pPr>
        <w:keepNext w:val="0"/>
        <w:keepLines w:val="0"/>
        <w:pageBreakBefore w:val="0"/>
        <w:kinsoku/>
        <w:wordWrap/>
        <w:overflowPunct/>
        <w:topLinePunct w:val="0"/>
        <w:autoSpaceDE/>
        <w:autoSpaceDN/>
        <w:bidi w:val="0"/>
        <w:spacing w:line="600" w:lineRule="exact"/>
        <w:ind w:left="0" w:firstLine="560"/>
        <w:outlineLvl w:val="1"/>
        <w:rPr>
          <w:rFonts w:hint="default" w:ascii="Times New Roman" w:hAnsi="Times New Roman" w:eastAsia="方正楷体简体" w:cs="Times New Roman"/>
          <w:color w:val="auto"/>
          <w:kern w:val="0"/>
          <w:sz w:val="32"/>
          <w:szCs w:val="32"/>
          <w:highlight w:val="none"/>
          <w:shd w:val="clear" w:color="auto" w:fill="FFFFFF"/>
          <w:lang w:val="en-US" w:eastAsia="zh-CN"/>
        </w:rPr>
      </w:pPr>
      <w:r>
        <w:rPr>
          <w:rFonts w:hint="default" w:ascii="Times New Roman" w:hAnsi="Times New Roman" w:eastAsia="方正楷体简体" w:cs="Times New Roman"/>
          <w:color w:val="auto"/>
          <w:kern w:val="0"/>
          <w:sz w:val="32"/>
          <w:szCs w:val="32"/>
          <w:highlight w:val="none"/>
          <w:shd w:val="clear" w:color="auto" w:fill="FFFFFF"/>
          <w:lang w:val="en-US" w:eastAsia="zh-CN"/>
        </w:rPr>
        <w:t>（三）据实开展项目绩效自评，实现项目自评精细化</w:t>
      </w:r>
    </w:p>
    <w:p w14:paraId="45854498">
      <w:pPr>
        <w:keepNext w:val="0"/>
        <w:keepLines w:val="0"/>
        <w:pageBreakBefore w:val="0"/>
        <w:kinsoku/>
        <w:wordWrap/>
        <w:overflowPunct/>
        <w:topLinePunct w:val="0"/>
        <w:autoSpaceDE/>
        <w:autoSpaceDN/>
        <w:bidi w:val="0"/>
        <w:spacing w:line="600" w:lineRule="exact"/>
        <w:ind w:left="0" w:firstLine="560"/>
        <w:outlineLvl w:val="1"/>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建议严格按照《泸定县财政局关于开展2025年县本级财政支出项目绩效评价工作的通知》要求进行项目自评，根据项目实际情况反映项目进展情况，实现项目自评同步的情况，确保实现绩效自评的精细化，确保金额与实际工作任务相互匹配、指标逻辑对应、数据相互支撑。</w:t>
      </w:r>
    </w:p>
    <w:p w14:paraId="1B5C453D">
      <w:pPr>
        <w:keepNext w:val="0"/>
        <w:keepLines w:val="0"/>
        <w:pageBreakBefore w:val="0"/>
        <w:numPr>
          <w:ilvl w:val="0"/>
          <w:numId w:val="0"/>
        </w:numPr>
        <w:kinsoku/>
        <w:wordWrap/>
        <w:overflowPunct/>
        <w:topLinePunct w:val="0"/>
        <w:autoSpaceDE/>
        <w:autoSpaceDN/>
        <w:bidi w:val="0"/>
        <w:spacing w:line="600" w:lineRule="exact"/>
        <w:ind w:left="0" w:firstLine="560"/>
        <w:outlineLvl w:val="1"/>
        <w:rPr>
          <w:rFonts w:hint="default" w:ascii="Times New Roman" w:hAnsi="Times New Roman" w:eastAsia="方正楷体简体" w:cs="Times New Roman"/>
          <w:color w:val="auto"/>
          <w:kern w:val="0"/>
          <w:sz w:val="32"/>
          <w:szCs w:val="32"/>
          <w:highlight w:val="none"/>
          <w:shd w:val="clear" w:color="auto" w:fill="FFFFFF"/>
          <w:lang w:val="en-US" w:eastAsia="zh-CN"/>
        </w:rPr>
      </w:pPr>
      <w:r>
        <w:rPr>
          <w:rFonts w:hint="default" w:ascii="Times New Roman" w:hAnsi="Times New Roman" w:eastAsia="方正楷体简体" w:cs="Times New Roman"/>
          <w:color w:val="auto"/>
          <w:kern w:val="0"/>
          <w:sz w:val="32"/>
          <w:szCs w:val="32"/>
          <w:shd w:val="clear" w:fill="FFFFFF"/>
          <w:lang w:val="en-US" w:eastAsia="zh-CN" w:bidi="ar-SA"/>
        </w:rPr>
        <w:t>（四）</w:t>
      </w:r>
      <w:r>
        <w:rPr>
          <w:rFonts w:hint="default" w:ascii="Times New Roman" w:hAnsi="Times New Roman" w:eastAsia="方正楷体简体" w:cs="Times New Roman"/>
          <w:color w:val="auto"/>
          <w:kern w:val="0"/>
          <w:sz w:val="32"/>
          <w:szCs w:val="32"/>
          <w:highlight w:val="none"/>
          <w:shd w:val="clear" w:color="auto" w:fill="FFFFFF"/>
          <w:lang w:val="en-US" w:eastAsia="zh-CN"/>
        </w:rPr>
        <w:t>对监控发现的问题及时进行整改</w:t>
      </w:r>
    </w:p>
    <w:p w14:paraId="60E709E8">
      <w:pPr>
        <w:keepNext w:val="0"/>
        <w:keepLines w:val="0"/>
        <w:pageBreakBefore w:val="0"/>
        <w:kinsoku/>
        <w:wordWrap/>
        <w:overflowPunct/>
        <w:topLinePunct w:val="0"/>
        <w:autoSpaceDE/>
        <w:autoSpaceDN/>
        <w:bidi w:val="0"/>
        <w:spacing w:line="600" w:lineRule="exact"/>
        <w:ind w:left="0" w:firstLine="560"/>
        <w:outlineLvl w:val="1"/>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建议加大重大项目和重点支出外部评价力度，对发现的问题及时督促整改，促进预算单位绩效管理能力的提升。</w:t>
      </w:r>
    </w:p>
    <w:p w14:paraId="7638CE2C">
      <w:pPr>
        <w:keepNext w:val="0"/>
        <w:keepLines w:val="0"/>
        <w:pageBreakBefore w:val="0"/>
        <w:kinsoku/>
        <w:wordWrap/>
        <w:overflowPunct/>
        <w:topLinePunct w:val="0"/>
        <w:autoSpaceDE/>
        <w:autoSpaceDN/>
        <w:bidi w:val="0"/>
        <w:spacing w:line="600" w:lineRule="exact"/>
        <w:ind w:left="0" w:firstLine="560"/>
        <w:outlineLvl w:val="1"/>
        <w:rPr>
          <w:rFonts w:hint="default" w:ascii="Times New Roman" w:hAnsi="Times New Roman" w:eastAsia="方正楷体简体" w:cs="Times New Roman"/>
          <w:color w:val="auto"/>
          <w:kern w:val="0"/>
          <w:sz w:val="32"/>
          <w:szCs w:val="32"/>
          <w:highlight w:val="none"/>
          <w:shd w:val="clear" w:color="auto" w:fill="FFFFFF"/>
          <w:lang w:val="en-US" w:eastAsia="zh-CN"/>
        </w:rPr>
      </w:pPr>
      <w:r>
        <w:rPr>
          <w:rFonts w:hint="default" w:ascii="Times New Roman" w:hAnsi="Times New Roman" w:eastAsia="方正楷体简体" w:cs="Times New Roman"/>
          <w:color w:val="auto"/>
          <w:kern w:val="0"/>
          <w:sz w:val="32"/>
          <w:szCs w:val="32"/>
          <w:highlight w:val="none"/>
          <w:shd w:val="clear" w:color="auto" w:fill="FFFFFF"/>
          <w:lang w:val="en-US" w:eastAsia="zh-CN"/>
        </w:rPr>
        <w:t>（五）健全完善预算绩效管理制度建设</w:t>
      </w:r>
    </w:p>
    <w:p w14:paraId="7DCAA2FF">
      <w:pPr>
        <w:keepNext w:val="0"/>
        <w:keepLines w:val="0"/>
        <w:pageBreakBefore w:val="0"/>
        <w:kinsoku/>
        <w:wordWrap/>
        <w:overflowPunct/>
        <w:topLinePunct w:val="0"/>
        <w:autoSpaceDE/>
        <w:autoSpaceDN/>
        <w:bidi w:val="0"/>
        <w:spacing w:line="600" w:lineRule="exact"/>
        <w:ind w:left="0" w:firstLine="560"/>
        <w:outlineLvl w:val="1"/>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应结合部门内部实际，在预算绩效管理方面，建立部门内部预算与绩效结果挂钩的机制，将部门内部预算自评纳入考核体系。进一步加强预算绩效管理制度建设，完善工作机制，强化责任落实，提高制度执行力，为部门预算管理的实施提供具体的指导意见，以确保财政资金使用的质量和效果。</w:t>
      </w:r>
    </w:p>
    <w:bookmarkEnd w:id="142"/>
    <w:bookmarkEnd w:id="143"/>
    <w:p w14:paraId="0094BC86">
      <w:pPr>
        <w:keepNext w:val="0"/>
        <w:keepLines w:val="0"/>
        <w:pageBreakBefore w:val="0"/>
        <w:kinsoku/>
        <w:wordWrap/>
        <w:overflowPunct/>
        <w:topLinePunct w:val="0"/>
        <w:autoSpaceDE/>
        <w:autoSpaceDN/>
        <w:bidi w:val="0"/>
        <w:spacing w:line="600" w:lineRule="exact"/>
        <w:ind w:left="0" w:leftChars="0" w:firstLine="0" w:firstLineChars="0"/>
        <w:outlineLvl w:val="1"/>
        <w:rPr>
          <w:rFonts w:hint="default" w:ascii="Times New Roman" w:hAnsi="Times New Roman" w:eastAsia="方正仿宋_GB2312" w:cs="Times New Roman"/>
          <w:color w:val="auto"/>
          <w:sz w:val="32"/>
          <w:szCs w:val="32"/>
          <w:highlight w:val="none"/>
          <w:lang w:val="en-US" w:eastAsia="zh-CN"/>
        </w:rPr>
      </w:pPr>
      <w:bookmarkStart w:id="154" w:name="_Toc3238"/>
    </w:p>
    <w:p w14:paraId="085E1486">
      <w:pPr>
        <w:keepNext w:val="0"/>
        <w:keepLines w:val="0"/>
        <w:pageBreakBefore w:val="0"/>
        <w:kinsoku/>
        <w:wordWrap/>
        <w:overflowPunct/>
        <w:topLinePunct w:val="0"/>
        <w:autoSpaceDE/>
        <w:autoSpaceDN/>
        <w:bidi w:val="0"/>
        <w:spacing w:line="600" w:lineRule="exact"/>
        <w:ind w:left="0" w:firstLine="560"/>
        <w:outlineLvl w:val="1"/>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附件</w:t>
      </w:r>
      <w:r>
        <w:rPr>
          <w:rFonts w:hint="default" w:ascii="Times New Roman" w:hAnsi="Times New Roman" w:eastAsia="方正仿宋_GB2312" w:cs="Times New Roman"/>
          <w:color w:val="auto"/>
          <w:sz w:val="32"/>
          <w:szCs w:val="32"/>
          <w:highlight w:val="none"/>
          <w:lang w:val="en-US" w:eastAsia="zh"/>
        </w:rPr>
        <w:t>：</w:t>
      </w:r>
      <w:r>
        <w:rPr>
          <w:rFonts w:hint="default" w:ascii="Times New Roman" w:hAnsi="Times New Roman" w:eastAsia="方正仿宋_GB2312" w:cs="Times New Roman"/>
          <w:color w:val="auto"/>
          <w:sz w:val="32"/>
          <w:szCs w:val="32"/>
          <w:highlight w:val="none"/>
          <w:lang w:val="en-US" w:eastAsia="zh-CN"/>
        </w:rPr>
        <w:t>泸定县综合行政执法局部门整体支出绩效评价指标体系表（评分表）</w:t>
      </w:r>
      <w:bookmarkEnd w:id="154"/>
    </w:p>
    <w:p w14:paraId="1136E344">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default" w:ascii="Times New Roman" w:hAnsi="Times New Roman" w:eastAsia="仿宋" w:cs="Times New Roman"/>
          <w:b w:val="0"/>
          <w:bCs w:val="0"/>
          <w:sz w:val="32"/>
          <w:szCs w:val="32"/>
          <w:highlight w:val="none"/>
          <w:lang w:eastAsia="zh-CN"/>
        </w:rPr>
      </w:pPr>
    </w:p>
    <w:p w14:paraId="39B89E09">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default" w:ascii="Times New Roman" w:hAnsi="Times New Roman" w:eastAsia="仿宋" w:cs="Times New Roman"/>
          <w:b w:val="0"/>
          <w:bCs w:val="0"/>
          <w:sz w:val="32"/>
          <w:szCs w:val="32"/>
          <w:highlight w:val="none"/>
          <w:lang w:eastAsia="zh-CN"/>
        </w:rPr>
      </w:pPr>
    </w:p>
    <w:p w14:paraId="000214E1">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default" w:ascii="Times New Roman" w:hAnsi="Times New Roman" w:eastAsia="仿宋" w:cs="Times New Roman"/>
          <w:b w:val="0"/>
          <w:bCs w:val="0"/>
          <w:sz w:val="32"/>
          <w:szCs w:val="32"/>
          <w:highlight w:val="none"/>
          <w:lang w:eastAsia="zh-CN"/>
        </w:rPr>
      </w:pPr>
    </w:p>
    <w:p w14:paraId="0EFA15B3">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default" w:ascii="Times New Roman" w:hAnsi="Times New Roman" w:eastAsia="仿宋" w:cs="Times New Roman"/>
          <w:b w:val="0"/>
          <w:bCs w:val="0"/>
          <w:sz w:val="32"/>
          <w:szCs w:val="32"/>
          <w:highlight w:val="none"/>
          <w:lang w:eastAsia="zh-CN"/>
        </w:rPr>
      </w:pPr>
      <w:bookmarkStart w:id="155" w:name="_GoBack"/>
      <w:bookmarkEnd w:id="155"/>
    </w:p>
    <w:p w14:paraId="599F7CA8">
      <w:pPr>
        <w:spacing w:line="600" w:lineRule="exact"/>
        <w:ind w:firstLine="640"/>
        <w:jc w:val="right"/>
        <w:rPr>
          <w:rFonts w:hint="default" w:ascii="Times New Roman" w:hAnsi="Times New Roman" w:eastAsia="方正仿宋_GB2312" w:cs="Times New Roman"/>
          <w:sz w:val="32"/>
          <w:szCs w:val="32"/>
          <w:highlight w:val="none"/>
        </w:rPr>
      </w:pPr>
      <w:r>
        <w:rPr>
          <w:rFonts w:hint="default" w:ascii="Times New Roman" w:hAnsi="Times New Roman" w:eastAsia="方正仿宋_GB2312" w:cs="Times New Roman"/>
          <w:sz w:val="32"/>
          <w:szCs w:val="32"/>
          <w:highlight w:val="none"/>
        </w:rPr>
        <w:t>泸定县财政局</w:t>
      </w:r>
    </w:p>
    <w:p w14:paraId="7C783D41">
      <w:pPr>
        <w:keepNext w:val="0"/>
        <w:keepLines w:val="0"/>
        <w:pageBreakBefore w:val="0"/>
        <w:widowControl w:val="0"/>
        <w:kinsoku/>
        <w:wordWrap/>
        <w:overflowPunct/>
        <w:topLinePunct w:val="0"/>
        <w:autoSpaceDE/>
        <w:autoSpaceDN/>
        <w:bidi w:val="0"/>
        <w:adjustRightInd/>
        <w:snapToGrid/>
        <w:spacing w:line="600" w:lineRule="exact"/>
        <w:ind w:left="0"/>
        <w:jc w:val="right"/>
        <w:textAlignment w:val="auto"/>
        <w:rPr>
          <w:rFonts w:hint="default" w:ascii="Times New Roman" w:hAnsi="Times New Roman" w:eastAsia="方正仿宋_GB2312" w:cs="Times New Roman"/>
          <w:b w:val="0"/>
          <w:bCs w:val="0"/>
          <w:sz w:val="32"/>
          <w:szCs w:val="32"/>
          <w:highlight w:val="none"/>
          <w:lang w:eastAsia="zh-CN"/>
        </w:rPr>
      </w:pPr>
      <w:r>
        <w:rPr>
          <w:rFonts w:hint="default" w:ascii="Times New Roman" w:hAnsi="Times New Roman" w:eastAsia="方正仿宋_GB2312" w:cs="Times New Roman"/>
          <w:sz w:val="32"/>
          <w:szCs w:val="32"/>
          <w:highlight w:val="none"/>
        </w:rPr>
        <w:t>　　　　　　　　　　　2025年11月11日</w:t>
      </w:r>
    </w:p>
    <w:p w14:paraId="684009E6">
      <w:pPr>
        <w:rPr>
          <w:rFonts w:hint="default" w:ascii="Times New Roman" w:hAnsi="Times New Roman" w:cs="Times New Roman"/>
          <w:highlight w:val="none"/>
          <w:lang w:val="en-US" w:eastAsia="zh-CN"/>
        </w:rPr>
      </w:pPr>
    </w:p>
    <w:sectPr>
      <w:headerReference r:id="rId5" w:type="default"/>
      <w:footerReference r:id="rId6" w:type="default"/>
      <w:pgSz w:w="11906" w:h="16838"/>
      <w:pgMar w:top="1440" w:right="1803" w:bottom="1440" w:left="1803" w:header="680" w:footer="737" w:gutter="0"/>
      <w:pgNumType w:fmt="decimal"/>
      <w:cols w:space="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560"/>
      </w:pPr>
      <w:r>
        <w:separator/>
      </w:r>
    </w:p>
  </w:endnote>
  <w:endnote w:type="continuationSeparator" w:id="1">
    <w:p>
      <w:pPr>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embedRegular r:id="rId1" w:fontKey="{A8C279F2-D00C-4F95-9F68-7BEDD4BECAE4}"/>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embedRegular r:id="rId2" w:fontKey="{F19F5FB3-FE09-4A3D-908D-FCC0B196F6A9}"/>
  </w:font>
  <w:font w:name="等线 Light">
    <w:altName w:val="宋体"/>
    <w:panose1 w:val="02010600030101010101"/>
    <w:charset w:val="86"/>
    <w:family w:val="auto"/>
    <w:pitch w:val="default"/>
    <w:sig w:usb0="00000000" w:usb1="00000000" w:usb2="00000016" w:usb3="00000000" w:csb0="0004000F" w:csb1="00000000"/>
  </w:font>
  <w:font w:name="方正小标宋_GBK">
    <w:panose1 w:val="02000000000000000000"/>
    <w:charset w:val="86"/>
    <w:family w:val="auto"/>
    <w:pitch w:val="default"/>
    <w:sig w:usb0="A00002BF" w:usb1="38CF7CFA" w:usb2="00082016" w:usb3="00000000" w:csb0="00040001" w:csb1="00000000"/>
  </w:font>
  <w:font w:name="方正仿宋_GB2312">
    <w:panose1 w:val="02000000000000000000"/>
    <w:charset w:val="86"/>
    <w:family w:val="auto"/>
    <w:pitch w:val="default"/>
    <w:sig w:usb0="A00002BF" w:usb1="184F6CFA" w:usb2="00000012" w:usb3="00000000" w:csb0="00040001" w:csb1="00000000"/>
    <w:embedRegular r:id="rId3" w:fontKey="{3CA9E610-969E-410D-AA06-B8BCB5FF97DF}"/>
  </w:font>
  <w:font w:name="方正黑体简体">
    <w:panose1 w:val="03000509000000000000"/>
    <w:charset w:val="86"/>
    <w:family w:val="auto"/>
    <w:pitch w:val="default"/>
    <w:sig w:usb0="00000001" w:usb1="080E0000" w:usb2="00000000" w:usb3="00000000" w:csb0="00040000" w:csb1="00000000"/>
    <w:embedRegular r:id="rId4" w:fontKey="{46482701-486F-44E9-BBFF-054A16FFD977}"/>
  </w:font>
  <w:font w:name="方正楷体简体">
    <w:panose1 w:val="03000509000000000000"/>
    <w:charset w:val="86"/>
    <w:family w:val="auto"/>
    <w:pitch w:val="default"/>
    <w:sig w:usb0="00000001" w:usb1="080E0000" w:usb2="00000000" w:usb3="00000000" w:csb0="00040000" w:csb1="00000000"/>
    <w:embedRegular r:id="rId5" w:fontKey="{8450A5AB-F0ED-4F99-BAC2-8E84CAC20018}"/>
  </w:font>
  <w:font w:name="方正小标宋简体">
    <w:panose1 w:val="03000509000000000000"/>
    <w:charset w:val="86"/>
    <w:family w:val="auto"/>
    <w:pitch w:val="default"/>
    <w:sig w:usb0="00000001" w:usb1="080E0000" w:usb2="00000000" w:usb3="00000000" w:csb0="00040000" w:csb1="00000000"/>
    <w:embedRegular r:id="rId6" w:fontKey="{E0B49040-DE9A-4014-8817-B12A0754C498}"/>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20D31C">
    <w:pPr>
      <w:pStyle w:val="11"/>
      <w:ind w:firstLine="0" w:firstLineChars="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016C51E">
                          <w:pPr>
                            <w:pStyle w:val="11"/>
                            <w:ind w:left="0" w:leftChars="0" w:firstLine="0" w:firstLineChars="0"/>
                            <w:rPr>
                              <w:sz w:val="32"/>
                              <w:szCs w:val="32"/>
                            </w:rPr>
                          </w:pPr>
                          <w:r>
                            <w:rPr>
                              <w:sz w:val="32"/>
                              <w:szCs w:val="32"/>
                            </w:rPr>
                            <w:t xml:space="preserve">— </w:t>
                          </w:r>
                          <w:r>
                            <w:rPr>
                              <w:sz w:val="32"/>
                              <w:szCs w:val="32"/>
                            </w:rPr>
                            <w:fldChar w:fldCharType="begin"/>
                          </w:r>
                          <w:r>
                            <w:rPr>
                              <w:sz w:val="32"/>
                              <w:szCs w:val="32"/>
                            </w:rPr>
                            <w:instrText xml:space="preserve"> PAGE  \* MERGEFORMAT </w:instrText>
                          </w:r>
                          <w:r>
                            <w:rPr>
                              <w:sz w:val="32"/>
                              <w:szCs w:val="32"/>
                            </w:rPr>
                            <w:fldChar w:fldCharType="separate"/>
                          </w:r>
                          <w:r>
                            <w:rPr>
                              <w:sz w:val="32"/>
                              <w:szCs w:val="32"/>
                            </w:rPr>
                            <w:t>1</w:t>
                          </w:r>
                          <w:r>
                            <w:rPr>
                              <w:sz w:val="32"/>
                              <w:szCs w:val="32"/>
                            </w:rPr>
                            <w:fldChar w:fldCharType="end"/>
                          </w:r>
                          <w:r>
                            <w:rPr>
                              <w:sz w:val="32"/>
                              <w:szCs w:val="32"/>
                            </w:rP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ikIRMKwIAAFcEAAAOAAAAAAAAAAEAIAAAAB8BAABkcnMvZTJvRG9jLnhtbFBLBQYAAAAABgAG&#10;AFkBAAC8BQAAAAA=&#10;">
              <v:fill on="f" focussize="0,0"/>
              <v:stroke on="f" weight="0.5pt"/>
              <v:imagedata o:title=""/>
              <o:lock v:ext="edit" aspectratio="f"/>
              <v:textbox inset="0mm,0mm,0mm,0mm" style="mso-fit-shape-to-text:t;">
                <w:txbxContent>
                  <w:p w14:paraId="2016C51E">
                    <w:pPr>
                      <w:pStyle w:val="11"/>
                      <w:ind w:left="0" w:leftChars="0" w:firstLine="0" w:firstLineChars="0"/>
                      <w:rPr>
                        <w:sz w:val="32"/>
                        <w:szCs w:val="32"/>
                      </w:rPr>
                    </w:pPr>
                    <w:r>
                      <w:rPr>
                        <w:sz w:val="32"/>
                        <w:szCs w:val="32"/>
                      </w:rPr>
                      <w:t xml:space="preserve">— </w:t>
                    </w:r>
                    <w:r>
                      <w:rPr>
                        <w:sz w:val="32"/>
                        <w:szCs w:val="32"/>
                      </w:rPr>
                      <w:fldChar w:fldCharType="begin"/>
                    </w:r>
                    <w:r>
                      <w:rPr>
                        <w:sz w:val="32"/>
                        <w:szCs w:val="32"/>
                      </w:rPr>
                      <w:instrText xml:space="preserve"> PAGE  \* MERGEFORMAT </w:instrText>
                    </w:r>
                    <w:r>
                      <w:rPr>
                        <w:sz w:val="32"/>
                        <w:szCs w:val="32"/>
                      </w:rPr>
                      <w:fldChar w:fldCharType="separate"/>
                    </w:r>
                    <w:r>
                      <w:rPr>
                        <w:sz w:val="32"/>
                        <w:szCs w:val="32"/>
                      </w:rPr>
                      <w:t>1</w:t>
                    </w:r>
                    <w:r>
                      <w:rPr>
                        <w:sz w:val="32"/>
                        <w:szCs w:val="32"/>
                      </w:rPr>
                      <w:fldChar w:fldCharType="end"/>
                    </w:r>
                    <w:r>
                      <w:rPr>
                        <w:sz w:val="32"/>
                        <w:szCs w:val="32"/>
                      </w:rPr>
                      <w:t xml:space="preserve"> —</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560"/>
      </w:pPr>
      <w:r>
        <w:separator/>
      </w:r>
    </w:p>
  </w:footnote>
  <w:footnote w:type="continuationSeparator" w:id="1">
    <w:p>
      <w:pPr>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0BAFDF">
    <w:pPr>
      <w:pBdr>
        <w:top w:val="none" w:color="auto" w:sz="0" w:space="1"/>
        <w:left w:val="none" w:color="auto" w:sz="0" w:space="4"/>
        <w:bottom w:val="none" w:color="auto" w:sz="0" w:space="1"/>
        <w:right w:val="none" w:color="auto" w:sz="0" w:space="4"/>
      </w:pBdr>
      <w:tabs>
        <w:tab w:val="center" w:pos="4150"/>
        <w:tab w:val="right" w:pos="8306"/>
      </w:tabs>
      <w:snapToGrid w:val="0"/>
      <w:ind w:firstLine="0" w:firstLineChars="0"/>
      <w:jc w:val="left"/>
      <w:rPr>
        <w:u w:val="non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72F3B84"/>
    <w:multiLevelType w:val="multilevel"/>
    <w:tmpl w:val="372F3B84"/>
    <w:lvl w:ilvl="0" w:tentative="0">
      <w:start w:val="1"/>
      <w:numFmt w:val="japaneseCounting"/>
      <w:pStyle w:val="4"/>
      <w:lvlText w:val="（%1）"/>
      <w:lvlJc w:val="left"/>
      <w:pPr>
        <w:ind w:left="1937" w:hanging="977"/>
      </w:pPr>
      <w:rPr>
        <w:rFonts w:hint="default"/>
      </w:rPr>
    </w:lvl>
    <w:lvl w:ilvl="1" w:tentative="0">
      <w:start w:val="1"/>
      <w:numFmt w:val="lowerLetter"/>
      <w:lvlText w:val="%2)"/>
      <w:lvlJc w:val="left"/>
      <w:pPr>
        <w:ind w:left="1840" w:hanging="440"/>
      </w:pPr>
    </w:lvl>
    <w:lvl w:ilvl="2" w:tentative="0">
      <w:start w:val="1"/>
      <w:numFmt w:val="lowerRoman"/>
      <w:lvlText w:val="%3."/>
      <w:lvlJc w:val="right"/>
      <w:pPr>
        <w:ind w:left="2280" w:hanging="440"/>
      </w:pPr>
    </w:lvl>
    <w:lvl w:ilvl="3" w:tentative="0">
      <w:start w:val="1"/>
      <w:numFmt w:val="decimal"/>
      <w:lvlText w:val="%4."/>
      <w:lvlJc w:val="left"/>
      <w:pPr>
        <w:ind w:left="2720" w:hanging="440"/>
      </w:pPr>
    </w:lvl>
    <w:lvl w:ilvl="4" w:tentative="0">
      <w:start w:val="1"/>
      <w:numFmt w:val="lowerLetter"/>
      <w:lvlText w:val="%5)"/>
      <w:lvlJc w:val="left"/>
      <w:pPr>
        <w:ind w:left="3160" w:hanging="440"/>
      </w:pPr>
    </w:lvl>
    <w:lvl w:ilvl="5" w:tentative="0">
      <w:start w:val="1"/>
      <w:numFmt w:val="lowerRoman"/>
      <w:lvlText w:val="%6."/>
      <w:lvlJc w:val="right"/>
      <w:pPr>
        <w:ind w:left="3600" w:hanging="440"/>
      </w:pPr>
    </w:lvl>
    <w:lvl w:ilvl="6" w:tentative="0">
      <w:start w:val="1"/>
      <w:numFmt w:val="decimal"/>
      <w:lvlText w:val="%7."/>
      <w:lvlJc w:val="left"/>
      <w:pPr>
        <w:ind w:left="4040" w:hanging="440"/>
      </w:pPr>
    </w:lvl>
    <w:lvl w:ilvl="7" w:tentative="0">
      <w:start w:val="1"/>
      <w:numFmt w:val="lowerLetter"/>
      <w:lvlText w:val="%8)"/>
      <w:lvlJc w:val="left"/>
      <w:pPr>
        <w:ind w:left="4480" w:hanging="440"/>
      </w:pPr>
    </w:lvl>
    <w:lvl w:ilvl="8" w:tentative="0">
      <w:start w:val="1"/>
      <w:numFmt w:val="lowerRoman"/>
      <w:lvlText w:val="%9."/>
      <w:lvlJc w:val="right"/>
      <w:pPr>
        <w:ind w:left="4920" w:hanging="440"/>
      </w:pPr>
    </w:lvl>
  </w:abstractNum>
  <w:abstractNum w:abstractNumId="1">
    <w:nsid w:val="60A4DF1E"/>
    <w:multiLevelType w:val="multilevel"/>
    <w:tmpl w:val="60A4DF1E"/>
    <w:lvl w:ilvl="0" w:tentative="0">
      <w:start w:val="1"/>
      <w:numFmt w:val="chineseCounting"/>
      <w:suff w:val="nothing"/>
      <w:lvlText w:val="%1、"/>
      <w:lvlJc w:val="left"/>
      <w:pPr>
        <w:tabs>
          <w:tab w:val="left" w:pos="0"/>
        </w:tabs>
        <w:ind w:left="0" w:firstLine="0"/>
      </w:pPr>
      <w:rPr>
        <w:rFonts w:hint="eastAsia" w:ascii="宋体" w:hAnsi="宋体" w:eastAsia="宋体" w:cs="宋体"/>
      </w:rPr>
    </w:lvl>
    <w:lvl w:ilvl="1" w:tentative="0">
      <w:start w:val="1"/>
      <w:numFmt w:val="chineseCounting"/>
      <w:suff w:val="nothing"/>
      <w:lvlText w:val="（%2）"/>
      <w:lvlJc w:val="left"/>
      <w:pPr>
        <w:ind w:left="0" w:firstLine="0"/>
      </w:pPr>
      <w:rPr>
        <w:rFonts w:hint="eastAsia" w:ascii="宋体" w:hAnsi="宋体" w:eastAsia="宋体" w:cs="宋体"/>
      </w:rPr>
    </w:lvl>
    <w:lvl w:ilvl="2" w:tentative="0">
      <w:start w:val="1"/>
      <w:numFmt w:val="decimal"/>
      <w:pStyle w:val="3"/>
      <w:suff w:val="nothing"/>
      <w:lvlText w:val="%3．"/>
      <w:lvlJc w:val="left"/>
      <w:pPr>
        <w:ind w:left="0" w:firstLine="400"/>
      </w:pPr>
      <w:rPr>
        <w:rFonts w:hint="eastAsia" w:ascii="宋体" w:hAnsi="宋体" w:eastAsia="宋体" w:cs="宋体"/>
      </w:rPr>
    </w:lvl>
    <w:lvl w:ilvl="3" w:tentative="0">
      <w:start w:val="1"/>
      <w:numFmt w:val="decimal"/>
      <w:suff w:val="nothing"/>
      <w:lvlText w:val="（%4）"/>
      <w:lvlJc w:val="left"/>
      <w:pPr>
        <w:ind w:left="0" w:firstLine="402"/>
      </w:pPr>
      <w:rPr>
        <w:rFonts w:hint="eastAsia" w:ascii="宋体" w:hAnsi="宋体" w:eastAsia="宋体" w:cs="宋体"/>
      </w:rPr>
    </w:lvl>
    <w:lvl w:ilvl="4" w:tentative="0">
      <w:start w:val="1"/>
      <w:numFmt w:val="decimalEnclosedCircleChinese"/>
      <w:suff w:val="nothing"/>
      <w:lvlText w:val="%5"/>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E5M2JhZjNlZGRmY2I3MDBiNjBkZWI3YTgzNWY3NWEifQ=="/>
  </w:docVars>
  <w:rsids>
    <w:rsidRoot w:val="00172A27"/>
    <w:rsid w:val="00072D71"/>
    <w:rsid w:val="00097BF8"/>
    <w:rsid w:val="000C45D6"/>
    <w:rsid w:val="000C754C"/>
    <w:rsid w:val="000E2AA0"/>
    <w:rsid w:val="00127F9D"/>
    <w:rsid w:val="00145DD7"/>
    <w:rsid w:val="00147C82"/>
    <w:rsid w:val="00163525"/>
    <w:rsid w:val="00172A27"/>
    <w:rsid w:val="001A6E39"/>
    <w:rsid w:val="00202FA3"/>
    <w:rsid w:val="00272C1D"/>
    <w:rsid w:val="002F7B42"/>
    <w:rsid w:val="0032304E"/>
    <w:rsid w:val="003655C8"/>
    <w:rsid w:val="003F0E80"/>
    <w:rsid w:val="004267A7"/>
    <w:rsid w:val="00443DB6"/>
    <w:rsid w:val="00451894"/>
    <w:rsid w:val="00452C50"/>
    <w:rsid w:val="004549BF"/>
    <w:rsid w:val="005D0FB9"/>
    <w:rsid w:val="00610FBA"/>
    <w:rsid w:val="00646411"/>
    <w:rsid w:val="0067664F"/>
    <w:rsid w:val="006E2F08"/>
    <w:rsid w:val="007221E5"/>
    <w:rsid w:val="00757BEA"/>
    <w:rsid w:val="007E5CD9"/>
    <w:rsid w:val="00804DDE"/>
    <w:rsid w:val="0085646D"/>
    <w:rsid w:val="00870DA1"/>
    <w:rsid w:val="0088162A"/>
    <w:rsid w:val="008956AD"/>
    <w:rsid w:val="008B2190"/>
    <w:rsid w:val="00934B72"/>
    <w:rsid w:val="00950253"/>
    <w:rsid w:val="00963AA7"/>
    <w:rsid w:val="00970070"/>
    <w:rsid w:val="009B5855"/>
    <w:rsid w:val="00A1757E"/>
    <w:rsid w:val="00A60B13"/>
    <w:rsid w:val="00AD1C0E"/>
    <w:rsid w:val="00AD64C4"/>
    <w:rsid w:val="00AE1EFF"/>
    <w:rsid w:val="00B11E73"/>
    <w:rsid w:val="00BB4B64"/>
    <w:rsid w:val="00BF1745"/>
    <w:rsid w:val="00BF55A4"/>
    <w:rsid w:val="00C46DF1"/>
    <w:rsid w:val="00C54B59"/>
    <w:rsid w:val="00CB3663"/>
    <w:rsid w:val="00CF395F"/>
    <w:rsid w:val="00D10437"/>
    <w:rsid w:val="00D33BD1"/>
    <w:rsid w:val="00EB673D"/>
    <w:rsid w:val="00EE1A30"/>
    <w:rsid w:val="00EE3529"/>
    <w:rsid w:val="00F80E20"/>
    <w:rsid w:val="00FF076D"/>
    <w:rsid w:val="01395070"/>
    <w:rsid w:val="015B3238"/>
    <w:rsid w:val="0174274A"/>
    <w:rsid w:val="01AE1362"/>
    <w:rsid w:val="0209008E"/>
    <w:rsid w:val="0221101D"/>
    <w:rsid w:val="028212C5"/>
    <w:rsid w:val="02B56978"/>
    <w:rsid w:val="031D77B8"/>
    <w:rsid w:val="03435D32"/>
    <w:rsid w:val="034B0AC6"/>
    <w:rsid w:val="03BD26AA"/>
    <w:rsid w:val="03C46413"/>
    <w:rsid w:val="03F043C9"/>
    <w:rsid w:val="03F5560D"/>
    <w:rsid w:val="05370DC3"/>
    <w:rsid w:val="05704583"/>
    <w:rsid w:val="05AE5131"/>
    <w:rsid w:val="069B1F26"/>
    <w:rsid w:val="06E2185D"/>
    <w:rsid w:val="071C5217"/>
    <w:rsid w:val="074574B7"/>
    <w:rsid w:val="077F711D"/>
    <w:rsid w:val="0815093A"/>
    <w:rsid w:val="08280844"/>
    <w:rsid w:val="08321414"/>
    <w:rsid w:val="08BC09C7"/>
    <w:rsid w:val="08CA0DBA"/>
    <w:rsid w:val="0AA10A64"/>
    <w:rsid w:val="0AAA2B3A"/>
    <w:rsid w:val="0ACB7C22"/>
    <w:rsid w:val="0BD10723"/>
    <w:rsid w:val="0C0A3890"/>
    <w:rsid w:val="0C82214A"/>
    <w:rsid w:val="0CC90B55"/>
    <w:rsid w:val="0CF63E15"/>
    <w:rsid w:val="0D0C53E6"/>
    <w:rsid w:val="0D4639D6"/>
    <w:rsid w:val="0D7279BB"/>
    <w:rsid w:val="0D7C008D"/>
    <w:rsid w:val="0DA06897"/>
    <w:rsid w:val="0DF462ED"/>
    <w:rsid w:val="0DF90060"/>
    <w:rsid w:val="0E19564B"/>
    <w:rsid w:val="0E3E5A73"/>
    <w:rsid w:val="0E522B49"/>
    <w:rsid w:val="0E5E23AA"/>
    <w:rsid w:val="0E6050D4"/>
    <w:rsid w:val="0E7F3C56"/>
    <w:rsid w:val="0EE4486D"/>
    <w:rsid w:val="0EF40828"/>
    <w:rsid w:val="0EF610D2"/>
    <w:rsid w:val="0EF97BEC"/>
    <w:rsid w:val="0F207817"/>
    <w:rsid w:val="0F24115F"/>
    <w:rsid w:val="0F7D48CD"/>
    <w:rsid w:val="0F851480"/>
    <w:rsid w:val="0F895427"/>
    <w:rsid w:val="0FA36556"/>
    <w:rsid w:val="100F5919"/>
    <w:rsid w:val="10433815"/>
    <w:rsid w:val="10607EBA"/>
    <w:rsid w:val="10A609B0"/>
    <w:rsid w:val="10C177C0"/>
    <w:rsid w:val="10FB12CE"/>
    <w:rsid w:val="11034D52"/>
    <w:rsid w:val="11641A35"/>
    <w:rsid w:val="11A54F88"/>
    <w:rsid w:val="11A55E09"/>
    <w:rsid w:val="1256364C"/>
    <w:rsid w:val="12F71BB3"/>
    <w:rsid w:val="13445E84"/>
    <w:rsid w:val="13463C67"/>
    <w:rsid w:val="134E407D"/>
    <w:rsid w:val="136916A0"/>
    <w:rsid w:val="13BF191E"/>
    <w:rsid w:val="13DD5D2E"/>
    <w:rsid w:val="144B4CE8"/>
    <w:rsid w:val="14827494"/>
    <w:rsid w:val="14DA48CB"/>
    <w:rsid w:val="14DA73CD"/>
    <w:rsid w:val="14DE1D5E"/>
    <w:rsid w:val="151B6B0E"/>
    <w:rsid w:val="153C7438"/>
    <w:rsid w:val="155B04E5"/>
    <w:rsid w:val="15762967"/>
    <w:rsid w:val="15C0420D"/>
    <w:rsid w:val="15C42D02"/>
    <w:rsid w:val="16310CFC"/>
    <w:rsid w:val="164E7445"/>
    <w:rsid w:val="16521418"/>
    <w:rsid w:val="167B192A"/>
    <w:rsid w:val="16BA737C"/>
    <w:rsid w:val="17404D18"/>
    <w:rsid w:val="178D5376"/>
    <w:rsid w:val="179E79D9"/>
    <w:rsid w:val="17FD7EEE"/>
    <w:rsid w:val="180A196B"/>
    <w:rsid w:val="181B0371"/>
    <w:rsid w:val="186A5A33"/>
    <w:rsid w:val="18A93AFC"/>
    <w:rsid w:val="18BC4164"/>
    <w:rsid w:val="18DA3FE0"/>
    <w:rsid w:val="18DD5A8A"/>
    <w:rsid w:val="190A1D86"/>
    <w:rsid w:val="195A2D50"/>
    <w:rsid w:val="196B6F54"/>
    <w:rsid w:val="19CD71FA"/>
    <w:rsid w:val="19E605C7"/>
    <w:rsid w:val="1A48253C"/>
    <w:rsid w:val="1A94413A"/>
    <w:rsid w:val="1AC02064"/>
    <w:rsid w:val="1AF776D6"/>
    <w:rsid w:val="1B0B2AA5"/>
    <w:rsid w:val="1B334486"/>
    <w:rsid w:val="1BDF6BC8"/>
    <w:rsid w:val="1C141C3C"/>
    <w:rsid w:val="1C2C3D72"/>
    <w:rsid w:val="1C535707"/>
    <w:rsid w:val="1C580E62"/>
    <w:rsid w:val="1C975E00"/>
    <w:rsid w:val="1CEE6A53"/>
    <w:rsid w:val="1D046172"/>
    <w:rsid w:val="1D484219"/>
    <w:rsid w:val="1D4F18C5"/>
    <w:rsid w:val="1D9A1CE4"/>
    <w:rsid w:val="1DD67D6F"/>
    <w:rsid w:val="1E036392"/>
    <w:rsid w:val="1E0C3498"/>
    <w:rsid w:val="1ED16069"/>
    <w:rsid w:val="1ED24185"/>
    <w:rsid w:val="1ED35C04"/>
    <w:rsid w:val="1ED903FD"/>
    <w:rsid w:val="1EE16233"/>
    <w:rsid w:val="1EFB57A6"/>
    <w:rsid w:val="1F372797"/>
    <w:rsid w:val="1F406C39"/>
    <w:rsid w:val="1FB262C1"/>
    <w:rsid w:val="1FD20322"/>
    <w:rsid w:val="1FE92B41"/>
    <w:rsid w:val="1FFEDEEE"/>
    <w:rsid w:val="201E1FEE"/>
    <w:rsid w:val="202E7632"/>
    <w:rsid w:val="20533B33"/>
    <w:rsid w:val="207456E4"/>
    <w:rsid w:val="20A3724F"/>
    <w:rsid w:val="20CB7E98"/>
    <w:rsid w:val="21CC56B8"/>
    <w:rsid w:val="21F711A6"/>
    <w:rsid w:val="22460F43"/>
    <w:rsid w:val="22612BC4"/>
    <w:rsid w:val="2297354C"/>
    <w:rsid w:val="22DD16D2"/>
    <w:rsid w:val="22F7E8FF"/>
    <w:rsid w:val="23386ADD"/>
    <w:rsid w:val="234C0C7F"/>
    <w:rsid w:val="23A67EEB"/>
    <w:rsid w:val="23F46FD7"/>
    <w:rsid w:val="24283899"/>
    <w:rsid w:val="24436E8F"/>
    <w:rsid w:val="248C4080"/>
    <w:rsid w:val="24C04FDC"/>
    <w:rsid w:val="24FD16C3"/>
    <w:rsid w:val="25790BDA"/>
    <w:rsid w:val="25F533FB"/>
    <w:rsid w:val="26331263"/>
    <w:rsid w:val="263F3713"/>
    <w:rsid w:val="265058AE"/>
    <w:rsid w:val="265F3B15"/>
    <w:rsid w:val="269C2300"/>
    <w:rsid w:val="271534C4"/>
    <w:rsid w:val="271E56C4"/>
    <w:rsid w:val="27391076"/>
    <w:rsid w:val="273B0505"/>
    <w:rsid w:val="277338DD"/>
    <w:rsid w:val="27A6495D"/>
    <w:rsid w:val="27F31AB9"/>
    <w:rsid w:val="27F60C89"/>
    <w:rsid w:val="27FFC5C7"/>
    <w:rsid w:val="282B56B9"/>
    <w:rsid w:val="28371A2F"/>
    <w:rsid w:val="284452E7"/>
    <w:rsid w:val="28523CBE"/>
    <w:rsid w:val="28757938"/>
    <w:rsid w:val="28860508"/>
    <w:rsid w:val="28950ECF"/>
    <w:rsid w:val="291B3F45"/>
    <w:rsid w:val="294B0B24"/>
    <w:rsid w:val="29581F66"/>
    <w:rsid w:val="29942B89"/>
    <w:rsid w:val="2A0E67EA"/>
    <w:rsid w:val="2A14341E"/>
    <w:rsid w:val="2A257690"/>
    <w:rsid w:val="2A3049B2"/>
    <w:rsid w:val="2A817549"/>
    <w:rsid w:val="2AC554D1"/>
    <w:rsid w:val="2ADB2B70"/>
    <w:rsid w:val="2B275DB5"/>
    <w:rsid w:val="2B625A5F"/>
    <w:rsid w:val="2BBE5215"/>
    <w:rsid w:val="2BD70482"/>
    <w:rsid w:val="2C2F0835"/>
    <w:rsid w:val="2CBB4441"/>
    <w:rsid w:val="2CC80ED2"/>
    <w:rsid w:val="2CD1263C"/>
    <w:rsid w:val="2CF37A27"/>
    <w:rsid w:val="2CF74E38"/>
    <w:rsid w:val="2D241E80"/>
    <w:rsid w:val="2D324D1A"/>
    <w:rsid w:val="2D525A3B"/>
    <w:rsid w:val="2D6319D3"/>
    <w:rsid w:val="2D9D27E0"/>
    <w:rsid w:val="2DE812E1"/>
    <w:rsid w:val="2E750BE6"/>
    <w:rsid w:val="2E7B50BC"/>
    <w:rsid w:val="2E982D28"/>
    <w:rsid w:val="2EAE40F8"/>
    <w:rsid w:val="2ED1320F"/>
    <w:rsid w:val="2F040BD9"/>
    <w:rsid w:val="2F3274A5"/>
    <w:rsid w:val="2FBBA5AB"/>
    <w:rsid w:val="2FBF381C"/>
    <w:rsid w:val="2FC260AC"/>
    <w:rsid w:val="2FD91648"/>
    <w:rsid w:val="2FEF2A5C"/>
    <w:rsid w:val="3052247A"/>
    <w:rsid w:val="305D77B8"/>
    <w:rsid w:val="3090670D"/>
    <w:rsid w:val="30C03825"/>
    <w:rsid w:val="312B48AF"/>
    <w:rsid w:val="31B5579D"/>
    <w:rsid w:val="32A47AB4"/>
    <w:rsid w:val="32CB27BC"/>
    <w:rsid w:val="33105381"/>
    <w:rsid w:val="336B6A5B"/>
    <w:rsid w:val="337B49B9"/>
    <w:rsid w:val="33B06AEC"/>
    <w:rsid w:val="33BD27DF"/>
    <w:rsid w:val="33EB569F"/>
    <w:rsid w:val="33FA0C54"/>
    <w:rsid w:val="34113BD6"/>
    <w:rsid w:val="34140406"/>
    <w:rsid w:val="342C7375"/>
    <w:rsid w:val="34B42BB5"/>
    <w:rsid w:val="34C73C1C"/>
    <w:rsid w:val="350D6544"/>
    <w:rsid w:val="35EE2E3C"/>
    <w:rsid w:val="36001598"/>
    <w:rsid w:val="360308FA"/>
    <w:rsid w:val="36527A5E"/>
    <w:rsid w:val="36870F62"/>
    <w:rsid w:val="369B1CB2"/>
    <w:rsid w:val="36BF54EC"/>
    <w:rsid w:val="36C17759"/>
    <w:rsid w:val="36DC449D"/>
    <w:rsid w:val="36F56951"/>
    <w:rsid w:val="37E36263"/>
    <w:rsid w:val="37EE368E"/>
    <w:rsid w:val="38554F2F"/>
    <w:rsid w:val="38693545"/>
    <w:rsid w:val="38C96200"/>
    <w:rsid w:val="38D85C62"/>
    <w:rsid w:val="390E6F8C"/>
    <w:rsid w:val="39131F2C"/>
    <w:rsid w:val="39374DDA"/>
    <w:rsid w:val="393C614A"/>
    <w:rsid w:val="39411EEC"/>
    <w:rsid w:val="39935632"/>
    <w:rsid w:val="39E6508D"/>
    <w:rsid w:val="3A3949DD"/>
    <w:rsid w:val="3A4A7C37"/>
    <w:rsid w:val="3A7649A2"/>
    <w:rsid w:val="3A81279A"/>
    <w:rsid w:val="3AE5274E"/>
    <w:rsid w:val="3B072D35"/>
    <w:rsid w:val="3B3301C2"/>
    <w:rsid w:val="3B626037"/>
    <w:rsid w:val="3BD70C1C"/>
    <w:rsid w:val="3C065573"/>
    <w:rsid w:val="3C4B567C"/>
    <w:rsid w:val="3C837FE5"/>
    <w:rsid w:val="3CB15DE8"/>
    <w:rsid w:val="3D1F22E5"/>
    <w:rsid w:val="3D3960CA"/>
    <w:rsid w:val="3D997564"/>
    <w:rsid w:val="3DB744C0"/>
    <w:rsid w:val="3DB8289D"/>
    <w:rsid w:val="3DE87F46"/>
    <w:rsid w:val="3DFC2E05"/>
    <w:rsid w:val="3E144470"/>
    <w:rsid w:val="3E432DCF"/>
    <w:rsid w:val="3E8E1632"/>
    <w:rsid w:val="3F3E2FE9"/>
    <w:rsid w:val="3F5605BF"/>
    <w:rsid w:val="3F646F3E"/>
    <w:rsid w:val="3F7B5870"/>
    <w:rsid w:val="3FAD280D"/>
    <w:rsid w:val="3FAFC9F3"/>
    <w:rsid w:val="3FBD0AA0"/>
    <w:rsid w:val="3FBFE8A3"/>
    <w:rsid w:val="3FBFF11E"/>
    <w:rsid w:val="3FC78042"/>
    <w:rsid w:val="3FCF6EEE"/>
    <w:rsid w:val="3FFA9567"/>
    <w:rsid w:val="3FFBC9EC"/>
    <w:rsid w:val="3FFFEA14"/>
    <w:rsid w:val="400D7690"/>
    <w:rsid w:val="4069560F"/>
    <w:rsid w:val="412070D7"/>
    <w:rsid w:val="41322966"/>
    <w:rsid w:val="414508EB"/>
    <w:rsid w:val="41670862"/>
    <w:rsid w:val="41731B45"/>
    <w:rsid w:val="41DC7289"/>
    <w:rsid w:val="41FD2ABB"/>
    <w:rsid w:val="421C165C"/>
    <w:rsid w:val="423D5A66"/>
    <w:rsid w:val="42811671"/>
    <w:rsid w:val="428B71EF"/>
    <w:rsid w:val="42A2347D"/>
    <w:rsid w:val="43251644"/>
    <w:rsid w:val="43802285"/>
    <w:rsid w:val="43A7F1A6"/>
    <w:rsid w:val="43D2284D"/>
    <w:rsid w:val="43ED42A2"/>
    <w:rsid w:val="44865DC2"/>
    <w:rsid w:val="44986F84"/>
    <w:rsid w:val="44A86EA6"/>
    <w:rsid w:val="44B03869"/>
    <w:rsid w:val="44B958DC"/>
    <w:rsid w:val="44E65F41"/>
    <w:rsid w:val="44FE2B7A"/>
    <w:rsid w:val="45221C05"/>
    <w:rsid w:val="45576E3F"/>
    <w:rsid w:val="455812EC"/>
    <w:rsid w:val="456F5F37"/>
    <w:rsid w:val="45761D23"/>
    <w:rsid w:val="4593493B"/>
    <w:rsid w:val="459B16D3"/>
    <w:rsid w:val="459E4A6E"/>
    <w:rsid w:val="45F31D67"/>
    <w:rsid w:val="45FF29D4"/>
    <w:rsid w:val="460A4087"/>
    <w:rsid w:val="462A15BD"/>
    <w:rsid w:val="4633306D"/>
    <w:rsid w:val="46625636"/>
    <w:rsid w:val="46E2098A"/>
    <w:rsid w:val="470879FF"/>
    <w:rsid w:val="4712301E"/>
    <w:rsid w:val="477D22C4"/>
    <w:rsid w:val="47970F04"/>
    <w:rsid w:val="48D56225"/>
    <w:rsid w:val="493C0826"/>
    <w:rsid w:val="49D23684"/>
    <w:rsid w:val="49E41186"/>
    <w:rsid w:val="49F243D5"/>
    <w:rsid w:val="4A3F0AC3"/>
    <w:rsid w:val="4A6E0EB3"/>
    <w:rsid w:val="4AD1435D"/>
    <w:rsid w:val="4AFA2C7B"/>
    <w:rsid w:val="4B0435C5"/>
    <w:rsid w:val="4B58271A"/>
    <w:rsid w:val="4B6B11A9"/>
    <w:rsid w:val="4B9C6B82"/>
    <w:rsid w:val="4BDE4024"/>
    <w:rsid w:val="4C1635B0"/>
    <w:rsid w:val="4C907F6D"/>
    <w:rsid w:val="4CA46E0E"/>
    <w:rsid w:val="4CAE35BE"/>
    <w:rsid w:val="4CFC2039"/>
    <w:rsid w:val="4D101EA3"/>
    <w:rsid w:val="4D111FCA"/>
    <w:rsid w:val="4D3E2370"/>
    <w:rsid w:val="4D6E449B"/>
    <w:rsid w:val="4F0A34DF"/>
    <w:rsid w:val="4F5F5C7E"/>
    <w:rsid w:val="4F7241B1"/>
    <w:rsid w:val="4FCD04DF"/>
    <w:rsid w:val="4FF7181A"/>
    <w:rsid w:val="4FFE309A"/>
    <w:rsid w:val="507D0BBC"/>
    <w:rsid w:val="507E6B2A"/>
    <w:rsid w:val="50F87728"/>
    <w:rsid w:val="51290B58"/>
    <w:rsid w:val="51381763"/>
    <w:rsid w:val="51842D6A"/>
    <w:rsid w:val="51960840"/>
    <w:rsid w:val="51D7639A"/>
    <w:rsid w:val="51E2208C"/>
    <w:rsid w:val="5221572C"/>
    <w:rsid w:val="52265F38"/>
    <w:rsid w:val="52291B63"/>
    <w:rsid w:val="527E3C5D"/>
    <w:rsid w:val="52EF2BDF"/>
    <w:rsid w:val="535B753F"/>
    <w:rsid w:val="53B16AD7"/>
    <w:rsid w:val="543748C0"/>
    <w:rsid w:val="54B716A8"/>
    <w:rsid w:val="55516FE9"/>
    <w:rsid w:val="55681707"/>
    <w:rsid w:val="55AC2CD2"/>
    <w:rsid w:val="55B812E3"/>
    <w:rsid w:val="55D82153"/>
    <w:rsid w:val="561A2F05"/>
    <w:rsid w:val="566E5A78"/>
    <w:rsid w:val="56A7003A"/>
    <w:rsid w:val="575D29C4"/>
    <w:rsid w:val="577B4EF8"/>
    <w:rsid w:val="57950BEC"/>
    <w:rsid w:val="579A41D9"/>
    <w:rsid w:val="57BD01C5"/>
    <w:rsid w:val="57BE73BD"/>
    <w:rsid w:val="57C56C55"/>
    <w:rsid w:val="57E13BCA"/>
    <w:rsid w:val="57EAF5E5"/>
    <w:rsid w:val="58334AD1"/>
    <w:rsid w:val="5864421C"/>
    <w:rsid w:val="58F55AD6"/>
    <w:rsid w:val="5901172B"/>
    <w:rsid w:val="594F3C5E"/>
    <w:rsid w:val="59561F19"/>
    <w:rsid w:val="596B1981"/>
    <w:rsid w:val="59821BED"/>
    <w:rsid w:val="59CF4D9E"/>
    <w:rsid w:val="59DE4A58"/>
    <w:rsid w:val="59EE791A"/>
    <w:rsid w:val="5A56101C"/>
    <w:rsid w:val="5AB4383C"/>
    <w:rsid w:val="5AED719F"/>
    <w:rsid w:val="5B0A7A07"/>
    <w:rsid w:val="5B1433B1"/>
    <w:rsid w:val="5B353327"/>
    <w:rsid w:val="5B3C271A"/>
    <w:rsid w:val="5B3F384B"/>
    <w:rsid w:val="5B5F5E1B"/>
    <w:rsid w:val="5B685559"/>
    <w:rsid w:val="5B8F6EDB"/>
    <w:rsid w:val="5BE414C5"/>
    <w:rsid w:val="5BFBC47E"/>
    <w:rsid w:val="5BFBFEEF"/>
    <w:rsid w:val="5BFE6DE9"/>
    <w:rsid w:val="5C1E1F40"/>
    <w:rsid w:val="5C5537BA"/>
    <w:rsid w:val="5C694A22"/>
    <w:rsid w:val="5C7458E1"/>
    <w:rsid w:val="5CBF46AD"/>
    <w:rsid w:val="5CE479D1"/>
    <w:rsid w:val="5CFF3025"/>
    <w:rsid w:val="5D3C5456"/>
    <w:rsid w:val="5D3E2967"/>
    <w:rsid w:val="5D7B4679"/>
    <w:rsid w:val="5D7C3989"/>
    <w:rsid w:val="5DCDBD87"/>
    <w:rsid w:val="5E6D6710"/>
    <w:rsid w:val="5E7C5B9B"/>
    <w:rsid w:val="5EA82B76"/>
    <w:rsid w:val="5EB1D3F4"/>
    <w:rsid w:val="5EDB5F93"/>
    <w:rsid w:val="5F246AEA"/>
    <w:rsid w:val="5F3B183F"/>
    <w:rsid w:val="5F5617FE"/>
    <w:rsid w:val="5F562031"/>
    <w:rsid w:val="5F774ACC"/>
    <w:rsid w:val="5F9C373E"/>
    <w:rsid w:val="5FBF7263"/>
    <w:rsid w:val="5FCF84ED"/>
    <w:rsid w:val="5FDB26EF"/>
    <w:rsid w:val="5FDFC83C"/>
    <w:rsid w:val="5FF7A0DE"/>
    <w:rsid w:val="60017C7C"/>
    <w:rsid w:val="6020741B"/>
    <w:rsid w:val="60695F4D"/>
    <w:rsid w:val="608914CC"/>
    <w:rsid w:val="6094289E"/>
    <w:rsid w:val="60A725D1"/>
    <w:rsid w:val="60D13AF2"/>
    <w:rsid w:val="60F11867"/>
    <w:rsid w:val="61035425"/>
    <w:rsid w:val="61492D1C"/>
    <w:rsid w:val="615C16D6"/>
    <w:rsid w:val="618A3DC3"/>
    <w:rsid w:val="61C15430"/>
    <w:rsid w:val="61E46B12"/>
    <w:rsid w:val="6200643D"/>
    <w:rsid w:val="62102CE3"/>
    <w:rsid w:val="62222B09"/>
    <w:rsid w:val="62311D7E"/>
    <w:rsid w:val="62350D51"/>
    <w:rsid w:val="627C5614"/>
    <w:rsid w:val="62BA758E"/>
    <w:rsid w:val="62BB6119"/>
    <w:rsid w:val="62D11B87"/>
    <w:rsid w:val="630D7F41"/>
    <w:rsid w:val="630F26B0"/>
    <w:rsid w:val="636724EC"/>
    <w:rsid w:val="636C18B0"/>
    <w:rsid w:val="63A71F74"/>
    <w:rsid w:val="63ED0D4F"/>
    <w:rsid w:val="64FE5F84"/>
    <w:rsid w:val="652F1904"/>
    <w:rsid w:val="65835D1E"/>
    <w:rsid w:val="65BF660F"/>
    <w:rsid w:val="65C7404D"/>
    <w:rsid w:val="65F17436"/>
    <w:rsid w:val="664669D8"/>
    <w:rsid w:val="66BB8914"/>
    <w:rsid w:val="66C0483B"/>
    <w:rsid w:val="66CC410D"/>
    <w:rsid w:val="66EE54A9"/>
    <w:rsid w:val="67152FB8"/>
    <w:rsid w:val="67551304"/>
    <w:rsid w:val="676254A4"/>
    <w:rsid w:val="678D0D6C"/>
    <w:rsid w:val="67AB4C59"/>
    <w:rsid w:val="67C96B35"/>
    <w:rsid w:val="67D8ED11"/>
    <w:rsid w:val="684306E9"/>
    <w:rsid w:val="68723580"/>
    <w:rsid w:val="68994500"/>
    <w:rsid w:val="69172000"/>
    <w:rsid w:val="697F1380"/>
    <w:rsid w:val="699A1F8A"/>
    <w:rsid w:val="69A93917"/>
    <w:rsid w:val="69F84725"/>
    <w:rsid w:val="6A4A3BFD"/>
    <w:rsid w:val="6B43739A"/>
    <w:rsid w:val="6BCE4EB6"/>
    <w:rsid w:val="6BFFA4D9"/>
    <w:rsid w:val="6C196A9A"/>
    <w:rsid w:val="6C590980"/>
    <w:rsid w:val="6C75429C"/>
    <w:rsid w:val="6C7D23DE"/>
    <w:rsid w:val="6C8163CC"/>
    <w:rsid w:val="6C862912"/>
    <w:rsid w:val="6CFA1652"/>
    <w:rsid w:val="6CFC1EF7"/>
    <w:rsid w:val="6CFD7E08"/>
    <w:rsid w:val="6D0F4A6A"/>
    <w:rsid w:val="6D3D4391"/>
    <w:rsid w:val="6D4F2BB4"/>
    <w:rsid w:val="6D8E68B6"/>
    <w:rsid w:val="6DB91B96"/>
    <w:rsid w:val="6DCD214C"/>
    <w:rsid w:val="6E3C3302"/>
    <w:rsid w:val="6E7E0482"/>
    <w:rsid w:val="6E7F1593"/>
    <w:rsid w:val="6E8B15BA"/>
    <w:rsid w:val="6EC3F98A"/>
    <w:rsid w:val="6EDE010C"/>
    <w:rsid w:val="6EFE7E0F"/>
    <w:rsid w:val="6F5F3DDC"/>
    <w:rsid w:val="6FBF4705"/>
    <w:rsid w:val="6FC06BC3"/>
    <w:rsid w:val="6FC24E02"/>
    <w:rsid w:val="6FCD2B35"/>
    <w:rsid w:val="6FEFDAF3"/>
    <w:rsid w:val="6FF658FB"/>
    <w:rsid w:val="6FFB1FF0"/>
    <w:rsid w:val="6FFEF6BD"/>
    <w:rsid w:val="70161521"/>
    <w:rsid w:val="70756248"/>
    <w:rsid w:val="70983CE4"/>
    <w:rsid w:val="70BB65E4"/>
    <w:rsid w:val="70C04FE9"/>
    <w:rsid w:val="70E817A2"/>
    <w:rsid w:val="70EF71B7"/>
    <w:rsid w:val="70FAFB2A"/>
    <w:rsid w:val="71506ACE"/>
    <w:rsid w:val="716138A0"/>
    <w:rsid w:val="71753151"/>
    <w:rsid w:val="71867FE1"/>
    <w:rsid w:val="71A73D3E"/>
    <w:rsid w:val="71AD1A11"/>
    <w:rsid w:val="71D4087A"/>
    <w:rsid w:val="71E34413"/>
    <w:rsid w:val="71FE401B"/>
    <w:rsid w:val="726A16B0"/>
    <w:rsid w:val="72766A84"/>
    <w:rsid w:val="727D4F24"/>
    <w:rsid w:val="72822E9E"/>
    <w:rsid w:val="72A146DD"/>
    <w:rsid w:val="72A70FAA"/>
    <w:rsid w:val="72D6227E"/>
    <w:rsid w:val="72DD1E82"/>
    <w:rsid w:val="72E66F89"/>
    <w:rsid w:val="73113F43"/>
    <w:rsid w:val="734944D8"/>
    <w:rsid w:val="7357511D"/>
    <w:rsid w:val="737446DD"/>
    <w:rsid w:val="737A3B75"/>
    <w:rsid w:val="737C1264"/>
    <w:rsid w:val="739B12EB"/>
    <w:rsid w:val="73A007FF"/>
    <w:rsid w:val="73AB6533"/>
    <w:rsid w:val="74620891"/>
    <w:rsid w:val="74D774D1"/>
    <w:rsid w:val="74E42203"/>
    <w:rsid w:val="751F197F"/>
    <w:rsid w:val="75297601"/>
    <w:rsid w:val="752C5839"/>
    <w:rsid w:val="758650B4"/>
    <w:rsid w:val="759E9462"/>
    <w:rsid w:val="75AB7F59"/>
    <w:rsid w:val="75D9457B"/>
    <w:rsid w:val="75E579CC"/>
    <w:rsid w:val="7613520C"/>
    <w:rsid w:val="76301170"/>
    <w:rsid w:val="763E70DC"/>
    <w:rsid w:val="76937428"/>
    <w:rsid w:val="76DD68F5"/>
    <w:rsid w:val="76EB7264"/>
    <w:rsid w:val="76EEE66D"/>
    <w:rsid w:val="76EF82A2"/>
    <w:rsid w:val="76F20DAE"/>
    <w:rsid w:val="76FBFBCD"/>
    <w:rsid w:val="77245415"/>
    <w:rsid w:val="77503BA8"/>
    <w:rsid w:val="77B03C03"/>
    <w:rsid w:val="77B627D2"/>
    <w:rsid w:val="77BDFB3C"/>
    <w:rsid w:val="77BF2551"/>
    <w:rsid w:val="77CB4ADD"/>
    <w:rsid w:val="77F50D0E"/>
    <w:rsid w:val="77FCCDF3"/>
    <w:rsid w:val="7821727C"/>
    <w:rsid w:val="78243701"/>
    <w:rsid w:val="782E0A91"/>
    <w:rsid w:val="7866291A"/>
    <w:rsid w:val="788E7EA5"/>
    <w:rsid w:val="78A639F9"/>
    <w:rsid w:val="78F74A7F"/>
    <w:rsid w:val="7922343B"/>
    <w:rsid w:val="7926388B"/>
    <w:rsid w:val="79521C10"/>
    <w:rsid w:val="795E17F1"/>
    <w:rsid w:val="795FF9E4"/>
    <w:rsid w:val="79D42C0A"/>
    <w:rsid w:val="79FFF26D"/>
    <w:rsid w:val="7A267238"/>
    <w:rsid w:val="7A30225F"/>
    <w:rsid w:val="7AAE7979"/>
    <w:rsid w:val="7AD5E80B"/>
    <w:rsid w:val="7AE7FD2B"/>
    <w:rsid w:val="7AF3D7EA"/>
    <w:rsid w:val="7AFE98C0"/>
    <w:rsid w:val="7B0A37F3"/>
    <w:rsid w:val="7B2EC99E"/>
    <w:rsid w:val="7B3E4BF5"/>
    <w:rsid w:val="7B3E7254"/>
    <w:rsid w:val="7B676EB1"/>
    <w:rsid w:val="7B93031C"/>
    <w:rsid w:val="7BB3345A"/>
    <w:rsid w:val="7BBE09F0"/>
    <w:rsid w:val="7BCF7C7E"/>
    <w:rsid w:val="7BD61AD5"/>
    <w:rsid w:val="7BF9C739"/>
    <w:rsid w:val="7BFB259B"/>
    <w:rsid w:val="7BFF440A"/>
    <w:rsid w:val="7BFF8FB5"/>
    <w:rsid w:val="7C8549E9"/>
    <w:rsid w:val="7C9E2A4A"/>
    <w:rsid w:val="7CCD70F6"/>
    <w:rsid w:val="7CFC4664"/>
    <w:rsid w:val="7D4E5235"/>
    <w:rsid w:val="7D7B61FA"/>
    <w:rsid w:val="7D7D8DD1"/>
    <w:rsid w:val="7D9F8B72"/>
    <w:rsid w:val="7DBBA20B"/>
    <w:rsid w:val="7DC66335"/>
    <w:rsid w:val="7DDEDC0D"/>
    <w:rsid w:val="7DEF7A8A"/>
    <w:rsid w:val="7DF3FD3E"/>
    <w:rsid w:val="7DF7F354"/>
    <w:rsid w:val="7DFB0575"/>
    <w:rsid w:val="7E154BC6"/>
    <w:rsid w:val="7E6B12CB"/>
    <w:rsid w:val="7E7273D9"/>
    <w:rsid w:val="7E7F81E4"/>
    <w:rsid w:val="7E8835EA"/>
    <w:rsid w:val="7E8D051D"/>
    <w:rsid w:val="7EACC565"/>
    <w:rsid w:val="7EB151EC"/>
    <w:rsid w:val="7EBB205B"/>
    <w:rsid w:val="7EBF2D50"/>
    <w:rsid w:val="7ECF1D1B"/>
    <w:rsid w:val="7ED22AB7"/>
    <w:rsid w:val="7ED7E605"/>
    <w:rsid w:val="7EDD74B9"/>
    <w:rsid w:val="7EF62516"/>
    <w:rsid w:val="7EFFE568"/>
    <w:rsid w:val="7F4B6054"/>
    <w:rsid w:val="7F5ABD7A"/>
    <w:rsid w:val="7F5CEBBD"/>
    <w:rsid w:val="7F7D7081"/>
    <w:rsid w:val="7F824F8C"/>
    <w:rsid w:val="7F8C4AD9"/>
    <w:rsid w:val="7FBF1A71"/>
    <w:rsid w:val="7FDFB4E3"/>
    <w:rsid w:val="7FDFE4A1"/>
    <w:rsid w:val="7FEF3380"/>
    <w:rsid w:val="7FFF3A16"/>
    <w:rsid w:val="7FFF5A94"/>
    <w:rsid w:val="83FF91AF"/>
    <w:rsid w:val="8AF62299"/>
    <w:rsid w:val="8D9E5958"/>
    <w:rsid w:val="8FEBAE37"/>
    <w:rsid w:val="8FF8B082"/>
    <w:rsid w:val="9FFC6A98"/>
    <w:rsid w:val="9FFF4B72"/>
    <w:rsid w:val="9FFFED75"/>
    <w:rsid w:val="A4FE2DAB"/>
    <w:rsid w:val="AD3B6A3F"/>
    <w:rsid w:val="AFE10A07"/>
    <w:rsid w:val="AFFE6005"/>
    <w:rsid w:val="B6FC2E9B"/>
    <w:rsid w:val="B7E7B2A0"/>
    <w:rsid w:val="B7EB1F3F"/>
    <w:rsid w:val="B9EB0C7F"/>
    <w:rsid w:val="B9FBD9F7"/>
    <w:rsid w:val="BBD563B5"/>
    <w:rsid w:val="BBFE7B1E"/>
    <w:rsid w:val="BBFF130D"/>
    <w:rsid w:val="BBFFDCD7"/>
    <w:rsid w:val="BCDCE214"/>
    <w:rsid w:val="BDAD1B8A"/>
    <w:rsid w:val="BDB9A1BB"/>
    <w:rsid w:val="BDFFCF40"/>
    <w:rsid w:val="BE7D5B73"/>
    <w:rsid w:val="BEEC8E32"/>
    <w:rsid w:val="BF7E0626"/>
    <w:rsid w:val="C76803D6"/>
    <w:rsid w:val="C77B49A1"/>
    <w:rsid w:val="CB9B34A2"/>
    <w:rsid w:val="CBB3A44B"/>
    <w:rsid w:val="CBDFAE21"/>
    <w:rsid w:val="CF1E2C65"/>
    <w:rsid w:val="CFFECBF1"/>
    <w:rsid w:val="D1D7B40E"/>
    <w:rsid w:val="D267D29C"/>
    <w:rsid w:val="D3ECC95C"/>
    <w:rsid w:val="D3ED3C8A"/>
    <w:rsid w:val="D6C76697"/>
    <w:rsid w:val="D70AFC06"/>
    <w:rsid w:val="D7DD1870"/>
    <w:rsid w:val="D9BFE668"/>
    <w:rsid w:val="D9F7E4F1"/>
    <w:rsid w:val="DA6CDFCE"/>
    <w:rsid w:val="DAFFE3D0"/>
    <w:rsid w:val="DB7F72A7"/>
    <w:rsid w:val="DBFF9A6B"/>
    <w:rsid w:val="DCDBFDC9"/>
    <w:rsid w:val="DD27FCAC"/>
    <w:rsid w:val="DD2D3FF7"/>
    <w:rsid w:val="DDCC86CA"/>
    <w:rsid w:val="DEFD6240"/>
    <w:rsid w:val="DEFF9AA2"/>
    <w:rsid w:val="DF5F6244"/>
    <w:rsid w:val="DFFE046B"/>
    <w:rsid w:val="E5B7349A"/>
    <w:rsid w:val="E5FFA019"/>
    <w:rsid w:val="E6DD0BF9"/>
    <w:rsid w:val="E7D6CC62"/>
    <w:rsid w:val="EBDE771E"/>
    <w:rsid w:val="EC6F8A7D"/>
    <w:rsid w:val="ED574481"/>
    <w:rsid w:val="EDBD7309"/>
    <w:rsid w:val="EDDFEE17"/>
    <w:rsid w:val="EDFDC52D"/>
    <w:rsid w:val="EEDBFCB9"/>
    <w:rsid w:val="EEDF5C73"/>
    <w:rsid w:val="EFB7FA07"/>
    <w:rsid w:val="EFDD9E34"/>
    <w:rsid w:val="EFEC0D03"/>
    <w:rsid w:val="EFF9121F"/>
    <w:rsid w:val="F4FEB764"/>
    <w:rsid w:val="F5DCD828"/>
    <w:rsid w:val="F6FFEE89"/>
    <w:rsid w:val="F77F6848"/>
    <w:rsid w:val="F77FB31B"/>
    <w:rsid w:val="F79FF762"/>
    <w:rsid w:val="F7D8FE1B"/>
    <w:rsid w:val="F7F540A6"/>
    <w:rsid w:val="F7F99798"/>
    <w:rsid w:val="F7FF2F46"/>
    <w:rsid w:val="F7FF624F"/>
    <w:rsid w:val="F8A20F1B"/>
    <w:rsid w:val="F8DF9610"/>
    <w:rsid w:val="F8ED456B"/>
    <w:rsid w:val="F8FC959D"/>
    <w:rsid w:val="F9FE23CE"/>
    <w:rsid w:val="FBED27CB"/>
    <w:rsid w:val="FD77E073"/>
    <w:rsid w:val="FDA3C67D"/>
    <w:rsid w:val="FDBFCCB1"/>
    <w:rsid w:val="FDE76F5F"/>
    <w:rsid w:val="FDF70401"/>
    <w:rsid w:val="FDFBBA80"/>
    <w:rsid w:val="FE9A4642"/>
    <w:rsid w:val="FEF71790"/>
    <w:rsid w:val="FEFEEE24"/>
    <w:rsid w:val="FEFF1801"/>
    <w:rsid w:val="FF256A0D"/>
    <w:rsid w:val="FF825E8E"/>
    <w:rsid w:val="FF9EC63C"/>
    <w:rsid w:val="FF9F7E4F"/>
    <w:rsid w:val="FFAE71A9"/>
    <w:rsid w:val="FFDDD3F3"/>
    <w:rsid w:val="FFDF345C"/>
    <w:rsid w:val="FFDF71A8"/>
    <w:rsid w:val="FFF358D4"/>
    <w:rsid w:val="FFF6C637"/>
    <w:rsid w:val="FFF7C73D"/>
    <w:rsid w:val="FFFF91E4"/>
    <w:rsid w:val="FFFFC2A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0" w:semiHidden="0"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1044" w:firstLineChars="200"/>
      <w:jc w:val="both"/>
    </w:pPr>
    <w:rPr>
      <w:rFonts w:ascii="Times New Roman" w:hAnsi="Times New Roman" w:eastAsia="仿宋_GB2312" w:cstheme="minorBidi"/>
      <w:kern w:val="2"/>
      <w:sz w:val="28"/>
      <w:szCs w:val="22"/>
      <w:lang w:val="en-US" w:eastAsia="zh-CN" w:bidi="ar-SA"/>
    </w:rPr>
  </w:style>
  <w:style w:type="paragraph" w:styleId="2">
    <w:name w:val="heading 2"/>
    <w:basedOn w:val="1"/>
    <w:next w:val="1"/>
    <w:unhideWhenUsed/>
    <w:qFormat/>
    <w:uiPriority w:val="9"/>
    <w:pPr>
      <w:keepNext/>
      <w:keepLines/>
      <w:spacing w:before="260" w:after="260" w:line="413" w:lineRule="auto"/>
      <w:outlineLvl w:val="1"/>
    </w:pPr>
    <w:rPr>
      <w:rFonts w:ascii="Arial" w:hAnsi="Arial" w:eastAsia="黑体"/>
      <w:b/>
      <w:sz w:val="32"/>
    </w:rPr>
  </w:style>
  <w:style w:type="paragraph" w:styleId="3">
    <w:name w:val="heading 3"/>
    <w:basedOn w:val="1"/>
    <w:next w:val="1"/>
    <w:qFormat/>
    <w:uiPriority w:val="0"/>
    <w:pPr>
      <w:keepNext/>
      <w:keepLines/>
      <w:numPr>
        <w:ilvl w:val="2"/>
        <w:numId w:val="1"/>
      </w:numPr>
      <w:spacing w:line="560" w:lineRule="exact"/>
      <w:ind w:firstLine="880"/>
      <w:outlineLvl w:val="2"/>
    </w:pPr>
    <w:rPr>
      <w:b/>
      <w:bCs/>
      <w:szCs w:val="32"/>
    </w:rPr>
  </w:style>
  <w:style w:type="character" w:default="1" w:styleId="20">
    <w:name w:val="Default Paragraph Font"/>
    <w:semiHidden/>
    <w:unhideWhenUsed/>
    <w:qFormat/>
    <w:uiPriority w:val="1"/>
  </w:style>
  <w:style w:type="table" w:default="1" w:styleId="18">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4">
    <w:name w:val="Normal Indent"/>
    <w:basedOn w:val="1"/>
    <w:unhideWhenUsed/>
    <w:qFormat/>
    <w:uiPriority w:val="99"/>
    <w:pPr>
      <w:numPr>
        <w:ilvl w:val="0"/>
        <w:numId w:val="2"/>
      </w:numPr>
      <w:spacing w:line="560" w:lineRule="exact"/>
    </w:pPr>
    <w:rPr>
      <w:rFonts w:ascii="楷体" w:hAnsi="楷体" w:eastAsia="楷体" w:cs="楷体"/>
      <w:szCs w:val="32"/>
    </w:rPr>
  </w:style>
  <w:style w:type="paragraph" w:styleId="5">
    <w:name w:val="annotation text"/>
    <w:basedOn w:val="1"/>
    <w:semiHidden/>
    <w:unhideWhenUsed/>
    <w:qFormat/>
    <w:uiPriority w:val="99"/>
    <w:pPr>
      <w:jc w:val="left"/>
    </w:pPr>
  </w:style>
  <w:style w:type="paragraph" w:styleId="6">
    <w:name w:val="Salutation"/>
    <w:basedOn w:val="1"/>
    <w:next w:val="1"/>
    <w:qFormat/>
    <w:uiPriority w:val="0"/>
  </w:style>
  <w:style w:type="paragraph" w:styleId="7">
    <w:name w:val="Body Text"/>
    <w:basedOn w:val="1"/>
    <w:next w:val="1"/>
    <w:qFormat/>
    <w:uiPriority w:val="0"/>
    <w:pPr>
      <w:spacing w:after="120"/>
    </w:pPr>
    <w:rPr>
      <w:rFonts w:ascii="Calibri" w:hAnsi="Calibri"/>
      <w:kern w:val="0"/>
      <w:szCs w:val="20"/>
    </w:rPr>
  </w:style>
  <w:style w:type="paragraph" w:styleId="8">
    <w:name w:val="Body Text Indent"/>
    <w:basedOn w:val="1"/>
    <w:link w:val="42"/>
    <w:semiHidden/>
    <w:unhideWhenUsed/>
    <w:qFormat/>
    <w:uiPriority w:val="99"/>
    <w:pPr>
      <w:ind w:firstLine="640"/>
    </w:pPr>
    <w:rPr>
      <w:rFonts w:ascii="Calibri" w:hAnsi="Calibri" w:eastAsia="宋体" w:cs="Times New Roman"/>
      <w:sz w:val="32"/>
      <w:szCs w:val="24"/>
    </w:rPr>
  </w:style>
  <w:style w:type="paragraph" w:styleId="9">
    <w:name w:val="toc 3"/>
    <w:basedOn w:val="1"/>
    <w:next w:val="1"/>
    <w:semiHidden/>
    <w:unhideWhenUsed/>
    <w:qFormat/>
    <w:uiPriority w:val="39"/>
    <w:pPr>
      <w:ind w:left="840" w:leftChars="400"/>
    </w:pPr>
  </w:style>
  <w:style w:type="paragraph" w:styleId="10">
    <w:name w:val="Body Text Indent 2"/>
    <w:basedOn w:val="1"/>
    <w:qFormat/>
    <w:uiPriority w:val="0"/>
    <w:pPr>
      <w:ind w:firstLine="645"/>
      <w:outlineLvl w:val="0"/>
    </w:pPr>
    <w:rPr>
      <w:rFonts w:ascii="仿宋_GB2312"/>
      <w:spacing w:val="-4"/>
      <w:sz w:val="32"/>
    </w:rPr>
  </w:style>
  <w:style w:type="paragraph" w:styleId="11">
    <w:name w:val="footer"/>
    <w:basedOn w:val="1"/>
    <w:link w:val="29"/>
    <w:unhideWhenUsed/>
    <w:qFormat/>
    <w:uiPriority w:val="99"/>
    <w:pPr>
      <w:tabs>
        <w:tab w:val="center" w:pos="4153"/>
        <w:tab w:val="right" w:pos="8306"/>
      </w:tabs>
      <w:snapToGrid w:val="0"/>
      <w:jc w:val="left"/>
    </w:pPr>
    <w:rPr>
      <w:sz w:val="18"/>
      <w:szCs w:val="18"/>
    </w:rPr>
  </w:style>
  <w:style w:type="paragraph" w:styleId="12">
    <w:name w:val="header"/>
    <w:basedOn w:val="1"/>
    <w:next w:val="1"/>
    <w:link w:val="28"/>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toc 1"/>
    <w:basedOn w:val="1"/>
    <w:next w:val="1"/>
    <w:unhideWhenUsed/>
    <w:qFormat/>
    <w:uiPriority w:val="39"/>
    <w:pPr>
      <w:tabs>
        <w:tab w:val="left" w:pos="709"/>
        <w:tab w:val="right" w:leader="dot" w:pos="8296"/>
      </w:tabs>
    </w:pPr>
  </w:style>
  <w:style w:type="paragraph" w:styleId="14">
    <w:name w:val="toc 2"/>
    <w:basedOn w:val="1"/>
    <w:next w:val="1"/>
    <w:unhideWhenUsed/>
    <w:qFormat/>
    <w:uiPriority w:val="39"/>
    <w:pPr>
      <w:ind w:left="420" w:leftChars="200"/>
    </w:pPr>
  </w:style>
  <w:style w:type="paragraph" w:styleId="15">
    <w:name w:val="Normal (Web)"/>
    <w:basedOn w:val="1"/>
    <w:unhideWhenUsed/>
    <w:qFormat/>
    <w:uiPriority w:val="99"/>
    <w:pPr>
      <w:spacing w:before="100" w:beforeAutospacing="1" w:after="100" w:afterAutospacing="1"/>
      <w:jc w:val="left"/>
    </w:pPr>
    <w:rPr>
      <w:rFonts w:cs="Times New Roman"/>
      <w:kern w:val="0"/>
      <w:sz w:val="24"/>
    </w:rPr>
  </w:style>
  <w:style w:type="paragraph" w:styleId="16">
    <w:name w:val="Title"/>
    <w:basedOn w:val="1"/>
    <w:link w:val="41"/>
    <w:qFormat/>
    <w:uiPriority w:val="10"/>
    <w:pPr>
      <w:spacing w:before="240" w:after="60"/>
      <w:jc w:val="center"/>
      <w:outlineLvl w:val="0"/>
    </w:pPr>
    <w:rPr>
      <w:rFonts w:ascii="Arial" w:hAnsi="Arial"/>
      <w:b/>
      <w:sz w:val="32"/>
    </w:rPr>
  </w:style>
  <w:style w:type="paragraph" w:styleId="17">
    <w:name w:val="Body Text First Indent 2"/>
    <w:basedOn w:val="8"/>
    <w:qFormat/>
    <w:uiPriority w:val="0"/>
    <w:pPr>
      <w:ind w:firstLine="420"/>
    </w:pPr>
  </w:style>
  <w:style w:type="table" w:styleId="19">
    <w:name w:val="Table Grid"/>
    <w:basedOn w:val="18"/>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Emphasis"/>
    <w:basedOn w:val="20"/>
    <w:qFormat/>
    <w:uiPriority w:val="20"/>
    <w:rPr>
      <w:i/>
    </w:rPr>
  </w:style>
  <w:style w:type="character" w:styleId="22">
    <w:name w:val="Hyperlink"/>
    <w:unhideWhenUsed/>
    <w:qFormat/>
    <w:uiPriority w:val="99"/>
    <w:rPr>
      <w:color w:val="4D4D4D"/>
      <w:u w:val="none"/>
    </w:rPr>
  </w:style>
  <w:style w:type="character" w:styleId="23">
    <w:name w:val="annotation reference"/>
    <w:basedOn w:val="20"/>
    <w:semiHidden/>
    <w:unhideWhenUsed/>
    <w:qFormat/>
    <w:uiPriority w:val="99"/>
    <w:rPr>
      <w:sz w:val="21"/>
      <w:szCs w:val="21"/>
    </w:rPr>
  </w:style>
  <w:style w:type="paragraph" w:customStyle="1" w:styleId="24">
    <w:name w:val="正文文本1"/>
    <w:basedOn w:val="1"/>
    <w:qFormat/>
    <w:uiPriority w:val="0"/>
    <w:pPr>
      <w:spacing w:line="386" w:lineRule="auto"/>
    </w:pPr>
    <w:rPr>
      <w:rFonts w:ascii="楷体" w:hAnsi="楷体" w:eastAsia="楷体" w:cs="楷体"/>
      <w:sz w:val="19"/>
      <w:szCs w:val="19"/>
      <w:lang w:val="zh-CN" w:bidi="zh-CN"/>
    </w:rPr>
  </w:style>
  <w:style w:type="paragraph" w:customStyle="1" w:styleId="25">
    <w:name w:val="Default"/>
    <w:next w:val="26"/>
    <w:qFormat/>
    <w:uiPriority w:val="0"/>
    <w:pPr>
      <w:autoSpaceDE w:val="0"/>
      <w:autoSpaceDN w:val="0"/>
      <w:adjustRightInd w:val="0"/>
    </w:pPr>
    <w:rPr>
      <w:rFonts w:ascii="微软雅黑" w:hAnsi="Calibri" w:eastAsia="微软雅黑" w:cs="微软雅黑"/>
      <w:color w:val="000000"/>
      <w:sz w:val="24"/>
      <w:szCs w:val="24"/>
      <w:lang w:val="en-US" w:eastAsia="zh-CN" w:bidi="ar-SA"/>
    </w:rPr>
  </w:style>
  <w:style w:type="paragraph" w:customStyle="1" w:styleId="26">
    <w:name w:val="_Style 1"/>
    <w:basedOn w:val="1"/>
    <w:next w:val="1"/>
    <w:qFormat/>
    <w:uiPriority w:val="0"/>
    <w:pPr>
      <w:pBdr>
        <w:top w:val="single" w:color="auto" w:sz="6" w:space="1"/>
      </w:pBdr>
      <w:jc w:val="center"/>
    </w:pPr>
    <w:rPr>
      <w:rFonts w:ascii="Arial" w:eastAsia="宋体"/>
      <w:vanish/>
      <w:sz w:val="16"/>
    </w:rPr>
  </w:style>
  <w:style w:type="paragraph" w:customStyle="1" w:styleId="27">
    <w:name w:val="常用样式（方正仿宋简）"/>
    <w:basedOn w:val="1"/>
    <w:qFormat/>
    <w:uiPriority w:val="0"/>
    <w:pPr>
      <w:spacing w:line="560" w:lineRule="exact"/>
      <w:ind w:firstLine="640"/>
    </w:pPr>
    <w:rPr>
      <w:rFonts w:eastAsia="仿宋"/>
      <w:sz w:val="32"/>
    </w:rPr>
  </w:style>
  <w:style w:type="character" w:customStyle="1" w:styleId="28">
    <w:name w:val="页眉 字符"/>
    <w:basedOn w:val="20"/>
    <w:link w:val="12"/>
    <w:qFormat/>
    <w:uiPriority w:val="99"/>
    <w:rPr>
      <w:sz w:val="18"/>
      <w:szCs w:val="18"/>
    </w:rPr>
  </w:style>
  <w:style w:type="character" w:customStyle="1" w:styleId="29">
    <w:name w:val="页脚 字符"/>
    <w:basedOn w:val="20"/>
    <w:link w:val="11"/>
    <w:qFormat/>
    <w:uiPriority w:val="99"/>
    <w:rPr>
      <w:sz w:val="18"/>
      <w:szCs w:val="18"/>
    </w:rPr>
  </w:style>
  <w:style w:type="character" w:customStyle="1" w:styleId="30">
    <w:name w:val="font11"/>
    <w:basedOn w:val="20"/>
    <w:qFormat/>
    <w:uiPriority w:val="0"/>
    <w:rPr>
      <w:rFonts w:hint="eastAsia" w:ascii="宋体" w:hAnsi="宋体" w:eastAsia="宋体" w:cs="宋体"/>
      <w:color w:val="000000"/>
      <w:sz w:val="21"/>
      <w:szCs w:val="21"/>
      <w:u w:val="none"/>
    </w:rPr>
  </w:style>
  <w:style w:type="character" w:customStyle="1" w:styleId="31">
    <w:name w:val="font01"/>
    <w:basedOn w:val="20"/>
    <w:qFormat/>
    <w:uiPriority w:val="0"/>
    <w:rPr>
      <w:rFonts w:hint="default" w:ascii="Calibri" w:hAnsi="Calibri" w:cs="Calibri"/>
      <w:color w:val="000000"/>
      <w:sz w:val="21"/>
      <w:szCs w:val="21"/>
      <w:u w:val="none"/>
    </w:rPr>
  </w:style>
  <w:style w:type="character" w:customStyle="1" w:styleId="32">
    <w:name w:val="font71"/>
    <w:basedOn w:val="20"/>
    <w:qFormat/>
    <w:uiPriority w:val="0"/>
    <w:rPr>
      <w:rFonts w:hint="eastAsia" w:ascii="仿宋" w:hAnsi="仿宋" w:eastAsia="仿宋" w:cs="仿宋"/>
      <w:b/>
      <w:color w:val="000000"/>
      <w:sz w:val="24"/>
      <w:szCs w:val="24"/>
      <w:u w:val="none"/>
    </w:rPr>
  </w:style>
  <w:style w:type="character" w:customStyle="1" w:styleId="33">
    <w:name w:val="font51"/>
    <w:basedOn w:val="20"/>
    <w:qFormat/>
    <w:uiPriority w:val="0"/>
    <w:rPr>
      <w:rFonts w:hint="eastAsia" w:ascii="仿宋" w:hAnsi="仿宋" w:eastAsia="仿宋" w:cs="仿宋"/>
      <w:color w:val="000000"/>
      <w:sz w:val="24"/>
      <w:szCs w:val="24"/>
      <w:u w:val="none"/>
    </w:rPr>
  </w:style>
  <w:style w:type="character" w:customStyle="1" w:styleId="34">
    <w:name w:val="font31"/>
    <w:basedOn w:val="20"/>
    <w:qFormat/>
    <w:uiPriority w:val="0"/>
    <w:rPr>
      <w:rFonts w:hint="eastAsia" w:ascii="宋体" w:hAnsi="宋体" w:eastAsia="宋体" w:cs="宋体"/>
      <w:b/>
      <w:color w:val="000000"/>
      <w:sz w:val="22"/>
      <w:szCs w:val="22"/>
      <w:u w:val="none"/>
    </w:rPr>
  </w:style>
  <w:style w:type="character" w:customStyle="1" w:styleId="35">
    <w:name w:val="font21"/>
    <w:basedOn w:val="20"/>
    <w:qFormat/>
    <w:uiPriority w:val="0"/>
    <w:rPr>
      <w:rFonts w:hint="eastAsia" w:ascii="宋体" w:hAnsi="宋体" w:eastAsia="宋体" w:cs="宋体"/>
      <w:color w:val="000000"/>
      <w:sz w:val="20"/>
      <w:szCs w:val="20"/>
      <w:u w:val="none"/>
    </w:rPr>
  </w:style>
  <w:style w:type="character" w:customStyle="1" w:styleId="36">
    <w:name w:val="font41"/>
    <w:basedOn w:val="20"/>
    <w:qFormat/>
    <w:uiPriority w:val="0"/>
    <w:rPr>
      <w:rFonts w:hint="default" w:ascii="Times New Roman" w:hAnsi="Times New Roman" w:cs="Times New Roman"/>
      <w:b/>
      <w:color w:val="000000"/>
      <w:sz w:val="20"/>
      <w:szCs w:val="20"/>
      <w:u w:val="none"/>
    </w:rPr>
  </w:style>
  <w:style w:type="paragraph" w:customStyle="1" w:styleId="37">
    <w:name w:val="WPSOffice手动目录 1"/>
    <w:qFormat/>
    <w:uiPriority w:val="0"/>
    <w:rPr>
      <w:rFonts w:ascii="Times New Roman" w:hAnsi="Times New Roman" w:eastAsia="宋体" w:cs="Times New Roman"/>
      <w:lang w:val="en-US" w:eastAsia="zh-CN" w:bidi="ar-SA"/>
    </w:rPr>
  </w:style>
  <w:style w:type="paragraph" w:customStyle="1" w:styleId="38">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39">
    <w:name w:val="表格"/>
    <w:basedOn w:val="1"/>
    <w:qFormat/>
    <w:uiPriority w:val="0"/>
    <w:rPr>
      <w:rFonts w:hint="eastAsia"/>
      <w:kern w:val="0"/>
      <w:sz w:val="24"/>
      <w:szCs w:val="20"/>
    </w:rPr>
  </w:style>
  <w:style w:type="paragraph" w:customStyle="1" w:styleId="40">
    <w:name w:val="页眉或页脚 (2)"/>
    <w:basedOn w:val="1"/>
    <w:qFormat/>
    <w:uiPriority w:val="0"/>
    <w:rPr>
      <w:rFonts w:eastAsia="Times New Roman" w:cs="Times New Roman"/>
      <w:sz w:val="20"/>
      <w:szCs w:val="20"/>
      <w:lang w:val="zh-CN" w:bidi="zh-CN"/>
    </w:rPr>
  </w:style>
  <w:style w:type="character" w:customStyle="1" w:styleId="41">
    <w:name w:val="标题 字符"/>
    <w:basedOn w:val="20"/>
    <w:link w:val="16"/>
    <w:qFormat/>
    <w:uiPriority w:val="0"/>
    <w:rPr>
      <w:rFonts w:ascii="等线 Light" w:hAnsi="等线 Light" w:eastAsia="等线 Light" w:cs="Times New Roman"/>
      <w:b/>
      <w:bCs/>
      <w:kern w:val="2"/>
      <w:sz w:val="32"/>
      <w:szCs w:val="32"/>
    </w:rPr>
  </w:style>
  <w:style w:type="character" w:customStyle="1" w:styleId="42">
    <w:name w:val="正文文本缩进 字符"/>
    <w:basedOn w:val="20"/>
    <w:link w:val="8"/>
    <w:qFormat/>
    <w:uiPriority w:val="0"/>
    <w:rPr>
      <w:kern w:val="2"/>
      <w:sz w:val="32"/>
      <w:szCs w:val="24"/>
    </w:rPr>
  </w:style>
  <w:style w:type="paragraph" w:customStyle="1" w:styleId="43">
    <w:name w:val="修订1"/>
    <w:hidden/>
    <w:semiHidden/>
    <w:qFormat/>
    <w:uiPriority w:val="99"/>
    <w:rPr>
      <w:rFonts w:ascii="Times New Roman" w:hAnsi="Times New Roman" w:eastAsia="仿宋_GB2312" w:cstheme="minorBidi"/>
      <w:kern w:val="2"/>
      <w:sz w:val="28"/>
      <w:szCs w:val="22"/>
      <w:lang w:val="en-US" w:eastAsia="zh-CN" w:bidi="ar-SA"/>
    </w:rPr>
  </w:style>
  <w:style w:type="paragraph" w:customStyle="1" w:styleId="44">
    <w:name w:val="Revision"/>
    <w:hidden/>
    <w:unhideWhenUsed/>
    <w:qFormat/>
    <w:uiPriority w:val="99"/>
    <w:rPr>
      <w:rFonts w:ascii="Times New Roman" w:hAnsi="Times New Roman" w:eastAsia="仿宋_GB2312" w:cstheme="minorBidi"/>
      <w:kern w:val="2"/>
      <w:sz w:val="28"/>
      <w:szCs w:val="22"/>
      <w:lang w:val="en-US" w:eastAsia="zh-CN" w:bidi="ar-SA"/>
    </w:rPr>
  </w:style>
  <w:style w:type="character" w:customStyle="1" w:styleId="45">
    <w:name w:val="15"/>
    <w:basedOn w:val="20"/>
    <w:qFormat/>
    <w:uiPriority w:val="0"/>
    <w:rPr>
      <w:rFonts w:hint="default" w:ascii="Times New Roman" w:hAnsi="Times New Roman" w:cs="Times New Roman"/>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reviewItem>
      <errorID>d5eae244-9958-42e3-980b-d5e39f963c30</errorID>
      <errorWord>年</errorWord>
      <group>L1_Word</group>
      <groupName>字词问题</groupName>
      <ability>L2_Typo</ability>
      <abilityName>字词错误</abilityName>
      <candidateList>
        <item>年度</item>
      </candidateList>
      <explain/>
      <paraID>50FB6A35</paraID>
      <start>89</start>
      <end>91</end>
      <status>modified</status>
      <modifiedWord>年度</modifiedWord>
      <trackRevisions>false</trackRevisions>
    </reviewItem>
    <reviewItem>
      <errorID>9a9cd3c5-2c4f-4c2a-94a8-62576cd00209</errorID>
      <errorWord>完成</errorWord>
      <group>L1_AI</group>
      <groupName>深度校对</groupName>
      <ability>L2_AI_Word</ability>
      <abilityName>字词纠错</abilityName>
      <candidateList>
        <item>确保</item>
      </candidateList>
      <explain>〈动〉确实地保持或保证：～交通畅通｜加强田间管理，～粮食丰收。</explain>
      <paraID>11DCDB3B</paraID>
      <start>101</start>
      <end>103</end>
      <status>modified</status>
      <modifiedWord>确保</modifiedWord>
      <trackRevisions>false</trackRevisions>
    </reviewItem>
    <reviewItem>
      <errorID>9ed6e915-e751-459b-927b-c6433514131f</errorID>
      <errorWord>保障</errorWord>
      <group>L1_AI</group>
      <groupName>深度校对</groupName>
      <ability>L2_AI_Word</ability>
      <abilityName>字词纠错</abilityName>
      <candidateList>
        <item>提升</item>
      </candidateList>
      <explain/>
      <paraID>11DCDB3B</paraID>
      <start>114</start>
      <end>116</end>
      <status>modified</status>
      <modifiedWord>提升</modifiedWord>
      <trackRevisions>false</trackRevisions>
    </reviewItem>
    <reviewItem>
      <errorID>eb4ac24e-9976-41af-b0c7-ef0ae5f045c8</errorID>
      <errorWord>原则</errorWord>
      <group>L1_AI</group>
      <groupName>深度校对</groupName>
      <ability>L2_AI_Grammar</ability>
      <abilityName>语法纠错</abilityName>
      <candidateList>
        <item>原则，以这些原则</item>
      </candidateList>
      <explain/>
      <paraID>72F21F7E</paraID>
      <start>31</start>
      <end>39</end>
      <status>modified</status>
      <modifiedWord>原则，以这些原则</modifiedWord>
      <trackRevisions>false</trackRevisions>
    </reviewItem>
    <reviewItem>
      <errorID>a845a78d-c4d6-428b-98c6-984bbf4e3a2d</errorID>
      <errorWord>，</errorWord>
      <group>L1_AI</group>
      <groupName>深度校对</groupName>
      <ability>L2_AI_Grammar</ability>
      <abilityName>语法纠错</abilityName>
      <candidateList>
        <item>为指导，</item>
      </candidateList>
      <explain/>
      <paraID>72F21F7E</paraID>
      <start>39</start>
      <end>43</end>
      <status>modified</status>
      <modifiedWord>为指导，</modifiedWord>
      <trackRevisions>false</trackRevisions>
    </reviewItem>
    <reviewItem>
      <errorID>20b7c082-633e-4134-afc6-53626c196b0b</errorID>
      <errorWord>强化</errorWord>
      <group>L1_AI</group>
      <groupName>深度校对</groupName>
      <ability>L2_AI_Word</ability>
      <abilityName>字词纠错</abilityName>
      <candidateList>
        <item>维护</item>
      </candidateList>
      <explain/>
      <paraID>4997F2A4</paraID>
      <start>15</start>
      <end>17</end>
      <status>modified</status>
      <modifiedWord>维护</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2240ed6-9d32-4631-a50d-8ba30c88e565}">
  <ds:schemaRefs/>
</ds:datastoreItem>
</file>

<file path=docProps/app.xml><?xml version="1.0" encoding="utf-8"?>
<Properties xmlns="http://schemas.openxmlformats.org/officeDocument/2006/extended-properties" xmlns:vt="http://schemas.openxmlformats.org/officeDocument/2006/docPropsVTypes">
  <Company>Microsoft</Company>
  <Pages>16</Pages>
  <Words>6941</Words>
  <Characters>7709</Characters>
  <Lines>1</Lines>
  <Paragraphs>1</Paragraphs>
  <TotalTime>5</TotalTime>
  <ScaleCrop>false</ScaleCrop>
  <LinksUpToDate>false</LinksUpToDate>
  <CharactersWithSpaces>7790</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2020-04-11T15:49:00Z</dcterms:created>
  <dc:creator>ZC</dc:creator>
  <cp:lastModifiedBy>Administrator</cp:lastModifiedBy>
  <cp:lastPrinted>2024-11-08T07:16:00Z</cp:lastPrinted>
  <dcterms:modified xsi:type="dcterms:W3CDTF">2025-12-11T02:57:31Z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0323C17550B84971857CA4630E76FAC8</vt:lpwstr>
  </property>
  <property fmtid="{D5CDD505-2E9C-101B-9397-08002B2CF9AE}" pid="4" name="KSOTemplateDocerSaveRecord">
    <vt:lpwstr>eyJoZGlkIjoiMzlkMzQ2Y2I1ODA5MzZkNzZhYmIyNGZlZjQwYWNlNDMiLCJ1c2VySWQiOiIyNTYxODExOTYifQ==</vt:lpwstr>
  </property>
</Properties>
</file>