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6B4CD7">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bookmarkStart w:id="0" w:name="_Toc22314"/>
      <w:bookmarkStart w:id="1" w:name="_Toc29524"/>
      <w:bookmarkStart w:id="2" w:name="_Toc14462_WPSOffice_Level1"/>
    </w:p>
    <w:p w14:paraId="54012919">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505F6CF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281F6754">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01F509F1">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66BDF0A4">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5C89858B">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76DD2394">
      <w:pPr>
        <w:spacing w:line="600" w:lineRule="exact"/>
        <w:ind w:firstLine="0" w:firstLineChars="0"/>
        <w:jc w:val="center"/>
        <w:rPr>
          <w:rFonts w:hint="default" w:ascii="Times New Roman" w:hAnsi="Times New Roman" w:cs="Times New Roman"/>
          <w:sz w:val="32"/>
          <w:szCs w:val="32"/>
          <w:highlight w:val="none"/>
        </w:rPr>
      </w:pPr>
      <w:r>
        <w:rPr>
          <w:rFonts w:hint="default" w:ascii="Times New Roman" w:hAnsi="Times New Roman" w:cs="Times New Roman"/>
          <w:sz w:val="32"/>
          <w:szCs w:val="32"/>
          <w:highlight w:val="none"/>
        </w:rPr>
        <w:t>泸财绩〔2025〕3</w:t>
      </w:r>
      <w:r>
        <w:rPr>
          <w:rFonts w:hint="default" w:ascii="Times New Roman" w:hAnsi="Times New Roman" w:cs="Times New Roman"/>
          <w:sz w:val="32"/>
          <w:szCs w:val="32"/>
          <w:highlight w:val="none"/>
          <w:lang w:val="en-US" w:eastAsia="zh-CN"/>
        </w:rPr>
        <w:t>3</w:t>
      </w:r>
      <w:r>
        <w:rPr>
          <w:rFonts w:hint="default" w:ascii="Times New Roman" w:hAnsi="Times New Roman" w:cs="Times New Roman"/>
          <w:sz w:val="32"/>
          <w:szCs w:val="32"/>
          <w:highlight w:val="none"/>
        </w:rPr>
        <w:t>号</w:t>
      </w:r>
    </w:p>
    <w:p w14:paraId="45610563">
      <w:pPr>
        <w:keepNext w:val="0"/>
        <w:keepLines w:val="0"/>
        <w:pageBreakBefore w:val="0"/>
        <w:widowControl/>
        <w:kinsoku/>
        <w:wordWrap/>
        <w:overflowPunct/>
        <w:topLinePunct w:val="0"/>
        <w:autoSpaceDE/>
        <w:autoSpaceDN/>
        <w:bidi w:val="0"/>
        <w:spacing w:line="600" w:lineRule="exact"/>
        <w:ind w:left="0" w:firstLine="0" w:firstLineChars="0"/>
        <w:jc w:val="center"/>
        <w:rPr>
          <w:rFonts w:hint="default" w:ascii="Times New Roman" w:hAnsi="Times New Roman" w:eastAsia="仿宋" w:cs="Times New Roman"/>
          <w:color w:val="333333"/>
          <w:kern w:val="0"/>
          <w:sz w:val="32"/>
          <w:szCs w:val="32"/>
          <w:highlight w:val="none"/>
        </w:rPr>
      </w:pPr>
    </w:p>
    <w:p w14:paraId="14DBB894">
      <w:pPr>
        <w:pStyle w:val="10"/>
        <w:keepNext w:val="0"/>
        <w:keepLines w:val="0"/>
        <w:pageBreakBefore w:val="0"/>
        <w:kinsoku/>
        <w:wordWrap/>
        <w:overflowPunct/>
        <w:topLinePunct w:val="0"/>
        <w:autoSpaceDE/>
        <w:autoSpaceDN/>
        <w:bidi w:val="0"/>
        <w:spacing w:line="600" w:lineRule="exact"/>
        <w:ind w:left="0" w:firstLine="0" w:firstLineChars="0"/>
        <w:jc w:val="center"/>
        <w:outlineLvl w:val="9"/>
        <w:rPr>
          <w:rFonts w:hint="default" w:ascii="Times New Roman" w:hAnsi="Times New Roman" w:eastAsia="仿宋" w:cs="Times New Roman"/>
          <w:color w:val="333333"/>
          <w:kern w:val="0"/>
          <w:sz w:val="32"/>
          <w:szCs w:val="32"/>
          <w:highlight w:val="none"/>
        </w:rPr>
      </w:pPr>
    </w:p>
    <w:p w14:paraId="1DA9DDBB">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color w:val="auto"/>
          <w:sz w:val="44"/>
          <w:szCs w:val="44"/>
          <w:highlight w:val="none"/>
          <w:lang w:eastAsia="zh-CN"/>
        </w:rPr>
      </w:pPr>
      <w:bookmarkStart w:id="3" w:name="_Toc27398"/>
      <w:r>
        <w:rPr>
          <w:rFonts w:hint="eastAsia" w:ascii="方正小标宋简体" w:hAnsi="方正小标宋简体" w:eastAsia="方正小标宋简体" w:cs="方正小标宋简体"/>
          <w:color w:val="auto"/>
          <w:sz w:val="44"/>
          <w:szCs w:val="44"/>
          <w:highlight w:val="none"/>
          <w:lang w:eastAsia="zh-CN"/>
        </w:rPr>
        <w:t>中共泸定县委统一战线工作部</w:t>
      </w:r>
    </w:p>
    <w:p w14:paraId="014B69B0">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color w:val="auto"/>
          <w:sz w:val="44"/>
          <w:szCs w:val="44"/>
          <w:highlight w:val="none"/>
        </w:rPr>
      </w:pPr>
      <w:r>
        <w:rPr>
          <w:rFonts w:hint="eastAsia" w:ascii="方正小标宋简体" w:hAnsi="方正小标宋简体" w:eastAsia="方正小标宋简体" w:cs="方正小标宋简体"/>
          <w:color w:val="auto"/>
          <w:sz w:val="44"/>
          <w:szCs w:val="44"/>
          <w:highlight w:val="none"/>
          <w:lang w:eastAsia="zh"/>
        </w:rPr>
        <w:t>202</w:t>
      </w:r>
      <w:r>
        <w:rPr>
          <w:rFonts w:hint="eastAsia" w:ascii="方正小标宋简体" w:hAnsi="方正小标宋简体" w:eastAsia="方正小标宋简体" w:cs="方正小标宋简体"/>
          <w:color w:val="auto"/>
          <w:sz w:val="44"/>
          <w:szCs w:val="44"/>
          <w:highlight w:val="none"/>
          <w:lang w:val="en-US" w:eastAsia="zh-CN"/>
        </w:rPr>
        <w:t>4</w:t>
      </w:r>
      <w:r>
        <w:rPr>
          <w:rFonts w:hint="eastAsia" w:ascii="方正小标宋简体" w:hAnsi="方正小标宋简体" w:eastAsia="方正小标宋简体" w:cs="方正小标宋简体"/>
          <w:color w:val="auto"/>
          <w:sz w:val="44"/>
          <w:szCs w:val="44"/>
          <w:highlight w:val="none"/>
        </w:rPr>
        <w:t>年部门整体支出绩效评价报告</w:t>
      </w:r>
      <w:bookmarkEnd w:id="0"/>
      <w:bookmarkEnd w:id="1"/>
      <w:bookmarkEnd w:id="3"/>
    </w:p>
    <w:p w14:paraId="394EE5A3">
      <w:pPr>
        <w:pStyle w:val="17"/>
        <w:keepNext w:val="0"/>
        <w:keepLines w:val="0"/>
        <w:pageBreakBefore w:val="0"/>
        <w:kinsoku/>
        <w:wordWrap/>
        <w:overflowPunct/>
        <w:topLinePunct w:val="0"/>
        <w:autoSpaceDE/>
        <w:autoSpaceDN/>
        <w:bidi w:val="0"/>
        <w:spacing w:after="0" w:line="600" w:lineRule="exact"/>
        <w:ind w:left="0" w:firstLine="560"/>
        <w:rPr>
          <w:rFonts w:hint="default" w:ascii="Times New Roman" w:hAnsi="Times New Roman" w:eastAsia="仿宋" w:cs="Times New Roman"/>
          <w:color w:val="auto"/>
          <w:sz w:val="32"/>
          <w:szCs w:val="32"/>
          <w:highlight w:val="none"/>
          <w:lang w:val="fr-FR"/>
        </w:rPr>
      </w:pPr>
    </w:p>
    <w:p w14:paraId="2338DF5C">
      <w:pPr>
        <w:keepNext w:val="0"/>
        <w:keepLines w:val="0"/>
        <w:pageBreakBefore w:val="0"/>
        <w:kinsoku/>
        <w:wordWrap/>
        <w:overflowPunct/>
        <w:topLinePunct w:val="0"/>
        <w:autoSpaceDE/>
        <w:autoSpaceDN/>
        <w:bidi w:val="0"/>
        <w:spacing w:line="600" w:lineRule="exact"/>
        <w:ind w:left="0" w:leftChars="0" w:right="0" w:rightChars="0" w:firstLine="0" w:firstLineChars="0"/>
        <w:rPr>
          <w:rFonts w:hint="default" w:ascii="Times New Roman" w:hAnsi="Times New Roman" w:eastAsia="方正仿宋_GB2312" w:cs="Times New Roman"/>
          <w:color w:val="auto"/>
          <w:sz w:val="32"/>
          <w:szCs w:val="32"/>
          <w:highlight w:val="none"/>
          <w:lang w:val="fr-FR" w:eastAsia="zh-CN"/>
        </w:rPr>
      </w:pPr>
      <w:bookmarkStart w:id="4" w:name="_Toc8938"/>
      <w:bookmarkStart w:id="5" w:name="_Toc26210"/>
      <w:bookmarkStart w:id="6" w:name="_Toc6252"/>
      <w:r>
        <w:rPr>
          <w:rFonts w:hint="default" w:ascii="Times New Roman" w:hAnsi="Times New Roman" w:eastAsia="方正仿宋_GB2312" w:cs="Times New Roman"/>
          <w:color w:val="auto"/>
          <w:sz w:val="32"/>
          <w:szCs w:val="32"/>
          <w:highlight w:val="none"/>
          <w:lang w:val="fr-FR" w:eastAsia="zh-CN"/>
        </w:rPr>
        <w:t>中共泸定县委统一战线工作部：</w:t>
      </w:r>
    </w:p>
    <w:p w14:paraId="50FB6A35">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fr-FR"/>
        </w:rPr>
      </w:pPr>
      <w:r>
        <w:rPr>
          <w:rFonts w:hint="default" w:ascii="Times New Roman" w:hAnsi="Times New Roman" w:eastAsia="方正仿宋_GB2312" w:cs="Times New Roman"/>
          <w:sz w:val="32"/>
          <w:szCs w:val="32"/>
          <w:highlight w:val="none"/>
        </w:rPr>
        <w:t>根据《泸定县财政局</w:t>
      </w:r>
      <w:r>
        <w:rPr>
          <w:rFonts w:hint="default" w:ascii="Times New Roman" w:hAnsi="Times New Roman" w:eastAsia="方正仿宋_GB2312" w:cs="Times New Roman"/>
          <w:sz w:val="32"/>
          <w:szCs w:val="32"/>
          <w:highlight w:val="none"/>
          <w:lang w:eastAsia="zh"/>
        </w:rPr>
        <w:t>关于开展202</w:t>
      </w:r>
      <w:r>
        <w:rPr>
          <w:rFonts w:hint="default" w:ascii="Times New Roman" w:hAnsi="Times New Roman" w:eastAsia="方正仿宋_GB2312" w:cs="Times New Roman"/>
          <w:sz w:val="32"/>
          <w:szCs w:val="32"/>
          <w:highlight w:val="none"/>
        </w:rPr>
        <w:t>5</w:t>
      </w:r>
      <w:r>
        <w:rPr>
          <w:rFonts w:hint="default" w:ascii="Times New Roman" w:hAnsi="Times New Roman" w:eastAsia="方正仿宋_GB2312" w:cs="Times New Roman"/>
          <w:sz w:val="32"/>
          <w:szCs w:val="32"/>
          <w:highlight w:val="none"/>
          <w:lang w:eastAsia="zh"/>
        </w:rPr>
        <w:t>年度部门整体绩效评价工作的通知</w:t>
      </w:r>
      <w:r>
        <w:rPr>
          <w:rFonts w:hint="default" w:ascii="Times New Roman" w:hAnsi="Times New Roman" w:eastAsia="方正仿宋_GB2312" w:cs="Times New Roman"/>
          <w:sz w:val="32"/>
          <w:szCs w:val="32"/>
          <w:highlight w:val="none"/>
        </w:rPr>
        <w:t>》（</w:t>
      </w:r>
      <w:r>
        <w:rPr>
          <w:rFonts w:hint="default" w:ascii="Times New Roman" w:hAnsi="Times New Roman" w:eastAsia="方正仿宋_GB2312" w:cs="Times New Roman"/>
          <w:sz w:val="32"/>
          <w:szCs w:val="32"/>
          <w:highlight w:val="none"/>
          <w:lang w:eastAsia="zh"/>
        </w:rPr>
        <w:t>泸财〔202</w:t>
      </w:r>
      <w:r>
        <w:rPr>
          <w:rFonts w:hint="default" w:ascii="Times New Roman" w:hAnsi="Times New Roman" w:eastAsia="方正仿宋_GB2312" w:cs="Times New Roman"/>
          <w:sz w:val="32"/>
          <w:szCs w:val="32"/>
          <w:highlight w:val="none"/>
        </w:rPr>
        <w:t>5</w:t>
      </w:r>
      <w:r>
        <w:rPr>
          <w:rFonts w:hint="default" w:ascii="Times New Roman" w:hAnsi="Times New Roman" w:eastAsia="方正仿宋_GB2312" w:cs="Times New Roman"/>
          <w:sz w:val="32"/>
          <w:szCs w:val="32"/>
          <w:highlight w:val="none"/>
          <w:lang w:eastAsia="zh"/>
        </w:rPr>
        <w:t>〕</w:t>
      </w:r>
      <w:r>
        <w:rPr>
          <w:rFonts w:hint="default" w:ascii="Times New Roman" w:hAnsi="Times New Roman" w:eastAsia="方正仿宋_GB2312" w:cs="Times New Roman"/>
          <w:sz w:val="32"/>
          <w:szCs w:val="32"/>
          <w:highlight w:val="none"/>
        </w:rPr>
        <w:t>67</w:t>
      </w:r>
      <w:r>
        <w:rPr>
          <w:rFonts w:hint="default" w:ascii="Times New Roman" w:hAnsi="Times New Roman" w:eastAsia="方正仿宋_GB2312" w:cs="Times New Roman"/>
          <w:sz w:val="32"/>
          <w:szCs w:val="32"/>
          <w:highlight w:val="none"/>
          <w:lang w:eastAsia="zh"/>
        </w:rPr>
        <w:t>号</w:t>
      </w:r>
      <w:r>
        <w:rPr>
          <w:rFonts w:hint="default" w:ascii="Times New Roman" w:hAnsi="Times New Roman" w:eastAsia="方正仿宋_GB2312" w:cs="Times New Roman"/>
          <w:sz w:val="32"/>
          <w:szCs w:val="32"/>
          <w:highlight w:val="none"/>
        </w:rPr>
        <w:t>）要求，由我局工作人员和第三方机构专业人员组成绩效评价组，</w:t>
      </w:r>
      <w:r>
        <w:rPr>
          <w:rFonts w:hint="default" w:ascii="Times New Roman" w:hAnsi="Times New Roman" w:eastAsia="方正仿宋_GB2312" w:cs="Times New Roman"/>
          <w:color w:val="auto"/>
          <w:sz w:val="32"/>
          <w:szCs w:val="32"/>
          <w:highlight w:val="none"/>
          <w:lang w:val="fr-FR"/>
        </w:rPr>
        <w:t>对</w:t>
      </w:r>
      <w:r>
        <w:rPr>
          <w:rFonts w:hint="default" w:ascii="Times New Roman" w:hAnsi="Times New Roman" w:eastAsia="方正仿宋_GB2312" w:cs="Times New Roman"/>
          <w:color w:val="auto"/>
          <w:sz w:val="32"/>
          <w:szCs w:val="32"/>
          <w:highlight w:val="none"/>
          <w:lang w:val="fr-FR" w:eastAsia="zh-CN"/>
        </w:rPr>
        <w:t>中共泸定县委统一战线工作部</w:t>
      </w:r>
      <w:r>
        <w:rPr>
          <w:rFonts w:hint="default" w:ascii="Times New Roman" w:hAnsi="Times New Roman" w:eastAsia="方正仿宋_GB2312" w:cs="Times New Roman"/>
          <w:color w:val="auto"/>
          <w:sz w:val="32"/>
          <w:szCs w:val="32"/>
          <w:highlight w:val="none"/>
          <w:lang w:eastAsia="zh"/>
        </w:rPr>
        <w:t>202</w:t>
      </w:r>
      <w:r>
        <w:rPr>
          <w:rFonts w:hint="default" w:ascii="Times New Roman" w:hAnsi="Times New Roman" w:eastAsia="方正仿宋_GB2312" w:cs="Times New Roman"/>
          <w:color w:val="auto"/>
          <w:sz w:val="32"/>
          <w:szCs w:val="32"/>
          <w:highlight w:val="none"/>
          <w:lang w:val="en-US" w:eastAsia="zh-CN"/>
        </w:rPr>
        <w:t>4</w:t>
      </w:r>
      <w:r>
        <w:rPr>
          <w:rFonts w:hint="default" w:ascii="Times New Roman" w:hAnsi="Times New Roman" w:eastAsia="方正仿宋_GB2312" w:cs="Times New Roman"/>
          <w:color w:val="auto"/>
          <w:sz w:val="32"/>
          <w:szCs w:val="32"/>
          <w:highlight w:val="none"/>
        </w:rPr>
        <w:t>年部门整体支出进行</w:t>
      </w:r>
      <w:r>
        <w:rPr>
          <w:rFonts w:hint="default" w:ascii="Times New Roman" w:hAnsi="Times New Roman" w:eastAsia="方正仿宋_GB2312" w:cs="Times New Roman"/>
          <w:color w:val="auto"/>
          <w:sz w:val="32"/>
          <w:szCs w:val="32"/>
          <w:highlight w:val="none"/>
          <w:lang w:val="fr-FR"/>
        </w:rPr>
        <w:t>绩效评价。</w:t>
      </w:r>
      <w:r>
        <w:rPr>
          <w:rFonts w:hint="default" w:ascii="Times New Roman" w:hAnsi="Times New Roman" w:eastAsia="方正仿宋_GB2312" w:cs="Times New Roman"/>
          <w:color w:val="auto"/>
          <w:sz w:val="32"/>
          <w:szCs w:val="32"/>
          <w:highlight w:val="none"/>
          <w:lang w:val="fr-FR" w:eastAsia="zh-CN"/>
        </w:rPr>
        <w:t>中共泸定县委统一战线工作部</w:t>
      </w:r>
      <w:r>
        <w:rPr>
          <w:rFonts w:hint="default" w:ascii="Times New Roman" w:hAnsi="Times New Roman" w:eastAsia="方正仿宋_GB2312" w:cs="Times New Roman"/>
          <w:color w:val="auto"/>
          <w:sz w:val="32"/>
          <w:szCs w:val="32"/>
          <w:highlight w:val="none"/>
          <w:lang w:val="fr-FR"/>
        </w:rPr>
        <w:t>对其提供的绩效评价相关资料的真实性、合法性和完整性负责；我们的责任是依据《中共中央 国务院关于全面实施预算绩效管理的意见》（中发〔2018〕34号）、《中共四川省委 四川省人民政府关于全面实施预算绩效管理的实施意见》（川委发〔201</w:t>
      </w:r>
      <w:r>
        <w:rPr>
          <w:rFonts w:hint="default" w:ascii="Times New Roman" w:hAnsi="Times New Roman" w:eastAsia="方正仿宋_GB2312" w:cs="Times New Roman"/>
          <w:color w:val="auto"/>
          <w:sz w:val="32"/>
          <w:szCs w:val="32"/>
          <w:highlight w:val="none"/>
        </w:rPr>
        <w:t>9</w:t>
      </w:r>
      <w:r>
        <w:rPr>
          <w:rFonts w:hint="default" w:ascii="Times New Roman" w:hAnsi="Times New Roman" w:eastAsia="方正仿宋_GB2312" w:cs="Times New Roman"/>
          <w:color w:val="auto"/>
          <w:sz w:val="32"/>
          <w:szCs w:val="32"/>
          <w:highlight w:val="none"/>
          <w:lang w:val="fr-FR"/>
        </w:rPr>
        <w:t>〕8号）、《中共甘孜州委办公室 甘孜州人民政府办公室关于印发</w:t>
      </w:r>
      <w:r>
        <w:rPr>
          <w:rFonts w:hint="default" w:ascii="Times New Roman" w:hAnsi="Times New Roman" w:eastAsia="方正仿宋_GB2312" w:cs="Times New Roman"/>
          <w:color w:val="auto"/>
          <w:sz w:val="32"/>
          <w:szCs w:val="32"/>
          <w:highlight w:val="none"/>
        </w:rPr>
        <w:t>〈</w:t>
      </w:r>
      <w:r>
        <w:rPr>
          <w:rFonts w:hint="default" w:ascii="Times New Roman" w:hAnsi="Times New Roman" w:eastAsia="方正仿宋_GB2312" w:cs="Times New Roman"/>
          <w:color w:val="auto"/>
          <w:sz w:val="32"/>
          <w:szCs w:val="32"/>
          <w:highlight w:val="none"/>
          <w:lang w:val="fr-FR"/>
        </w:rPr>
        <w:t>甘孜州全面实施预算绩效管理工作实施方案</w:t>
      </w:r>
      <w:r>
        <w:rPr>
          <w:rFonts w:hint="default" w:ascii="Times New Roman" w:hAnsi="Times New Roman" w:eastAsia="方正仿宋_GB2312" w:cs="Times New Roman"/>
          <w:color w:val="auto"/>
          <w:sz w:val="32"/>
          <w:szCs w:val="32"/>
          <w:highlight w:val="none"/>
        </w:rPr>
        <w:t>〉</w:t>
      </w:r>
      <w:r>
        <w:rPr>
          <w:rFonts w:hint="default" w:ascii="Times New Roman" w:hAnsi="Times New Roman" w:eastAsia="方正仿宋_GB2312" w:cs="Times New Roman"/>
          <w:color w:val="auto"/>
          <w:sz w:val="32"/>
          <w:szCs w:val="32"/>
          <w:highlight w:val="none"/>
          <w:lang w:val="fr-FR"/>
        </w:rPr>
        <w:t>的通知》（甘委办〔201</w:t>
      </w:r>
      <w:r>
        <w:rPr>
          <w:rFonts w:hint="default" w:ascii="Times New Roman" w:hAnsi="Times New Roman" w:eastAsia="方正仿宋_GB2312" w:cs="Times New Roman"/>
          <w:color w:val="auto"/>
          <w:sz w:val="32"/>
          <w:szCs w:val="32"/>
          <w:highlight w:val="none"/>
        </w:rPr>
        <w:t>9</w:t>
      </w:r>
      <w:r>
        <w:rPr>
          <w:rFonts w:hint="default" w:ascii="Times New Roman" w:hAnsi="Times New Roman" w:eastAsia="方正仿宋_GB2312" w:cs="Times New Roman"/>
          <w:color w:val="auto"/>
          <w:sz w:val="32"/>
          <w:szCs w:val="32"/>
          <w:highlight w:val="none"/>
          <w:lang w:val="fr-FR"/>
        </w:rPr>
        <w:t>〕120号）</w:t>
      </w:r>
      <w:r>
        <w:rPr>
          <w:rFonts w:hint="default" w:ascii="Times New Roman" w:hAnsi="Times New Roman" w:eastAsia="方正仿宋_GB2312" w:cs="Times New Roman"/>
          <w:color w:val="auto"/>
          <w:sz w:val="32"/>
          <w:szCs w:val="32"/>
          <w:highlight w:val="none"/>
          <w:lang w:val="en-US" w:eastAsia="zh-CN"/>
        </w:rPr>
        <w:t>文件的</w:t>
      </w:r>
      <w:r>
        <w:rPr>
          <w:rFonts w:hint="default" w:ascii="Times New Roman" w:hAnsi="Times New Roman" w:eastAsia="方正仿宋_GB2312" w:cs="Times New Roman"/>
          <w:color w:val="auto"/>
          <w:sz w:val="32"/>
          <w:szCs w:val="32"/>
          <w:highlight w:val="none"/>
          <w:lang w:val="fr-FR"/>
        </w:rPr>
        <w:t>要求，结合</w:t>
      </w:r>
      <w:r>
        <w:rPr>
          <w:rFonts w:hint="default" w:ascii="Times New Roman" w:hAnsi="Times New Roman" w:eastAsia="方正仿宋_GB2312" w:cs="Times New Roman"/>
          <w:color w:val="auto"/>
          <w:sz w:val="32"/>
          <w:szCs w:val="32"/>
          <w:highlight w:val="none"/>
          <w:lang w:val="fr-FR" w:eastAsia="zh-CN"/>
        </w:rPr>
        <w:t>中共泸定县委统一战线工作部</w:t>
      </w:r>
      <w:r>
        <w:rPr>
          <w:rFonts w:hint="default" w:ascii="Times New Roman" w:hAnsi="Times New Roman" w:eastAsia="方正仿宋_GB2312" w:cs="Times New Roman"/>
          <w:color w:val="auto"/>
          <w:sz w:val="32"/>
          <w:szCs w:val="32"/>
          <w:highlight w:val="none"/>
          <w:lang w:val="fr-FR"/>
        </w:rPr>
        <w:t>的实际情况，对</w:t>
      </w:r>
      <w:r>
        <w:rPr>
          <w:rFonts w:hint="default" w:ascii="Times New Roman" w:hAnsi="Times New Roman" w:eastAsia="方正仿宋_GB2312" w:cs="Times New Roman"/>
          <w:color w:val="auto"/>
          <w:sz w:val="32"/>
          <w:szCs w:val="32"/>
          <w:highlight w:val="none"/>
          <w:lang w:eastAsia="zh"/>
        </w:rPr>
        <w:t>202</w:t>
      </w:r>
      <w:r>
        <w:rPr>
          <w:rFonts w:hint="default" w:ascii="Times New Roman" w:hAnsi="Times New Roman" w:eastAsia="方正仿宋_GB2312" w:cs="Times New Roman"/>
          <w:color w:val="auto"/>
          <w:sz w:val="32"/>
          <w:szCs w:val="32"/>
          <w:highlight w:val="none"/>
          <w:lang w:val="en-US" w:eastAsia="zh-CN"/>
        </w:rPr>
        <w:t>4</w:t>
      </w:r>
      <w:r>
        <w:rPr>
          <w:rFonts w:hint="default" w:ascii="Times New Roman" w:hAnsi="Times New Roman" w:eastAsia="方正仿宋_GB2312" w:cs="Times New Roman"/>
          <w:color w:val="auto"/>
          <w:sz w:val="32"/>
          <w:szCs w:val="32"/>
          <w:highlight w:val="none"/>
        </w:rPr>
        <w:t>年部门整体支出</w:t>
      </w:r>
      <w:r>
        <w:rPr>
          <w:rFonts w:hint="default" w:ascii="Times New Roman" w:hAnsi="Times New Roman" w:eastAsia="方正仿宋_GB2312" w:cs="Times New Roman"/>
          <w:color w:val="auto"/>
          <w:sz w:val="32"/>
          <w:szCs w:val="32"/>
          <w:highlight w:val="none"/>
          <w:lang w:val="fr-FR"/>
        </w:rPr>
        <w:t>进行绩效评价，并出具绩效评价报告，现将相关情况报告如下：</w:t>
      </w:r>
      <w:bookmarkEnd w:id="4"/>
      <w:bookmarkEnd w:id="5"/>
      <w:bookmarkEnd w:id="6"/>
      <w:bookmarkStart w:id="7" w:name="_Toc8555"/>
      <w:bookmarkStart w:id="8" w:name="_Toc12185"/>
      <w:bookmarkStart w:id="9" w:name="_Toc109483833"/>
    </w:p>
    <w:p w14:paraId="1CE7ED0B">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default" w:ascii="Times New Roman" w:hAnsi="Times New Roman" w:eastAsia="方正黑体简体" w:cs="Times New Roman"/>
          <w:color w:val="auto"/>
          <w:kern w:val="0"/>
          <w:sz w:val="32"/>
          <w:szCs w:val="32"/>
          <w:highlight w:val="none"/>
          <w:shd w:val="clear" w:color="auto" w:fill="FFFFFF"/>
          <w:lang w:eastAsia="zh-CN"/>
        </w:rPr>
      </w:pPr>
      <w:bookmarkStart w:id="10" w:name="_Toc26009"/>
      <w:bookmarkStart w:id="11" w:name="_Toc799907804"/>
      <w:bookmarkStart w:id="12" w:name="_Toc27571"/>
      <w:bookmarkStart w:id="13" w:name="_Toc18579"/>
      <w:bookmarkStart w:id="14" w:name="_Toc4351"/>
      <w:bookmarkStart w:id="15" w:name="_Toc10147"/>
      <w:bookmarkStart w:id="16" w:name="_Toc15220"/>
      <w:bookmarkStart w:id="17" w:name="_Toc12546"/>
      <w:r>
        <w:rPr>
          <w:rFonts w:hint="default" w:ascii="Times New Roman" w:hAnsi="Times New Roman" w:eastAsia="方正黑体简体" w:cs="Times New Roman"/>
          <w:color w:val="auto"/>
          <w:kern w:val="0"/>
          <w:sz w:val="32"/>
          <w:szCs w:val="32"/>
          <w:highlight w:val="none"/>
          <w:shd w:val="clear" w:color="auto" w:fill="FFFFFF"/>
        </w:rPr>
        <w:t>一、</w:t>
      </w:r>
      <w:bookmarkEnd w:id="7"/>
      <w:bookmarkEnd w:id="8"/>
      <w:r>
        <w:rPr>
          <w:rFonts w:hint="default" w:ascii="Times New Roman" w:hAnsi="Times New Roman" w:eastAsia="方正黑体简体" w:cs="Times New Roman"/>
          <w:color w:val="auto"/>
          <w:kern w:val="0"/>
          <w:sz w:val="32"/>
          <w:szCs w:val="32"/>
          <w:highlight w:val="none"/>
          <w:shd w:val="clear" w:color="auto" w:fill="FFFFFF"/>
        </w:rPr>
        <w:t>部门</w:t>
      </w:r>
      <w:bookmarkEnd w:id="9"/>
      <w:bookmarkEnd w:id="10"/>
      <w:bookmarkEnd w:id="11"/>
      <w:bookmarkStart w:id="18" w:name="_Toc30550"/>
      <w:bookmarkStart w:id="19" w:name="_Toc109483834"/>
      <w:bookmarkStart w:id="20" w:name="_Toc16549"/>
      <w:r>
        <w:rPr>
          <w:rFonts w:hint="default" w:ascii="Times New Roman" w:hAnsi="Times New Roman" w:eastAsia="方正黑体简体" w:cs="Times New Roman"/>
          <w:color w:val="auto"/>
          <w:kern w:val="0"/>
          <w:sz w:val="32"/>
          <w:szCs w:val="32"/>
          <w:highlight w:val="none"/>
          <w:shd w:val="clear" w:color="auto" w:fill="FFFFFF"/>
          <w:lang w:val="en-US" w:eastAsia="zh-CN"/>
        </w:rPr>
        <w:t>概况</w:t>
      </w:r>
      <w:bookmarkEnd w:id="12"/>
      <w:bookmarkEnd w:id="13"/>
      <w:bookmarkEnd w:id="14"/>
      <w:bookmarkEnd w:id="15"/>
      <w:bookmarkEnd w:id="16"/>
      <w:bookmarkEnd w:id="17"/>
    </w:p>
    <w:p w14:paraId="20C60406">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21" w:name="_Toc7513"/>
      <w:bookmarkStart w:id="22" w:name="_Toc419097264"/>
      <w:bookmarkStart w:id="23" w:name="_Toc11769"/>
      <w:bookmarkStart w:id="24" w:name="_Toc19098"/>
      <w:bookmarkStart w:id="25" w:name="_Toc20865"/>
      <w:bookmarkStart w:id="26" w:name="_Toc18535"/>
      <w:bookmarkStart w:id="27" w:name="_Toc24161"/>
      <w:bookmarkStart w:id="28" w:name="_Toc2337"/>
      <w:r>
        <w:rPr>
          <w:rFonts w:hint="default" w:ascii="Times New Roman" w:hAnsi="Times New Roman" w:eastAsia="方正楷体简体" w:cs="Times New Roman"/>
          <w:color w:val="auto"/>
          <w:kern w:val="2"/>
          <w:sz w:val="32"/>
          <w:szCs w:val="32"/>
          <w:highlight w:val="none"/>
          <w:shd w:val="clear"/>
          <w:lang w:val="zh-CN"/>
        </w:rPr>
        <w:t>（一）</w:t>
      </w:r>
      <w:bookmarkEnd w:id="18"/>
      <w:bookmarkEnd w:id="19"/>
      <w:bookmarkEnd w:id="20"/>
      <w:bookmarkEnd w:id="21"/>
      <w:bookmarkEnd w:id="22"/>
      <w:r>
        <w:rPr>
          <w:rFonts w:hint="default" w:ascii="Times New Roman" w:hAnsi="Times New Roman" w:eastAsia="方正楷体简体" w:cs="Times New Roman"/>
          <w:color w:val="auto"/>
          <w:kern w:val="2"/>
          <w:sz w:val="32"/>
          <w:szCs w:val="32"/>
          <w:highlight w:val="none"/>
          <w:shd w:val="clear"/>
          <w:lang w:val="zh-CN" w:eastAsia="zh-CN"/>
        </w:rPr>
        <w:t>部门基本情况</w:t>
      </w:r>
      <w:bookmarkEnd w:id="23"/>
      <w:bookmarkEnd w:id="24"/>
      <w:bookmarkEnd w:id="25"/>
      <w:bookmarkEnd w:id="26"/>
      <w:bookmarkEnd w:id="27"/>
      <w:bookmarkEnd w:id="28"/>
    </w:p>
    <w:p w14:paraId="05FA19E9">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仿宋" w:cs="Times New Roman"/>
          <w:color w:val="auto"/>
          <w:sz w:val="32"/>
          <w:szCs w:val="32"/>
          <w:highlight w:val="none"/>
          <w:lang w:val="fr-FR" w:eastAsia="zh-CN"/>
        </w:rPr>
      </w:pPr>
      <w:bookmarkStart w:id="29" w:name="_Toc109483835"/>
      <w:r>
        <w:rPr>
          <w:rFonts w:hint="default" w:ascii="Times New Roman" w:hAnsi="Times New Roman" w:eastAsia="方正仿宋_GB2312" w:cs="Times New Roman"/>
          <w:color w:val="auto"/>
          <w:sz w:val="32"/>
          <w:szCs w:val="32"/>
          <w:highlight w:val="none"/>
          <w:lang w:val="en-US" w:eastAsia="zh-CN"/>
        </w:rPr>
        <w:t>中共泸定县委统一战线工作部（以下简称县委统战部），属财政补助（收支统管、全额保障）的一级预算单位，机构性质：机关单位；单位负责人：赤康；统一社会信用代码：115133220089781265；单位所在地：四川省甘孜藏族自治州泸定县泸桥镇红军路304号。</w:t>
      </w:r>
      <w:r>
        <w:rPr>
          <w:rFonts w:hint="default" w:ascii="Times New Roman" w:hAnsi="Times New Roman" w:eastAsia="仿宋" w:cs="Times New Roman"/>
          <w:color w:val="auto"/>
          <w:sz w:val="32"/>
          <w:szCs w:val="32"/>
          <w:highlight w:val="none"/>
          <w:lang w:val="fr-FR" w:eastAsia="zh-CN"/>
        </w:rPr>
        <w:t xml:space="preserve"> </w:t>
      </w:r>
    </w:p>
    <w:p w14:paraId="5FA54FAF">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eastAsia="zh"/>
        </w:rPr>
      </w:pPr>
      <w:bookmarkStart w:id="30" w:name="_Toc1278"/>
      <w:bookmarkStart w:id="31" w:name="_Toc31223"/>
      <w:bookmarkStart w:id="32" w:name="_Toc17750"/>
      <w:bookmarkStart w:id="33" w:name="_Toc28538"/>
      <w:bookmarkStart w:id="34" w:name="_Toc16904"/>
      <w:bookmarkStart w:id="35" w:name="_Toc26703"/>
      <w:r>
        <w:rPr>
          <w:rFonts w:hint="default" w:ascii="Times New Roman" w:hAnsi="Times New Roman" w:eastAsia="方正楷体简体" w:cs="Times New Roman"/>
          <w:color w:val="auto"/>
          <w:kern w:val="2"/>
          <w:sz w:val="32"/>
          <w:szCs w:val="32"/>
          <w:highlight w:val="none"/>
          <w:shd w:val="clear"/>
          <w:lang w:val="zh-CN" w:eastAsia="zh-CN"/>
        </w:rPr>
        <w:t>（二）部门</w:t>
      </w:r>
      <w:bookmarkEnd w:id="30"/>
      <w:bookmarkEnd w:id="31"/>
      <w:bookmarkEnd w:id="32"/>
      <w:r>
        <w:rPr>
          <w:rFonts w:hint="default" w:ascii="Times New Roman" w:hAnsi="Times New Roman" w:eastAsia="方正楷体简体" w:cs="Times New Roman"/>
          <w:color w:val="auto"/>
          <w:kern w:val="2"/>
          <w:sz w:val="32"/>
          <w:szCs w:val="32"/>
          <w:highlight w:val="none"/>
          <w:shd w:val="clear"/>
          <w:lang w:val="zh-CN" w:eastAsia="zh"/>
        </w:rPr>
        <w:t>内设机构及人员概况</w:t>
      </w:r>
      <w:bookmarkEnd w:id="33"/>
      <w:bookmarkEnd w:id="34"/>
      <w:bookmarkEnd w:id="35"/>
    </w:p>
    <w:p w14:paraId="20FA589F">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内设机构。县委统战部内设6个机构：办公室、干部股（教育培训股）、民族宗教股、党外知识分子和新的社会阶层人士工作股（非公有制经济工作股）、台湾事务股、泸定县对外藏胞工作领导小组办公室（简称县藏胞办），无二级预算单位。</w:t>
      </w:r>
    </w:p>
    <w:p w14:paraId="79977149">
      <w:pPr>
        <w:keepNext w:val="0"/>
        <w:keepLines w:val="0"/>
        <w:pageBreakBefore w:val="0"/>
        <w:kinsoku/>
        <w:wordWrap/>
        <w:overflowPunct/>
        <w:topLinePunct w:val="0"/>
        <w:autoSpaceDE/>
        <w:autoSpaceDN/>
        <w:bidi w:val="0"/>
        <w:spacing w:line="600" w:lineRule="exact"/>
        <w:ind w:left="0" w:leftChars="0" w:right="0" w:rightChars="0" w:firstLine="560"/>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（2）人员概况。截至2024年末，县委统战部编制内实有人员12人，其中：公务员10人、机关和事业工人2人。退休人员4人，其中：行政退休4人。</w:t>
      </w:r>
    </w:p>
    <w:p w14:paraId="2171EDF9">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36" w:name="_Toc568184988"/>
      <w:bookmarkStart w:id="37" w:name="_Toc16978"/>
      <w:bookmarkStart w:id="38" w:name="_Toc21223"/>
      <w:bookmarkStart w:id="39" w:name="_Toc16740"/>
      <w:bookmarkStart w:id="40" w:name="_Toc12241"/>
      <w:bookmarkStart w:id="41" w:name="_Toc22604"/>
      <w:r>
        <w:rPr>
          <w:rFonts w:hint="default" w:ascii="Times New Roman" w:hAnsi="Times New Roman" w:eastAsia="方正楷体简体" w:cs="Times New Roman"/>
          <w:color w:val="auto"/>
          <w:kern w:val="2"/>
          <w:sz w:val="32"/>
          <w:szCs w:val="32"/>
          <w:highlight w:val="none"/>
          <w:shd w:val="clear"/>
          <w:lang w:val="zh-CN"/>
        </w:rPr>
        <w:t>（</w:t>
      </w:r>
      <w:r>
        <w:rPr>
          <w:rFonts w:hint="default" w:ascii="Times New Roman" w:hAnsi="Times New Roman" w:eastAsia="方正楷体简体" w:cs="Times New Roman"/>
          <w:color w:val="auto"/>
          <w:kern w:val="2"/>
          <w:sz w:val="32"/>
          <w:szCs w:val="32"/>
          <w:highlight w:val="none"/>
          <w:shd w:val="clear"/>
          <w:lang w:val="zh-CN" w:eastAsia="zh-CN"/>
        </w:rPr>
        <w:t>三</w:t>
      </w:r>
      <w:r>
        <w:rPr>
          <w:rFonts w:hint="default" w:ascii="Times New Roman" w:hAnsi="Times New Roman" w:eastAsia="方正楷体简体" w:cs="Times New Roman"/>
          <w:color w:val="auto"/>
          <w:kern w:val="2"/>
          <w:sz w:val="32"/>
          <w:szCs w:val="32"/>
          <w:highlight w:val="none"/>
          <w:shd w:val="clear"/>
          <w:lang w:val="zh-CN"/>
        </w:rPr>
        <w:t>）</w:t>
      </w:r>
      <w:bookmarkEnd w:id="29"/>
      <w:bookmarkEnd w:id="36"/>
      <w:bookmarkEnd w:id="37"/>
      <w:r>
        <w:rPr>
          <w:rFonts w:hint="default" w:ascii="Times New Roman" w:hAnsi="Times New Roman" w:eastAsia="方正楷体简体" w:cs="Times New Roman"/>
          <w:color w:val="auto"/>
          <w:kern w:val="2"/>
          <w:sz w:val="32"/>
          <w:szCs w:val="32"/>
          <w:highlight w:val="none"/>
          <w:shd w:val="clear"/>
          <w:lang w:val="zh-CN" w:eastAsia="zh-CN"/>
        </w:rPr>
        <w:t>部门职能职责</w:t>
      </w:r>
      <w:bookmarkEnd w:id="38"/>
      <w:bookmarkEnd w:id="39"/>
      <w:bookmarkEnd w:id="40"/>
      <w:bookmarkEnd w:id="41"/>
    </w:p>
    <w:p w14:paraId="3E9C69A0">
      <w:pPr>
        <w:keepNext w:val="0"/>
        <w:keepLines w:val="0"/>
        <w:pageBreakBefore w:val="0"/>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bookmarkStart w:id="42" w:name="_Toc109483836"/>
      <w:bookmarkStart w:id="43" w:name="_Toc33"/>
      <w:r>
        <w:rPr>
          <w:rFonts w:hint="default" w:ascii="Times New Roman" w:hAnsi="Times New Roman" w:eastAsia="方正仿宋_GB2312" w:cs="Times New Roman"/>
          <w:color w:val="auto"/>
          <w:sz w:val="32"/>
          <w:szCs w:val="32"/>
          <w:highlight w:val="none"/>
          <w:lang w:val="en-US" w:eastAsia="zh-CN"/>
        </w:rPr>
        <w:t>县委统战部的主要职责是：一是贯彻落实加强党对统一战线工作集中统一领导的要求，发挥县委在统战工作方面的参谋机构、组织协调机构、具体执行机构、督促检查机构作用，了解情况、掌握政策、协调关系、安排人事、增进共识、加强团结，协调统一战线各方面关系，组织落实党中央、省、州、县委关于统一战线工作重大决策部署，巩固壮大最广泛的统一战线。</w:t>
      </w:r>
    </w:p>
    <w:p w14:paraId="104D3ABA">
      <w:pPr>
        <w:keepNext w:val="0"/>
        <w:keepLines w:val="0"/>
        <w:pageBreakBefore w:val="0"/>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二是贯彻执行统一战线政策、法规、规章等；研究拟订统一战线工作的政策并推动落实，深入调查研究，及时向县委报告统一战线工作情况并提出建议，统筹协调和指导各乡镇、各部门（单位）统一战线工作。</w:t>
      </w:r>
    </w:p>
    <w:p w14:paraId="5F136CCF">
      <w:pPr>
        <w:keepNext w:val="0"/>
        <w:keepLines w:val="0"/>
        <w:pageBreakBefore w:val="0"/>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三是负责发现、培养党外代表人士，制定党外干部培养规划，负责党外人士的政治安排，会同有关部门做好党外人士担任政府和司法机关等领导职务的工作，推动人民团体、国有企业等党外干部安排工作；负责联系党外代表人士，通报情况、反映意见，引导和支持党外代表人士参与政治协商、民主监督、参政议政，贯彻落实中国共产党领导的多党合作和政治协商制度；协助县工商联做好干部管理工作，反映和协调解决党外代表人士工作生活中的实际困难。</w:t>
      </w:r>
    </w:p>
    <w:p w14:paraId="7082DFE1">
      <w:pPr>
        <w:keepNext w:val="0"/>
        <w:keepLines w:val="0"/>
        <w:pageBreakBefore w:val="0"/>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四是贯彻落实党的宣传工作方针，统筹推进全县统一战线宣传和意识形态工作，贯彻落实党中央和省、州、县委统一战线宣传工作政策和规划，统筹推进网络统战工作，打造网络统战工作平台，研判涉及统一战线的舆情并协调有关部门应对处置。</w:t>
      </w:r>
    </w:p>
    <w:p w14:paraId="757EC59F">
      <w:pPr>
        <w:keepNext w:val="0"/>
        <w:keepLines w:val="0"/>
        <w:pageBreakBefore w:val="0"/>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五是负责联系、培养无党派代表人士，支持、帮助无党派人士加强自身建设、发挥作用。调查研究全县党外知识分子情况并提出政策建议，联系、培养党外知识分子代表人士，开展思想政治工作，指导人民团体、国有企业等有关单位开展统战工作。</w:t>
      </w:r>
    </w:p>
    <w:p w14:paraId="0BCD016F">
      <w:pPr>
        <w:keepNext w:val="0"/>
        <w:keepLines w:val="0"/>
        <w:pageBreakBefore w:val="0"/>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六是负责联系、培养新的社会阶层代表人士，支持、帮助新的社会阶层人士加强自身建设、发挥作用。调查研究全县新的社会阶层人士情况并提出政策建议，联系、培养新的社会阶层代表人士，开展思想政治工作，指导社会组织开展新的社会阶层人士统战工作。</w:t>
      </w:r>
    </w:p>
    <w:p w14:paraId="6694874A">
      <w:pPr>
        <w:keepNext w:val="0"/>
        <w:keepLines w:val="0"/>
        <w:pageBreakBefore w:val="0"/>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七是承担全县非公有制经济协调工作，负责全县非公有制经济代表人士工作，参与制定、推动落实鼓励支持引导非公有制经济发展的政策，调查研究全县非公有制经济人士情况并提出政策建议，了解和反映非公有制经济人士的意见，团结、服务、引导、教育非公有制经济人士，促进非公有制经济健康发展和非公有制经济人士健康成长。</w:t>
      </w:r>
    </w:p>
    <w:p w14:paraId="64DD01F3">
      <w:pPr>
        <w:keepNext w:val="0"/>
        <w:keepLines w:val="0"/>
        <w:pageBreakBefore w:val="0"/>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八是贯彻落实党的宗教工作基本方针、政策，研究拟订宗教工作的重大政策措施并督促落实，领导县民族宗教事务局依法管理宗教行政事务，保护公民宗教信仰自由和正常的宗教活动，维护宗教界合法权益，抵御境外利用宗教进行渗透，引导宗教坚持中国化方向，巩固和发展同宗教界的爱国统一战线。</w:t>
      </w:r>
    </w:p>
    <w:p w14:paraId="4FC7EC87">
      <w:pPr>
        <w:keepNext w:val="0"/>
        <w:keepLines w:val="0"/>
        <w:pageBreakBefore w:val="0"/>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九是贯彻落实党中央治藏方略和省、州委藏区工作指导思想及州委、县委决策部署，牵头开展宗教事务依法管理，做好宗教界代表人士培养教育和政治安排。</w:t>
      </w:r>
    </w:p>
    <w:p w14:paraId="069C751C">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default" w:ascii="Times New Roman" w:hAnsi="Times New Roman" w:eastAsia="方正黑体简体" w:cs="Times New Roman"/>
          <w:color w:val="auto"/>
          <w:kern w:val="0"/>
          <w:sz w:val="32"/>
          <w:szCs w:val="32"/>
          <w:highlight w:val="none"/>
          <w:shd w:val="clear" w:color="auto" w:fill="FFFFFF"/>
          <w:lang w:val="zh-CN"/>
        </w:rPr>
      </w:pPr>
      <w:bookmarkStart w:id="44" w:name="_Toc15163"/>
      <w:bookmarkStart w:id="45" w:name="_Toc5982"/>
      <w:bookmarkStart w:id="46" w:name="_Toc14896"/>
      <w:bookmarkStart w:id="47" w:name="_Toc1218480988"/>
      <w:bookmarkStart w:id="48" w:name="_Toc22594"/>
      <w:bookmarkStart w:id="49" w:name="_Toc13707"/>
      <w:bookmarkStart w:id="50" w:name="_Toc16871"/>
      <w:bookmarkStart w:id="51" w:name="_Toc26564"/>
      <w:r>
        <w:rPr>
          <w:rFonts w:hint="default" w:ascii="Times New Roman" w:hAnsi="Times New Roman" w:eastAsia="方正黑体简体" w:cs="Times New Roman"/>
          <w:color w:val="auto"/>
          <w:kern w:val="0"/>
          <w:sz w:val="32"/>
          <w:szCs w:val="32"/>
          <w:highlight w:val="none"/>
          <w:shd w:val="clear" w:color="auto" w:fill="FFFFFF"/>
          <w:lang w:val="zh-CN"/>
        </w:rPr>
        <w:t>二、</w:t>
      </w:r>
      <w:r>
        <w:rPr>
          <w:rFonts w:hint="default" w:ascii="Times New Roman" w:hAnsi="Times New Roman" w:eastAsia="方正黑体简体" w:cs="Times New Roman"/>
          <w:color w:val="auto"/>
          <w:kern w:val="0"/>
          <w:sz w:val="32"/>
          <w:szCs w:val="32"/>
          <w:highlight w:val="none"/>
          <w:shd w:val="clear" w:color="auto" w:fill="FFFFFF"/>
          <w:lang w:val="en-US" w:eastAsia="zh-CN"/>
        </w:rPr>
        <w:t>部门收支</w:t>
      </w:r>
      <w:r>
        <w:rPr>
          <w:rFonts w:hint="default" w:ascii="Times New Roman" w:hAnsi="Times New Roman" w:eastAsia="方正黑体简体" w:cs="Times New Roman"/>
          <w:color w:val="auto"/>
          <w:kern w:val="0"/>
          <w:sz w:val="32"/>
          <w:szCs w:val="32"/>
          <w:highlight w:val="none"/>
          <w:shd w:val="clear" w:color="auto" w:fill="FFFFFF"/>
          <w:lang w:val="zh-CN"/>
        </w:rPr>
        <w:t>情况</w:t>
      </w:r>
      <w:bookmarkEnd w:id="42"/>
      <w:bookmarkEnd w:id="43"/>
      <w:bookmarkEnd w:id="44"/>
      <w:bookmarkEnd w:id="45"/>
      <w:bookmarkEnd w:id="46"/>
      <w:bookmarkEnd w:id="47"/>
      <w:bookmarkEnd w:id="48"/>
      <w:bookmarkEnd w:id="49"/>
      <w:bookmarkEnd w:id="50"/>
      <w:bookmarkEnd w:id="51"/>
      <w:bookmarkStart w:id="52" w:name="_Toc109483837"/>
      <w:bookmarkStart w:id="53" w:name="_Toc2659"/>
    </w:p>
    <w:bookmarkEnd w:id="52"/>
    <w:bookmarkEnd w:id="53"/>
    <w:p w14:paraId="24BA0DDE">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rPr>
      </w:pPr>
      <w:bookmarkStart w:id="54" w:name="_Toc11105"/>
      <w:bookmarkStart w:id="55" w:name="_Toc15898"/>
      <w:bookmarkStart w:id="56" w:name="_Toc1949541301"/>
      <w:bookmarkStart w:id="57" w:name="_Toc2374"/>
      <w:bookmarkStart w:id="58" w:name="_Toc32369"/>
      <w:bookmarkStart w:id="59" w:name="_Toc25866"/>
      <w:bookmarkStart w:id="60" w:name="_Toc29180"/>
      <w:bookmarkStart w:id="61" w:name="_Toc21428"/>
      <w:r>
        <w:rPr>
          <w:rFonts w:hint="default" w:ascii="Times New Roman" w:hAnsi="Times New Roman" w:eastAsia="方正楷体简体" w:cs="Times New Roman"/>
          <w:color w:val="auto"/>
          <w:kern w:val="2"/>
          <w:sz w:val="32"/>
          <w:szCs w:val="32"/>
          <w:highlight w:val="none"/>
          <w:shd w:val="clear"/>
          <w:lang w:val="zh-CN"/>
        </w:rPr>
        <w:t>（</w:t>
      </w:r>
      <w:r>
        <w:rPr>
          <w:rFonts w:hint="default" w:ascii="Times New Roman" w:hAnsi="Times New Roman" w:eastAsia="方正楷体简体" w:cs="Times New Roman"/>
          <w:color w:val="auto"/>
          <w:kern w:val="2"/>
          <w:sz w:val="32"/>
          <w:szCs w:val="32"/>
          <w:highlight w:val="none"/>
          <w:shd w:val="clear"/>
          <w:lang w:val="fr-FR"/>
        </w:rPr>
        <w:t>一</w:t>
      </w:r>
      <w:r>
        <w:rPr>
          <w:rFonts w:hint="default" w:ascii="Times New Roman" w:hAnsi="Times New Roman" w:eastAsia="方正楷体简体" w:cs="Times New Roman"/>
          <w:color w:val="auto"/>
          <w:kern w:val="2"/>
          <w:sz w:val="32"/>
          <w:szCs w:val="32"/>
          <w:highlight w:val="none"/>
          <w:shd w:val="clear"/>
          <w:lang w:val="zh-CN"/>
        </w:rPr>
        <w:t>）收入情况</w:t>
      </w:r>
      <w:bookmarkEnd w:id="54"/>
      <w:bookmarkEnd w:id="55"/>
      <w:bookmarkEnd w:id="56"/>
      <w:bookmarkEnd w:id="57"/>
      <w:bookmarkEnd w:id="58"/>
      <w:bookmarkEnd w:id="59"/>
      <w:bookmarkEnd w:id="60"/>
      <w:bookmarkEnd w:id="61"/>
      <w:bookmarkStart w:id="62" w:name="_Toc19132"/>
    </w:p>
    <w:bookmarkEnd w:id="62"/>
    <w:p w14:paraId="3B37BEFF">
      <w:pPr>
        <w:keepNext w:val="0"/>
        <w:keepLines w:val="0"/>
        <w:pageBreakBefore w:val="0"/>
        <w:widowControl/>
        <w:kinsoku/>
        <w:wordWrap/>
        <w:overflowPunct/>
        <w:topLinePunct w:val="0"/>
        <w:autoSpaceDE/>
        <w:autoSpaceDN/>
        <w:bidi w:val="0"/>
        <w:adjustRightInd/>
        <w:snapToGrid/>
        <w:spacing w:line="600" w:lineRule="exact"/>
        <w:ind w:firstLine="560"/>
        <w:textAlignment w:val="auto"/>
        <w:outlineLvl w:val="9"/>
        <w:rPr>
          <w:rFonts w:hint="default" w:ascii="Times New Roman" w:hAnsi="Times New Roman" w:eastAsia="方正仿宋_GB2312" w:cs="Times New Roman"/>
          <w:bCs w:val="0"/>
          <w:color w:val="auto"/>
          <w:sz w:val="32"/>
          <w:szCs w:val="32"/>
          <w:highlight w:val="none"/>
          <w:lang w:val="en-US" w:eastAsia="zh-CN"/>
        </w:rPr>
      </w:pPr>
      <w:bookmarkStart w:id="63" w:name="_Toc349786989"/>
      <w:bookmarkStart w:id="64" w:name="_Toc109483838"/>
      <w:bookmarkStart w:id="65" w:name="_Toc19326"/>
      <w:bookmarkStart w:id="66" w:name="_Toc27782"/>
      <w:bookmarkStart w:id="67" w:name="_Toc17751"/>
      <w:bookmarkStart w:id="68" w:name="_Toc27073"/>
      <w:bookmarkStart w:id="69" w:name="_Toc21171"/>
      <w:r>
        <w:rPr>
          <w:rFonts w:hint="default" w:ascii="Times New Roman" w:hAnsi="Times New Roman" w:eastAsia="方正仿宋_GB2312" w:cs="Times New Roman"/>
          <w:bCs w:val="0"/>
          <w:color w:val="auto"/>
          <w:sz w:val="32"/>
          <w:szCs w:val="32"/>
          <w:highlight w:val="none"/>
          <w:lang w:val="en-US" w:eastAsia="zh-CN"/>
        </w:rPr>
        <w:t>年初预算反映，县</w:t>
      </w:r>
      <w:r>
        <w:rPr>
          <w:rFonts w:hint="default" w:ascii="Times New Roman" w:hAnsi="Times New Roman" w:eastAsia="方正仿宋_GB2312" w:cs="Times New Roman"/>
          <w:color w:val="auto"/>
          <w:sz w:val="32"/>
          <w:szCs w:val="32"/>
          <w:highlight w:val="none"/>
          <w:lang w:val="en-US" w:eastAsia="zh-CN"/>
        </w:rPr>
        <w:t>委</w:t>
      </w:r>
      <w:r>
        <w:rPr>
          <w:rFonts w:hint="default" w:ascii="Times New Roman" w:hAnsi="Times New Roman" w:eastAsia="方正仿宋_GB2312" w:cs="Times New Roman"/>
          <w:bCs w:val="0"/>
          <w:color w:val="auto"/>
          <w:sz w:val="32"/>
          <w:szCs w:val="32"/>
          <w:highlight w:val="none"/>
          <w:lang w:val="en-US" w:eastAsia="zh-CN"/>
        </w:rPr>
        <w:t>统战部2024年预算收入合计355.38万元，上年结转结余0.00万元，无预算调整。本年收入355.38万元，全部为一般公共预算财政拨款收入。</w:t>
      </w:r>
    </w:p>
    <w:p w14:paraId="001FEF04">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560"/>
        <w:textAlignment w:val="auto"/>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bCs w:val="0"/>
          <w:color w:val="auto"/>
          <w:sz w:val="32"/>
          <w:szCs w:val="32"/>
          <w:highlight w:val="none"/>
          <w:lang w:val="en-US" w:eastAsia="zh-CN"/>
        </w:rPr>
        <w:t>决算报表反映，县</w:t>
      </w:r>
      <w:r>
        <w:rPr>
          <w:rFonts w:hint="default" w:ascii="Times New Roman" w:hAnsi="Times New Roman" w:eastAsia="方正仿宋_GB2312" w:cs="Times New Roman"/>
          <w:color w:val="auto"/>
          <w:sz w:val="32"/>
          <w:szCs w:val="32"/>
          <w:highlight w:val="none"/>
          <w:lang w:val="en-US" w:eastAsia="zh-CN"/>
        </w:rPr>
        <w:t>委</w:t>
      </w:r>
      <w:r>
        <w:rPr>
          <w:rFonts w:hint="default" w:ascii="Times New Roman" w:hAnsi="Times New Roman" w:eastAsia="方正仿宋_GB2312" w:cs="Times New Roman"/>
          <w:bCs w:val="0"/>
          <w:color w:val="auto"/>
          <w:sz w:val="32"/>
          <w:szCs w:val="32"/>
          <w:highlight w:val="none"/>
          <w:lang w:val="en-US" w:eastAsia="zh-CN"/>
        </w:rPr>
        <w:t>统战部2024年决算收入合计455.40万元，全部为一般公共预算财政拨款收入，无年初结转和结余</w:t>
      </w:r>
      <w:r>
        <w:rPr>
          <w:rFonts w:hint="default" w:ascii="Times New Roman" w:hAnsi="Times New Roman" w:eastAsia="方正仿宋_GB2312" w:cs="Times New Roman"/>
          <w:color w:val="auto"/>
          <w:sz w:val="32"/>
          <w:szCs w:val="32"/>
          <w:highlight w:val="none"/>
          <w:lang w:val="en-US" w:eastAsia="zh-CN"/>
        </w:rPr>
        <w:t>。</w:t>
      </w:r>
    </w:p>
    <w:p w14:paraId="53A3587D">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rPr>
      </w:pPr>
      <w:bookmarkStart w:id="70" w:name="_Toc30600"/>
      <w:bookmarkStart w:id="71" w:name="_Toc15130"/>
      <w:bookmarkStart w:id="72" w:name="_Toc16309"/>
      <w:r>
        <w:rPr>
          <w:rFonts w:hint="default" w:ascii="Times New Roman" w:hAnsi="Times New Roman" w:eastAsia="方正楷体简体" w:cs="Times New Roman"/>
          <w:color w:val="auto"/>
          <w:kern w:val="2"/>
          <w:sz w:val="32"/>
          <w:szCs w:val="32"/>
          <w:highlight w:val="none"/>
          <w:shd w:val="clear"/>
          <w:lang w:val="zh-CN"/>
        </w:rPr>
        <w:t>（二）支出情况</w:t>
      </w:r>
      <w:bookmarkEnd w:id="63"/>
      <w:bookmarkEnd w:id="64"/>
      <w:bookmarkEnd w:id="65"/>
      <w:bookmarkEnd w:id="66"/>
      <w:bookmarkEnd w:id="67"/>
      <w:bookmarkEnd w:id="68"/>
      <w:bookmarkEnd w:id="69"/>
      <w:bookmarkEnd w:id="70"/>
      <w:bookmarkEnd w:id="71"/>
      <w:bookmarkEnd w:id="72"/>
    </w:p>
    <w:p w14:paraId="190EFD14">
      <w:pPr>
        <w:widowControl/>
        <w:spacing w:line="600" w:lineRule="exact"/>
        <w:ind w:firstLine="560"/>
        <w:outlineLvl w:val="9"/>
        <w:rPr>
          <w:rFonts w:hint="default" w:ascii="Times New Roman" w:hAnsi="Times New Roman" w:eastAsia="方正仿宋_GB2312" w:cs="Times New Roman"/>
          <w:color w:val="auto"/>
          <w:sz w:val="32"/>
          <w:szCs w:val="32"/>
          <w:highlight w:val="none"/>
        </w:rPr>
      </w:pPr>
      <w:bookmarkStart w:id="73" w:name="_Toc24721"/>
      <w:bookmarkStart w:id="74" w:name="_Toc10837"/>
      <w:bookmarkStart w:id="75" w:name="_Toc18390"/>
      <w:bookmarkStart w:id="76" w:name="_Toc1457008154"/>
      <w:bookmarkStart w:id="77" w:name="_Toc109483839"/>
      <w:bookmarkStart w:id="78" w:name="_Toc13841"/>
      <w:bookmarkStart w:id="79" w:name="_Toc809"/>
      <w:r>
        <w:rPr>
          <w:rFonts w:hint="default" w:ascii="Times New Roman" w:hAnsi="Times New Roman" w:eastAsia="方正仿宋_GB2312" w:cs="Times New Roman"/>
          <w:bCs w:val="0"/>
          <w:color w:val="auto"/>
          <w:sz w:val="32"/>
          <w:szCs w:val="32"/>
          <w:highlight w:val="none"/>
          <w:lang w:val="en-US" w:eastAsia="zh-CN"/>
        </w:rPr>
        <w:t>年初预算反映</w:t>
      </w:r>
      <w:r>
        <w:rPr>
          <w:rFonts w:hint="default" w:ascii="Times New Roman" w:hAnsi="Times New Roman" w:eastAsia="方正仿宋_GB2312" w:cs="Times New Roman"/>
          <w:color w:val="auto"/>
          <w:sz w:val="32"/>
          <w:szCs w:val="32"/>
          <w:highlight w:val="none"/>
        </w:rPr>
        <w:t>，</w:t>
      </w:r>
      <w:r>
        <w:rPr>
          <w:rFonts w:hint="default" w:ascii="Times New Roman" w:hAnsi="Times New Roman" w:eastAsia="方正仿宋_GB2312" w:cs="Times New Roman"/>
          <w:color w:val="auto"/>
          <w:sz w:val="32"/>
          <w:szCs w:val="32"/>
          <w:highlight w:val="none"/>
          <w:lang w:eastAsia="zh-CN"/>
        </w:rPr>
        <w:t>县</w:t>
      </w:r>
      <w:r>
        <w:rPr>
          <w:rFonts w:hint="default" w:ascii="Times New Roman" w:hAnsi="Times New Roman" w:eastAsia="方正仿宋_GB2312" w:cs="Times New Roman"/>
          <w:color w:val="auto"/>
          <w:sz w:val="32"/>
          <w:szCs w:val="32"/>
          <w:highlight w:val="none"/>
          <w:lang w:val="en-US" w:eastAsia="zh-CN"/>
        </w:rPr>
        <w:t>委</w:t>
      </w:r>
      <w:r>
        <w:rPr>
          <w:rFonts w:hint="default" w:ascii="Times New Roman" w:hAnsi="Times New Roman" w:eastAsia="方正仿宋_GB2312" w:cs="Times New Roman"/>
          <w:color w:val="auto"/>
          <w:sz w:val="32"/>
          <w:szCs w:val="32"/>
          <w:highlight w:val="none"/>
          <w:lang w:eastAsia="zh-CN"/>
        </w:rPr>
        <w:t>统战部</w:t>
      </w:r>
      <w:r>
        <w:rPr>
          <w:rFonts w:hint="default" w:ascii="Times New Roman" w:hAnsi="Times New Roman" w:eastAsia="方正仿宋_GB2312" w:cs="Times New Roman"/>
          <w:color w:val="auto"/>
          <w:sz w:val="32"/>
          <w:szCs w:val="32"/>
          <w:highlight w:val="none"/>
        </w:rPr>
        <w:t>202</w:t>
      </w:r>
      <w:r>
        <w:rPr>
          <w:rFonts w:hint="default" w:ascii="Times New Roman" w:hAnsi="Times New Roman" w:eastAsia="方正仿宋_GB2312" w:cs="Times New Roman"/>
          <w:color w:val="auto"/>
          <w:sz w:val="32"/>
          <w:szCs w:val="32"/>
          <w:highlight w:val="none"/>
          <w:lang w:val="en-US" w:eastAsia="zh-CN"/>
        </w:rPr>
        <w:t>4</w:t>
      </w:r>
      <w:r>
        <w:rPr>
          <w:rFonts w:hint="default" w:ascii="Times New Roman" w:hAnsi="Times New Roman" w:eastAsia="方正仿宋_GB2312" w:cs="Times New Roman"/>
          <w:color w:val="auto"/>
          <w:sz w:val="32"/>
          <w:szCs w:val="32"/>
          <w:highlight w:val="none"/>
        </w:rPr>
        <w:t>年预算支出合计355.38万元，无年末结转和结余。本年支出中：基本支出337.98万元</w:t>
      </w:r>
      <w:r>
        <w:rPr>
          <w:rFonts w:hint="default" w:ascii="Times New Roman" w:hAnsi="Times New Roman" w:eastAsia="方正仿宋_GB2312" w:cs="Times New Roman"/>
          <w:color w:val="auto"/>
          <w:sz w:val="32"/>
          <w:szCs w:val="32"/>
          <w:highlight w:val="none"/>
          <w:lang w:eastAsia="zh-CN"/>
        </w:rPr>
        <w:t>（</w:t>
      </w:r>
      <w:r>
        <w:rPr>
          <w:rFonts w:hint="default" w:ascii="Times New Roman" w:hAnsi="Times New Roman" w:eastAsia="方正仿宋_GB2312" w:cs="Times New Roman"/>
          <w:color w:val="auto"/>
          <w:sz w:val="32"/>
          <w:szCs w:val="32"/>
          <w:highlight w:val="none"/>
          <w:lang w:val="en-US" w:eastAsia="zh-CN"/>
        </w:rPr>
        <w:t>人员经费296.28万元、公用经费41.70万元</w:t>
      </w:r>
      <w:r>
        <w:rPr>
          <w:rFonts w:hint="default" w:ascii="Times New Roman" w:hAnsi="Times New Roman" w:eastAsia="方正仿宋_GB2312" w:cs="Times New Roman"/>
          <w:color w:val="auto"/>
          <w:sz w:val="32"/>
          <w:szCs w:val="32"/>
          <w:highlight w:val="none"/>
          <w:lang w:eastAsia="zh-CN"/>
        </w:rPr>
        <w:t>）</w:t>
      </w:r>
      <w:r>
        <w:rPr>
          <w:rFonts w:hint="default" w:ascii="Times New Roman" w:hAnsi="Times New Roman" w:eastAsia="方正仿宋_GB2312" w:cs="Times New Roman"/>
          <w:color w:val="auto"/>
          <w:sz w:val="32"/>
          <w:szCs w:val="32"/>
          <w:highlight w:val="none"/>
        </w:rPr>
        <w:t>，项目支出</w:t>
      </w:r>
      <w:r>
        <w:rPr>
          <w:rFonts w:hint="default" w:ascii="Times New Roman" w:hAnsi="Times New Roman" w:eastAsia="方正仿宋_GB2312" w:cs="Times New Roman"/>
          <w:color w:val="auto"/>
          <w:sz w:val="32"/>
          <w:szCs w:val="32"/>
          <w:highlight w:val="none"/>
          <w:lang w:val="en-US" w:eastAsia="zh-CN"/>
        </w:rPr>
        <w:t>17.40</w:t>
      </w:r>
      <w:r>
        <w:rPr>
          <w:rFonts w:hint="default" w:ascii="Times New Roman" w:hAnsi="Times New Roman" w:eastAsia="方正仿宋_GB2312" w:cs="Times New Roman"/>
          <w:color w:val="auto"/>
          <w:sz w:val="32"/>
          <w:szCs w:val="32"/>
          <w:highlight w:val="none"/>
        </w:rPr>
        <w:t>万元。</w:t>
      </w:r>
    </w:p>
    <w:p w14:paraId="70A2FEF6">
      <w:pPr>
        <w:widowControl/>
        <w:spacing w:line="600" w:lineRule="exact"/>
        <w:ind w:firstLine="560"/>
        <w:outlineLvl w:val="9"/>
        <w:rPr>
          <w:rFonts w:hint="default" w:ascii="Times New Roman" w:hAnsi="Times New Roman" w:eastAsia="方正仿宋_GB2312" w:cs="Times New Roman"/>
          <w:color w:val="auto"/>
          <w:sz w:val="32"/>
          <w:szCs w:val="32"/>
          <w:highlight w:val="none"/>
        </w:rPr>
      </w:pPr>
      <w:r>
        <w:rPr>
          <w:rFonts w:hint="default" w:ascii="Times New Roman" w:hAnsi="Times New Roman" w:eastAsia="方正仿宋_GB2312" w:cs="Times New Roman"/>
          <w:color w:val="auto"/>
          <w:sz w:val="32"/>
          <w:szCs w:val="32"/>
          <w:highlight w:val="none"/>
        </w:rPr>
        <w:t>决算报表反映，</w:t>
      </w:r>
      <w:r>
        <w:rPr>
          <w:rFonts w:hint="default" w:ascii="Times New Roman" w:hAnsi="Times New Roman" w:eastAsia="方正仿宋_GB2312" w:cs="Times New Roman"/>
          <w:color w:val="auto"/>
          <w:sz w:val="32"/>
          <w:szCs w:val="32"/>
          <w:highlight w:val="none"/>
          <w:lang w:eastAsia="zh-CN"/>
        </w:rPr>
        <w:t>县</w:t>
      </w:r>
      <w:r>
        <w:rPr>
          <w:rFonts w:hint="default" w:ascii="Times New Roman" w:hAnsi="Times New Roman" w:eastAsia="方正仿宋_GB2312" w:cs="Times New Roman"/>
          <w:color w:val="auto"/>
          <w:sz w:val="32"/>
          <w:szCs w:val="32"/>
          <w:highlight w:val="none"/>
          <w:lang w:val="en-US" w:eastAsia="zh-CN"/>
        </w:rPr>
        <w:t>委</w:t>
      </w:r>
      <w:r>
        <w:rPr>
          <w:rFonts w:hint="default" w:ascii="Times New Roman" w:hAnsi="Times New Roman" w:eastAsia="方正仿宋_GB2312" w:cs="Times New Roman"/>
          <w:color w:val="auto"/>
          <w:sz w:val="32"/>
          <w:szCs w:val="32"/>
          <w:highlight w:val="none"/>
          <w:lang w:eastAsia="zh-CN"/>
        </w:rPr>
        <w:t>统战部</w:t>
      </w:r>
      <w:r>
        <w:rPr>
          <w:rFonts w:hint="default" w:ascii="Times New Roman" w:hAnsi="Times New Roman" w:eastAsia="方正仿宋_GB2312" w:cs="Times New Roman"/>
          <w:color w:val="auto"/>
          <w:sz w:val="32"/>
          <w:szCs w:val="32"/>
          <w:highlight w:val="none"/>
        </w:rPr>
        <w:t>202</w:t>
      </w:r>
      <w:r>
        <w:rPr>
          <w:rFonts w:hint="default" w:ascii="Times New Roman" w:hAnsi="Times New Roman" w:eastAsia="方正仿宋_GB2312" w:cs="Times New Roman"/>
          <w:color w:val="auto"/>
          <w:sz w:val="32"/>
          <w:szCs w:val="32"/>
          <w:highlight w:val="none"/>
          <w:lang w:val="en-US" w:eastAsia="zh-CN"/>
        </w:rPr>
        <w:t>4</w:t>
      </w:r>
      <w:r>
        <w:rPr>
          <w:rFonts w:hint="default" w:ascii="Times New Roman" w:hAnsi="Times New Roman" w:eastAsia="方正仿宋_GB2312" w:cs="Times New Roman"/>
          <w:color w:val="auto"/>
          <w:sz w:val="32"/>
          <w:szCs w:val="32"/>
          <w:highlight w:val="none"/>
        </w:rPr>
        <w:t>年决算支出合计</w:t>
      </w:r>
      <w:r>
        <w:rPr>
          <w:rFonts w:hint="default" w:ascii="Times New Roman" w:hAnsi="Times New Roman" w:eastAsia="方正仿宋_GB2312" w:cs="Times New Roman"/>
          <w:color w:val="auto"/>
          <w:sz w:val="32"/>
          <w:szCs w:val="32"/>
          <w:highlight w:val="none"/>
          <w:lang w:val="en-US" w:eastAsia="zh-CN"/>
        </w:rPr>
        <w:t>455.40</w:t>
      </w:r>
      <w:r>
        <w:rPr>
          <w:rFonts w:hint="default" w:ascii="Times New Roman" w:hAnsi="Times New Roman" w:eastAsia="方正仿宋_GB2312" w:cs="Times New Roman"/>
          <w:color w:val="auto"/>
          <w:sz w:val="32"/>
          <w:szCs w:val="32"/>
          <w:highlight w:val="none"/>
        </w:rPr>
        <w:t>万元，均为本年支出，</w:t>
      </w:r>
      <w:r>
        <w:rPr>
          <w:rFonts w:hint="default" w:ascii="Times New Roman" w:hAnsi="Times New Roman" w:eastAsia="方正仿宋_GB2312" w:cs="Times New Roman"/>
          <w:color w:val="auto"/>
          <w:sz w:val="32"/>
          <w:szCs w:val="32"/>
          <w:highlight w:val="none"/>
          <w:lang w:val="en-US" w:eastAsia="zh-CN"/>
        </w:rPr>
        <w:t>无</w:t>
      </w:r>
      <w:r>
        <w:rPr>
          <w:rFonts w:hint="default" w:ascii="Times New Roman" w:hAnsi="Times New Roman" w:eastAsia="方正仿宋_GB2312" w:cs="Times New Roman"/>
          <w:color w:val="auto"/>
          <w:sz w:val="32"/>
          <w:szCs w:val="32"/>
          <w:highlight w:val="none"/>
        </w:rPr>
        <w:t>年末结转和结余。本年支出中：基本支出</w:t>
      </w:r>
      <w:r>
        <w:rPr>
          <w:rFonts w:hint="default" w:ascii="Times New Roman" w:hAnsi="Times New Roman" w:eastAsia="方正仿宋_GB2312" w:cs="Times New Roman"/>
          <w:color w:val="auto"/>
          <w:sz w:val="32"/>
          <w:szCs w:val="32"/>
          <w:highlight w:val="none"/>
          <w:lang w:val="en-US" w:eastAsia="zh-CN"/>
        </w:rPr>
        <w:t>373.05</w:t>
      </w:r>
      <w:r>
        <w:rPr>
          <w:rFonts w:hint="default" w:ascii="Times New Roman" w:hAnsi="Times New Roman" w:eastAsia="方正仿宋_GB2312" w:cs="Times New Roman"/>
          <w:color w:val="auto"/>
          <w:sz w:val="32"/>
          <w:szCs w:val="32"/>
          <w:highlight w:val="none"/>
        </w:rPr>
        <w:t>万元（人员经费</w:t>
      </w:r>
      <w:r>
        <w:rPr>
          <w:rFonts w:hint="default" w:ascii="Times New Roman" w:hAnsi="Times New Roman" w:eastAsia="方正仿宋_GB2312" w:cs="Times New Roman"/>
          <w:color w:val="auto"/>
          <w:sz w:val="32"/>
          <w:szCs w:val="32"/>
          <w:highlight w:val="none"/>
          <w:lang w:val="en-US" w:eastAsia="zh-CN"/>
        </w:rPr>
        <w:t>322.86</w:t>
      </w:r>
      <w:r>
        <w:rPr>
          <w:rFonts w:hint="default" w:ascii="Times New Roman" w:hAnsi="Times New Roman" w:eastAsia="方正仿宋_GB2312" w:cs="Times New Roman"/>
          <w:color w:val="auto"/>
          <w:sz w:val="32"/>
          <w:szCs w:val="32"/>
          <w:highlight w:val="none"/>
        </w:rPr>
        <w:t>万元、公用经费</w:t>
      </w:r>
      <w:r>
        <w:rPr>
          <w:rFonts w:hint="default" w:ascii="Times New Roman" w:hAnsi="Times New Roman" w:eastAsia="方正仿宋_GB2312" w:cs="Times New Roman"/>
          <w:color w:val="auto"/>
          <w:sz w:val="32"/>
          <w:szCs w:val="32"/>
          <w:highlight w:val="none"/>
          <w:lang w:val="en-US" w:eastAsia="zh-CN"/>
        </w:rPr>
        <w:t>50.19</w:t>
      </w:r>
      <w:r>
        <w:rPr>
          <w:rFonts w:hint="default" w:ascii="Times New Roman" w:hAnsi="Times New Roman" w:eastAsia="方正仿宋_GB2312" w:cs="Times New Roman"/>
          <w:color w:val="auto"/>
          <w:sz w:val="32"/>
          <w:szCs w:val="32"/>
          <w:highlight w:val="none"/>
        </w:rPr>
        <w:t>万元），项目支出</w:t>
      </w:r>
      <w:r>
        <w:rPr>
          <w:rFonts w:hint="default" w:ascii="Times New Roman" w:hAnsi="Times New Roman" w:eastAsia="方正仿宋_GB2312" w:cs="Times New Roman"/>
          <w:color w:val="auto"/>
          <w:sz w:val="32"/>
          <w:szCs w:val="32"/>
          <w:highlight w:val="none"/>
          <w:lang w:val="en-US" w:eastAsia="zh-CN"/>
        </w:rPr>
        <w:t>82.35</w:t>
      </w:r>
      <w:r>
        <w:rPr>
          <w:rFonts w:hint="default" w:ascii="Times New Roman" w:hAnsi="Times New Roman" w:eastAsia="方正仿宋_GB2312" w:cs="Times New Roman"/>
          <w:color w:val="auto"/>
          <w:sz w:val="32"/>
          <w:szCs w:val="32"/>
          <w:highlight w:val="none"/>
        </w:rPr>
        <w:t>万元。</w:t>
      </w:r>
    </w:p>
    <w:p w14:paraId="03B600DB">
      <w:pPr>
        <w:spacing w:line="360" w:lineRule="auto"/>
        <w:ind w:firstLine="640"/>
        <w:rPr>
          <w:rFonts w:hint="default" w:ascii="Times New Roman" w:hAnsi="Times New Roman" w:eastAsia="方正楷体简体" w:cs="Times New Roman"/>
          <w:color w:val="auto"/>
          <w:sz w:val="32"/>
          <w:szCs w:val="32"/>
          <w:highlight w:val="none"/>
          <w:lang w:val="zh-CN" w:eastAsia="zh-CN"/>
        </w:rPr>
      </w:pPr>
      <w:r>
        <w:rPr>
          <w:rFonts w:hint="default" w:ascii="Times New Roman" w:hAnsi="Times New Roman" w:eastAsia="方正楷体简体" w:cs="Times New Roman"/>
          <w:color w:val="auto"/>
          <w:sz w:val="32"/>
          <w:szCs w:val="32"/>
          <w:highlight w:val="none"/>
          <w:lang w:val="zh-CN" w:eastAsia="zh-CN"/>
        </w:rPr>
        <w:t>（三）结余分配和结转结余情况</w:t>
      </w:r>
    </w:p>
    <w:p w14:paraId="28891199">
      <w:pPr>
        <w:widowControl/>
        <w:spacing w:line="600" w:lineRule="exact"/>
        <w:ind w:firstLine="560"/>
        <w:outlineLvl w:val="9"/>
        <w:rPr>
          <w:rFonts w:hint="default" w:ascii="Times New Roman" w:hAnsi="Times New Roman" w:eastAsia="方正仿宋_GB2312" w:cs="Times New Roman"/>
          <w:color w:val="auto"/>
          <w:kern w:val="2"/>
          <w:sz w:val="32"/>
          <w:szCs w:val="32"/>
          <w:highlight w:val="none"/>
        </w:rPr>
      </w:pPr>
      <w:r>
        <w:rPr>
          <w:rFonts w:hint="default" w:ascii="Times New Roman" w:hAnsi="Times New Roman" w:eastAsia="方正仿宋_GB2312" w:cs="Times New Roman"/>
          <w:color w:val="auto"/>
          <w:sz w:val="32"/>
          <w:szCs w:val="32"/>
          <w:highlight w:val="none"/>
          <w:lang w:val="en-US" w:eastAsia="zh-CN"/>
        </w:rPr>
        <w:t>决算报表反映</w:t>
      </w:r>
      <w:r>
        <w:rPr>
          <w:rFonts w:hint="default" w:ascii="Times New Roman" w:hAnsi="Times New Roman" w:eastAsia="方正仿宋_GB2312" w:cs="Times New Roman"/>
          <w:color w:val="auto"/>
          <w:sz w:val="32"/>
          <w:szCs w:val="32"/>
          <w:highlight w:val="none"/>
        </w:rPr>
        <w:t>，</w:t>
      </w:r>
      <w:r>
        <w:rPr>
          <w:rFonts w:hint="default" w:ascii="Times New Roman" w:hAnsi="Times New Roman" w:eastAsia="方正仿宋_GB2312" w:cs="Times New Roman"/>
          <w:color w:val="auto"/>
          <w:sz w:val="32"/>
          <w:szCs w:val="32"/>
          <w:highlight w:val="none"/>
          <w:lang w:eastAsia="zh-CN"/>
        </w:rPr>
        <w:t>县</w:t>
      </w:r>
      <w:r>
        <w:rPr>
          <w:rFonts w:hint="default" w:ascii="Times New Roman" w:hAnsi="Times New Roman" w:eastAsia="方正仿宋_GB2312" w:cs="Times New Roman"/>
          <w:color w:val="auto"/>
          <w:sz w:val="32"/>
          <w:szCs w:val="32"/>
          <w:highlight w:val="none"/>
          <w:lang w:val="en-US" w:eastAsia="zh-CN"/>
        </w:rPr>
        <w:t>委</w:t>
      </w:r>
      <w:r>
        <w:rPr>
          <w:rFonts w:hint="default" w:ascii="Times New Roman" w:hAnsi="Times New Roman" w:eastAsia="方正仿宋_GB2312" w:cs="Times New Roman"/>
          <w:color w:val="auto"/>
          <w:sz w:val="32"/>
          <w:szCs w:val="32"/>
          <w:highlight w:val="none"/>
          <w:lang w:eastAsia="zh-CN"/>
        </w:rPr>
        <w:t>统战部</w:t>
      </w:r>
      <w:r>
        <w:rPr>
          <w:rFonts w:hint="default" w:ascii="Times New Roman" w:hAnsi="Times New Roman" w:eastAsia="方正仿宋_GB2312" w:cs="Times New Roman"/>
          <w:color w:val="auto"/>
          <w:sz w:val="32"/>
          <w:szCs w:val="32"/>
          <w:highlight w:val="none"/>
        </w:rPr>
        <w:t>202</w:t>
      </w:r>
      <w:r>
        <w:rPr>
          <w:rFonts w:hint="default" w:ascii="Times New Roman" w:hAnsi="Times New Roman" w:eastAsia="方正仿宋_GB2312" w:cs="Times New Roman"/>
          <w:color w:val="auto"/>
          <w:sz w:val="32"/>
          <w:szCs w:val="32"/>
          <w:highlight w:val="none"/>
          <w:lang w:val="en-US" w:eastAsia="zh-CN"/>
        </w:rPr>
        <w:t>4</w:t>
      </w:r>
      <w:r>
        <w:rPr>
          <w:rFonts w:hint="default" w:ascii="Times New Roman" w:hAnsi="Times New Roman" w:eastAsia="方正仿宋_GB2312" w:cs="Times New Roman"/>
          <w:color w:val="auto"/>
          <w:sz w:val="32"/>
          <w:szCs w:val="32"/>
          <w:highlight w:val="none"/>
        </w:rPr>
        <w:t>年末无结余分配</w:t>
      </w:r>
      <w:r>
        <w:rPr>
          <w:rFonts w:hint="default" w:ascii="Times New Roman" w:hAnsi="Times New Roman" w:eastAsia="方正仿宋_GB2312" w:cs="Times New Roman"/>
          <w:color w:val="auto"/>
          <w:sz w:val="32"/>
          <w:szCs w:val="32"/>
          <w:highlight w:val="none"/>
          <w:lang w:val="en-US" w:eastAsia="zh-CN"/>
        </w:rPr>
        <w:t>和</w:t>
      </w:r>
      <w:r>
        <w:rPr>
          <w:rFonts w:hint="default" w:ascii="Times New Roman" w:hAnsi="Times New Roman" w:eastAsia="方正仿宋_GB2312" w:cs="Times New Roman"/>
          <w:color w:val="auto"/>
          <w:sz w:val="32"/>
          <w:szCs w:val="32"/>
          <w:highlight w:val="none"/>
        </w:rPr>
        <w:t>结转结余。</w:t>
      </w:r>
    </w:p>
    <w:p w14:paraId="4BC19A9C">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default" w:ascii="Times New Roman" w:hAnsi="Times New Roman" w:eastAsia="方正黑体简体" w:cs="Times New Roman"/>
          <w:color w:val="auto"/>
          <w:kern w:val="0"/>
          <w:sz w:val="32"/>
          <w:szCs w:val="32"/>
          <w:highlight w:val="none"/>
          <w:shd w:val="clear" w:color="auto" w:fill="FFFFFF"/>
          <w:lang w:val="en-US" w:eastAsia="zh-CN"/>
        </w:rPr>
      </w:pPr>
      <w:bookmarkStart w:id="80" w:name="_Toc10974"/>
      <w:bookmarkStart w:id="81" w:name="_Toc7705"/>
      <w:bookmarkStart w:id="82" w:name="_Toc16353"/>
      <w:r>
        <w:rPr>
          <w:rFonts w:hint="default" w:ascii="Times New Roman" w:hAnsi="Times New Roman" w:eastAsia="方正黑体简体" w:cs="Times New Roman"/>
          <w:color w:val="auto"/>
          <w:kern w:val="0"/>
          <w:sz w:val="32"/>
          <w:szCs w:val="32"/>
          <w:highlight w:val="none"/>
          <w:shd w:val="clear" w:color="auto" w:fill="FFFFFF"/>
        </w:rPr>
        <w:t>三、</w:t>
      </w:r>
      <w:r>
        <w:rPr>
          <w:rFonts w:hint="default" w:ascii="Times New Roman" w:hAnsi="Times New Roman" w:eastAsia="方正黑体简体" w:cs="Times New Roman"/>
          <w:color w:val="auto"/>
          <w:kern w:val="0"/>
          <w:sz w:val="32"/>
          <w:szCs w:val="32"/>
          <w:highlight w:val="none"/>
          <w:shd w:val="clear" w:color="auto" w:fill="FFFFFF"/>
          <w:lang w:val="en-US" w:eastAsia="zh-CN"/>
        </w:rPr>
        <w:t>部门目标实现情况</w:t>
      </w:r>
      <w:bookmarkEnd w:id="73"/>
      <w:bookmarkEnd w:id="74"/>
      <w:bookmarkEnd w:id="75"/>
      <w:bookmarkEnd w:id="80"/>
      <w:bookmarkEnd w:id="81"/>
      <w:bookmarkEnd w:id="82"/>
    </w:p>
    <w:p w14:paraId="5552689A">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83" w:name="_Toc28011"/>
      <w:bookmarkStart w:id="84" w:name="_Toc3573"/>
      <w:bookmarkStart w:id="85" w:name="_Toc29501"/>
      <w:bookmarkStart w:id="86" w:name="_Toc1418"/>
      <w:bookmarkStart w:id="87" w:name="_Toc19300"/>
      <w:bookmarkStart w:id="88" w:name="_Toc22633"/>
      <w:r>
        <w:rPr>
          <w:rFonts w:hint="default" w:ascii="Times New Roman" w:hAnsi="Times New Roman" w:eastAsia="方正楷体简体" w:cs="Times New Roman"/>
          <w:color w:val="auto"/>
          <w:kern w:val="2"/>
          <w:sz w:val="32"/>
          <w:szCs w:val="32"/>
          <w:highlight w:val="none"/>
          <w:shd w:val="clear"/>
          <w:lang w:val="zh-CN" w:eastAsia="zh-CN"/>
        </w:rPr>
        <w:t>（一）总体目标</w:t>
      </w:r>
      <w:bookmarkEnd w:id="83"/>
      <w:bookmarkEnd w:id="84"/>
      <w:bookmarkEnd w:id="85"/>
      <w:bookmarkEnd w:id="86"/>
      <w:bookmarkEnd w:id="87"/>
      <w:bookmarkEnd w:id="88"/>
    </w:p>
    <w:p w14:paraId="76968D05">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bookmarkStart w:id="89" w:name="_Toc132"/>
      <w:bookmarkStart w:id="90" w:name="_Toc24652"/>
      <w:bookmarkStart w:id="91" w:name="_Toc11959"/>
      <w:r>
        <w:rPr>
          <w:rFonts w:hint="default" w:ascii="Times New Roman" w:hAnsi="Times New Roman" w:eastAsia="方正仿宋_GB2312" w:cs="Times New Roman"/>
          <w:color w:val="auto"/>
          <w:sz w:val="32"/>
          <w:szCs w:val="32"/>
          <w:highlight w:val="none"/>
          <w:lang w:val="en-US" w:eastAsia="zh-CN"/>
        </w:rPr>
        <w:t>1.加强政治引领。自觉把加强党的领导贯穿统战工作全过程和统一战线各领域，着力做好凝聚人心、汇聚共识工作，引导全县统一战线成员坚持中国共产党领导，不断巩固共同思想政治基础，确保统一战线工作始终沿着正确的方向前进。</w:t>
      </w:r>
    </w:p>
    <w:p w14:paraId="0FE37BBA">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2.服务中心大局。扎实做好宗教、党外代表人士、民营经济、党外知识分子和新的社会阶层人士、境外藏胞、侨台海外统战、“铸牢中华民族共同体意识 民族团结进家庭”实践行动工作。</w:t>
      </w:r>
    </w:p>
    <w:p w14:paraId="3B7BFA33">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3.强化自身建设。深化理论武装，坚持党建引领，加强意识形态工作，注重统战作用发挥。</w:t>
      </w:r>
    </w:p>
    <w:p w14:paraId="332148A8">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92" w:name="_Toc30825"/>
      <w:bookmarkStart w:id="93" w:name="_Toc6926"/>
      <w:bookmarkStart w:id="94" w:name="_Toc4650"/>
      <w:r>
        <w:rPr>
          <w:rFonts w:hint="default" w:ascii="Times New Roman" w:hAnsi="Times New Roman" w:eastAsia="方正楷体简体" w:cs="Times New Roman"/>
          <w:color w:val="auto"/>
          <w:kern w:val="2"/>
          <w:sz w:val="32"/>
          <w:szCs w:val="32"/>
          <w:highlight w:val="none"/>
          <w:shd w:val="clear"/>
          <w:lang w:val="zh-CN" w:eastAsia="zh-CN"/>
        </w:rPr>
        <w:t>（二）具体目标</w:t>
      </w:r>
      <w:bookmarkEnd w:id="89"/>
      <w:bookmarkEnd w:id="90"/>
      <w:bookmarkEnd w:id="91"/>
      <w:bookmarkEnd w:id="92"/>
      <w:bookmarkEnd w:id="93"/>
      <w:bookmarkEnd w:id="94"/>
    </w:p>
    <w:p w14:paraId="54A408D9">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bookmarkStart w:id="95" w:name="_Toc17536"/>
      <w:bookmarkStart w:id="96" w:name="_Toc6491"/>
      <w:bookmarkStart w:id="97" w:name="_Toc24081"/>
      <w:r>
        <w:rPr>
          <w:rFonts w:hint="default" w:ascii="Times New Roman" w:hAnsi="Times New Roman" w:eastAsia="方正仿宋_GB2312" w:cs="Times New Roman"/>
          <w:color w:val="auto"/>
          <w:sz w:val="32"/>
          <w:szCs w:val="32"/>
          <w:highlight w:val="none"/>
          <w:lang w:val="en-US" w:eastAsia="zh-CN"/>
        </w:rPr>
        <w:t>县委统战部2024年认真落实中央、省、州纪委全会部署安排，完成了以下工作任务：</w:t>
      </w:r>
    </w:p>
    <w:p w14:paraId="296D794A">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1.强化政治引领，做好统一思想、凝聚人心工作。</w:t>
      </w:r>
    </w:p>
    <w:p w14:paraId="75825DF5">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2.坚定铸牢中华民族共同体意识，深入开展民族团结进家庭实践行动。</w:t>
      </w:r>
    </w:p>
    <w:p w14:paraId="527A3D07">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3.坚持宗教中国化方向。</w:t>
      </w:r>
    </w:p>
    <w:p w14:paraId="6ED32A35">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4.加强无党派代表人士联系管理，做好“双走访”“双报到”工作。</w:t>
      </w:r>
    </w:p>
    <w:p w14:paraId="5D1F3C14">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5.促进非公有制经济“两个健康”，广泛宣传助企纾困，加强“面对面”“键对键”沟通协商。</w:t>
      </w:r>
    </w:p>
    <w:p w14:paraId="5EB9D5A0">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6.加强知新会组织建设，建设实践创新基地。</w:t>
      </w:r>
    </w:p>
    <w:p w14:paraId="244AF3EF">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7.着力夯实统战工作基础，持续推动构建统战工作格局。</w:t>
      </w:r>
    </w:p>
    <w:p w14:paraId="234D532A">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default" w:ascii="Times New Roman" w:hAnsi="Times New Roman" w:eastAsia="方正黑体简体" w:cs="Times New Roman"/>
          <w:color w:val="auto"/>
          <w:kern w:val="0"/>
          <w:sz w:val="32"/>
          <w:szCs w:val="32"/>
          <w:highlight w:val="none"/>
          <w:shd w:val="clear" w:color="auto" w:fill="FFFFFF"/>
        </w:rPr>
      </w:pPr>
      <w:bookmarkStart w:id="98" w:name="_Toc21154"/>
      <w:bookmarkStart w:id="99" w:name="_Toc32189"/>
      <w:bookmarkStart w:id="100" w:name="_Toc13068"/>
      <w:r>
        <w:rPr>
          <w:rFonts w:hint="default" w:ascii="Times New Roman" w:hAnsi="Times New Roman" w:eastAsia="方正黑体简体" w:cs="Times New Roman"/>
          <w:color w:val="auto"/>
          <w:kern w:val="0"/>
          <w:sz w:val="32"/>
          <w:szCs w:val="32"/>
          <w:highlight w:val="none"/>
          <w:shd w:val="clear" w:color="auto" w:fill="FFFFFF"/>
          <w:lang w:val="en-US" w:eastAsia="zh-CN"/>
        </w:rPr>
        <w:t>四、</w:t>
      </w:r>
      <w:r>
        <w:rPr>
          <w:rFonts w:hint="default" w:ascii="Times New Roman" w:hAnsi="Times New Roman" w:eastAsia="方正黑体简体" w:cs="Times New Roman"/>
          <w:color w:val="auto"/>
          <w:kern w:val="0"/>
          <w:sz w:val="32"/>
          <w:szCs w:val="32"/>
          <w:highlight w:val="none"/>
          <w:shd w:val="clear" w:color="auto" w:fill="FFFFFF"/>
        </w:rPr>
        <w:t>部门整体支出</w:t>
      </w:r>
      <w:r>
        <w:rPr>
          <w:rFonts w:hint="default" w:ascii="Times New Roman" w:hAnsi="Times New Roman" w:eastAsia="方正黑体简体" w:cs="Times New Roman"/>
          <w:color w:val="auto"/>
          <w:kern w:val="0"/>
          <w:sz w:val="32"/>
          <w:szCs w:val="32"/>
          <w:highlight w:val="none"/>
          <w:shd w:val="clear" w:color="auto" w:fill="FFFFFF"/>
          <w:lang w:val="zh-CN"/>
        </w:rPr>
        <w:t>绩效评价</w:t>
      </w:r>
      <w:r>
        <w:rPr>
          <w:rFonts w:hint="default" w:ascii="Times New Roman" w:hAnsi="Times New Roman" w:eastAsia="方正黑体简体" w:cs="Times New Roman"/>
          <w:color w:val="auto"/>
          <w:kern w:val="0"/>
          <w:sz w:val="32"/>
          <w:szCs w:val="32"/>
          <w:highlight w:val="none"/>
          <w:shd w:val="clear" w:color="auto" w:fill="FFFFFF"/>
        </w:rPr>
        <w:t>情况</w:t>
      </w:r>
      <w:bookmarkEnd w:id="76"/>
      <w:bookmarkEnd w:id="77"/>
      <w:bookmarkEnd w:id="78"/>
      <w:bookmarkEnd w:id="79"/>
      <w:bookmarkEnd w:id="95"/>
      <w:bookmarkEnd w:id="96"/>
      <w:bookmarkEnd w:id="97"/>
      <w:bookmarkEnd w:id="98"/>
      <w:bookmarkEnd w:id="99"/>
      <w:bookmarkEnd w:id="100"/>
    </w:p>
    <w:p w14:paraId="5A75D544">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101" w:name="_Toc29571"/>
      <w:bookmarkStart w:id="102" w:name="_Toc24977"/>
      <w:bookmarkStart w:id="103" w:name="_Toc24619"/>
      <w:bookmarkStart w:id="104" w:name="_Toc28828"/>
      <w:bookmarkStart w:id="105" w:name="_Toc11694"/>
      <w:bookmarkStart w:id="106" w:name="_Toc7521"/>
      <w:bookmarkStart w:id="107" w:name="_Toc428273082"/>
      <w:bookmarkStart w:id="108" w:name="_Toc8903"/>
      <w:bookmarkStart w:id="109" w:name="_Toc109483840"/>
      <w:bookmarkStart w:id="110" w:name="_Toc27305"/>
      <w:bookmarkStart w:id="111" w:name="_Toc4199"/>
      <w:r>
        <w:rPr>
          <w:rFonts w:hint="default" w:ascii="Times New Roman" w:hAnsi="Times New Roman" w:eastAsia="方正楷体简体" w:cs="Times New Roman"/>
          <w:color w:val="auto"/>
          <w:kern w:val="2"/>
          <w:sz w:val="32"/>
          <w:szCs w:val="32"/>
          <w:highlight w:val="none"/>
          <w:shd w:val="clear"/>
          <w:lang w:val="zh-CN"/>
        </w:rPr>
        <w:t>（一）</w:t>
      </w:r>
      <w:r>
        <w:rPr>
          <w:rFonts w:hint="default" w:ascii="Times New Roman" w:hAnsi="Times New Roman" w:eastAsia="方正楷体简体" w:cs="Times New Roman"/>
          <w:color w:val="auto"/>
          <w:kern w:val="2"/>
          <w:sz w:val="32"/>
          <w:szCs w:val="32"/>
          <w:highlight w:val="none"/>
          <w:shd w:val="clear"/>
          <w:lang w:val="zh-CN" w:eastAsia="zh-CN"/>
        </w:rPr>
        <w:t>绩效评价实施过程</w:t>
      </w:r>
      <w:bookmarkEnd w:id="101"/>
      <w:bookmarkEnd w:id="102"/>
      <w:bookmarkEnd w:id="103"/>
      <w:bookmarkEnd w:id="104"/>
      <w:bookmarkEnd w:id="105"/>
      <w:bookmarkEnd w:id="106"/>
    </w:p>
    <w:p w14:paraId="3E043EBE">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评价小组按照评价日程安排，对县委统战部提交的评价资料进行认真梳理，测算分析各项指标，汇总评分并形成评价报告。</w:t>
      </w:r>
    </w:p>
    <w:p w14:paraId="5A0A3725">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1.对相关资料进行研读，对整体评价有基本的把握和了解，归纳出进一步评价所需的信息供下一步取数参考。</w:t>
      </w:r>
    </w:p>
    <w:p w14:paraId="5D575BBF">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2.集中对各个评价指标逐一进行分析，以保证取数的准确性。</w:t>
      </w:r>
    </w:p>
    <w:p w14:paraId="777A1762">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3.评价小组汇总分析评价过程中发现的问题并对存在问题进行讨论，根据取得的数据分别计算各评价指标所得分数，形成评价结果。</w:t>
      </w:r>
    </w:p>
    <w:p w14:paraId="3B0DF91C">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4.根据评价结果，撰写评价报告。</w:t>
      </w:r>
    </w:p>
    <w:p w14:paraId="0280D38C">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5.与绩效评价相关者沟通，完善并形成绩效评价报告终稿。</w:t>
      </w:r>
    </w:p>
    <w:p w14:paraId="2ADF116E">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en-US" w:eastAsia="zh-CN"/>
        </w:rPr>
      </w:pPr>
      <w:bookmarkStart w:id="112" w:name="_Toc24380"/>
      <w:bookmarkStart w:id="113" w:name="_Toc16416"/>
      <w:bookmarkStart w:id="114" w:name="_Toc30977"/>
      <w:bookmarkStart w:id="115" w:name="_Toc3794"/>
      <w:bookmarkStart w:id="116" w:name="_Toc23900"/>
      <w:bookmarkStart w:id="117" w:name="_Toc4385"/>
      <w:r>
        <w:rPr>
          <w:rFonts w:hint="default" w:ascii="Times New Roman" w:hAnsi="Times New Roman" w:eastAsia="方正楷体简体" w:cs="Times New Roman"/>
          <w:color w:val="auto"/>
          <w:kern w:val="2"/>
          <w:sz w:val="32"/>
          <w:szCs w:val="32"/>
          <w:highlight w:val="none"/>
          <w:shd w:val="clear"/>
          <w:lang w:val="zh-CN" w:eastAsia="zh-CN"/>
        </w:rPr>
        <w:t>（</w:t>
      </w:r>
      <w:r>
        <w:rPr>
          <w:rFonts w:hint="default" w:ascii="Times New Roman" w:hAnsi="Times New Roman" w:eastAsia="方正楷体简体" w:cs="Times New Roman"/>
          <w:color w:val="auto"/>
          <w:kern w:val="2"/>
          <w:sz w:val="32"/>
          <w:szCs w:val="32"/>
          <w:highlight w:val="none"/>
          <w:shd w:val="clear"/>
          <w:lang w:val="en-US" w:eastAsia="zh-CN"/>
        </w:rPr>
        <w:t>二）</w:t>
      </w:r>
      <w:bookmarkEnd w:id="107"/>
      <w:bookmarkEnd w:id="108"/>
      <w:r>
        <w:rPr>
          <w:rFonts w:hint="default" w:ascii="Times New Roman" w:hAnsi="Times New Roman" w:eastAsia="方正楷体简体" w:cs="Times New Roman"/>
          <w:color w:val="auto"/>
          <w:kern w:val="2"/>
          <w:sz w:val="32"/>
          <w:szCs w:val="32"/>
          <w:highlight w:val="none"/>
          <w:shd w:val="clear"/>
          <w:lang w:val="en-US" w:eastAsia="zh-CN"/>
        </w:rPr>
        <w:t>评价结论</w:t>
      </w:r>
      <w:bookmarkEnd w:id="112"/>
      <w:bookmarkEnd w:id="113"/>
      <w:bookmarkEnd w:id="114"/>
      <w:bookmarkEnd w:id="115"/>
      <w:bookmarkEnd w:id="116"/>
      <w:bookmarkEnd w:id="117"/>
    </w:p>
    <w:bookmarkEnd w:id="109"/>
    <w:bookmarkEnd w:id="110"/>
    <w:bookmarkEnd w:id="111"/>
    <w:p w14:paraId="11D0484D">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度，县委统战部坚持以习近平新时代中国特色社会主义思想为指导，深入学习贯彻党的二十大精神和习近平总书记来川视察重要指示精神，认真落实中央、省、州纪委全会部署安排，积极主动围绕中心、服务大局，坚定不移正风肃纪反腐，扎实推进主题教育和教育整顿，精准聚焦“六个关键点”，纵深推进纪检监察工作高质量发展有力助推泸定政治生态实现“三大变化”目标，县委统战部在维持部门运转的基础上，完成了部门职责范围内的各项工作，部门履职情况较好。</w:t>
      </w:r>
    </w:p>
    <w:p w14:paraId="38EC8196">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按照设定的评价指标体系，通过对县委统战部2024年度部门整体支出情况在预算编制、预算执行、完成结果、信息公开、整改反馈、自评质量方面进行综合评价，2024年度县委统战部部门整体支出绩效评价指标分值100.00分，得分91.99分。详见下表：</w:t>
      </w:r>
    </w:p>
    <w:p w14:paraId="586E1AED">
      <w:pPr>
        <w:keepNext w:val="0"/>
        <w:keepLines w:val="0"/>
        <w:pageBreakBefore w:val="0"/>
        <w:kinsoku/>
        <w:wordWrap/>
        <w:overflowPunct/>
        <w:topLinePunct w:val="0"/>
        <w:autoSpaceDE/>
        <w:autoSpaceDN/>
        <w:bidi w:val="0"/>
        <w:spacing w:line="600" w:lineRule="exact"/>
        <w:ind w:left="0" w:firstLine="0" w:firstLineChars="0"/>
        <w:jc w:val="center"/>
        <w:outlineLvl w:val="1"/>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县委统战部</w:t>
      </w: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4年部门整体支出绩效评价评分表</w:t>
      </w:r>
    </w:p>
    <w:tbl>
      <w:tblPr>
        <w:tblStyle w:val="18"/>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491"/>
        <w:gridCol w:w="2292"/>
        <w:gridCol w:w="1318"/>
        <w:gridCol w:w="622"/>
        <w:gridCol w:w="959"/>
        <w:gridCol w:w="829"/>
      </w:tblGrid>
      <w:tr w14:paraId="10306B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14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BCFD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bookmarkStart w:id="118" w:name="_Toc13729"/>
            <w:bookmarkStart w:id="119" w:name="_Toc14707"/>
            <w:bookmarkStart w:id="120" w:name="_Toc4242"/>
            <w:bookmarkStart w:id="121" w:name="_Toc16394"/>
            <w:bookmarkStart w:id="122" w:name="_Toc26985"/>
            <w:bookmarkStart w:id="123" w:name="_Toc1687911260"/>
            <w:bookmarkStart w:id="124" w:name="_Toc109483841"/>
            <w:bookmarkStart w:id="125" w:name="_Toc28266"/>
            <w:bookmarkStart w:id="126" w:name="_Toc31945"/>
            <w:bookmarkStart w:id="127" w:name="_Toc24818"/>
            <w:r>
              <w:rPr>
                <w:rFonts w:hint="default" w:ascii="Times New Roman" w:hAnsi="Times New Roman" w:eastAsia="方正仿宋_GB2312" w:cs="Times New Roman"/>
                <w:b/>
                <w:bCs/>
                <w:i w:val="0"/>
                <w:iCs w:val="0"/>
                <w:color w:val="000000"/>
                <w:kern w:val="0"/>
                <w:sz w:val="20"/>
                <w:szCs w:val="20"/>
                <w:u w:val="none"/>
                <w:lang w:val="en-US" w:eastAsia="zh-CN" w:bidi="ar"/>
              </w:rPr>
              <w:t>一级指标</w:t>
            </w:r>
          </w:p>
        </w:tc>
        <w:tc>
          <w:tcPr>
            <w:tcW w:w="1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C8F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二级指标</w:t>
            </w:r>
          </w:p>
        </w:tc>
        <w:tc>
          <w:tcPr>
            <w:tcW w:w="7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F637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三级指标</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8F34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分值</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05F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扣分</w:t>
            </w:r>
          </w:p>
        </w:tc>
        <w:tc>
          <w:tcPr>
            <w:tcW w:w="4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A31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得分</w:t>
            </w:r>
          </w:p>
        </w:tc>
      </w:tr>
      <w:tr w14:paraId="1C3AA2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jc w:val="center"/>
        </w:trPr>
        <w:tc>
          <w:tcPr>
            <w:tcW w:w="14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5CEE8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部门预算管理（50分）</w:t>
            </w:r>
          </w:p>
        </w:tc>
        <w:tc>
          <w:tcPr>
            <w:tcW w:w="1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4463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目标管理（15分）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2B08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目标制定</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4DC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10</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ECAE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w:t>
            </w:r>
          </w:p>
        </w:tc>
        <w:tc>
          <w:tcPr>
            <w:tcW w:w="4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626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8</w:t>
            </w:r>
          </w:p>
        </w:tc>
      </w:tr>
      <w:tr w14:paraId="5B79D0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295A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611F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A737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目标实现</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E80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5</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8D6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F8E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5</w:t>
            </w:r>
          </w:p>
        </w:tc>
      </w:tr>
      <w:tr w14:paraId="0070DE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6E168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FA9A9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过程控制（10分）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BF93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执行进度</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5C6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366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9F2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r>
      <w:tr w14:paraId="3021F3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A16B4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34AEA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05F51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同步调整</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5B1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E2C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805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r>
      <w:tr w14:paraId="27320E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C554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0F442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18D1D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及时处置</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6EA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076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3819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r>
      <w:tr w14:paraId="143D27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87F4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DF8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完成效率（5分）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46C60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预算结余率</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C12D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5</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C9C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w:t>
            </w:r>
          </w:p>
        </w:tc>
        <w:tc>
          <w:tcPr>
            <w:tcW w:w="4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EBF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r>
      <w:tr w14:paraId="1584CE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9D53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3C70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完成效果（20分）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6922B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实施效果</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0B4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20</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39C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0.14</w:t>
            </w:r>
          </w:p>
        </w:tc>
        <w:tc>
          <w:tcPr>
            <w:tcW w:w="4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A31B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19.86</w:t>
            </w:r>
          </w:p>
        </w:tc>
      </w:tr>
      <w:tr w14:paraId="779C6A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jc w:val="center"/>
        </w:trPr>
        <w:tc>
          <w:tcPr>
            <w:tcW w:w="14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B404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专项预算绩效（30分）</w:t>
            </w:r>
          </w:p>
        </w:tc>
        <w:tc>
          <w:tcPr>
            <w:tcW w:w="1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A663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整体完成（30分）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CADD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完成率</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7EA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30</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C49F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1.87</w:t>
            </w:r>
          </w:p>
        </w:tc>
        <w:tc>
          <w:tcPr>
            <w:tcW w:w="4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E8E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28.13</w:t>
            </w:r>
          </w:p>
        </w:tc>
      </w:tr>
      <w:tr w14:paraId="15830F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9968F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绩效结果应用（14分）</w:t>
            </w:r>
          </w:p>
        </w:tc>
        <w:tc>
          <w:tcPr>
            <w:tcW w:w="1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5D64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内部应用（4分）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339F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预算挂钩</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9614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553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w:t>
            </w:r>
          </w:p>
        </w:tc>
        <w:tc>
          <w:tcPr>
            <w:tcW w:w="4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354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w:t>
            </w:r>
          </w:p>
        </w:tc>
      </w:tr>
      <w:tr w14:paraId="549278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A66A6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2D5D3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信息公开（4分）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7AA6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自评公开</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D93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842F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7A2A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r>
      <w:tr w14:paraId="549F39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B148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C3A6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整改反馈（6分）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236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问题整改</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B8F8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5763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869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r>
      <w:tr w14:paraId="6C0476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70" w:hRule="atLeast"/>
          <w:jc w:val="center"/>
        </w:trPr>
        <w:tc>
          <w:tcPr>
            <w:tcW w:w="14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A32CB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自评质量（6分）</w:t>
            </w:r>
          </w:p>
        </w:tc>
        <w:tc>
          <w:tcPr>
            <w:tcW w:w="1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B5FF0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自评质量（6分）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0310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自评质量</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78D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D663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A716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r>
      <w:tr w14:paraId="0A77B4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358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3FD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val="0"/>
                <w:bCs w:val="0"/>
                <w:i w:val="0"/>
                <w:iCs w:val="0"/>
                <w:color w:val="000000"/>
                <w:sz w:val="20"/>
                <w:szCs w:val="20"/>
                <w:u w:val="none"/>
              </w:rPr>
            </w:pPr>
            <w:r>
              <w:rPr>
                <w:rFonts w:hint="default" w:ascii="Times New Roman" w:hAnsi="Times New Roman" w:eastAsia="方正仿宋_GB2312" w:cs="Times New Roman"/>
                <w:b w:val="0"/>
                <w:bCs w:val="0"/>
                <w:i w:val="0"/>
                <w:iCs w:val="0"/>
                <w:color w:val="000000"/>
                <w:kern w:val="0"/>
                <w:sz w:val="20"/>
                <w:szCs w:val="20"/>
                <w:u w:val="none"/>
                <w:lang w:val="en-US" w:eastAsia="zh-CN" w:bidi="ar"/>
              </w:rPr>
              <w:t>合计</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6521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val="0"/>
                <w:bCs w:val="0"/>
                <w:i w:val="0"/>
                <w:iCs w:val="0"/>
                <w:color w:val="000000"/>
                <w:sz w:val="20"/>
                <w:szCs w:val="20"/>
                <w:u w:val="none"/>
              </w:rPr>
            </w:pPr>
            <w:r>
              <w:rPr>
                <w:rFonts w:hint="default" w:ascii="Times New Roman" w:hAnsi="Times New Roman" w:eastAsia="方正仿宋_GB2312" w:cs="Times New Roman"/>
                <w:b w:val="0"/>
                <w:bCs w:val="0"/>
                <w:i w:val="0"/>
                <w:iCs w:val="0"/>
                <w:color w:val="000000"/>
                <w:kern w:val="0"/>
                <w:sz w:val="20"/>
                <w:szCs w:val="20"/>
                <w:u w:val="none"/>
                <w:lang w:val="en-US" w:eastAsia="zh-CN" w:bidi="ar"/>
              </w:rPr>
              <w:t>100</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824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val="0"/>
                <w:bCs w:val="0"/>
                <w:i w:val="0"/>
                <w:iCs w:val="0"/>
                <w:color w:val="000000"/>
                <w:sz w:val="20"/>
                <w:szCs w:val="20"/>
                <w:u w:val="none"/>
              </w:rPr>
            </w:pPr>
            <w:r>
              <w:rPr>
                <w:rFonts w:hint="default" w:ascii="Times New Roman" w:hAnsi="Times New Roman" w:eastAsia="方正仿宋_GB2312" w:cs="Times New Roman"/>
                <w:b w:val="0"/>
                <w:bCs w:val="0"/>
                <w:i w:val="0"/>
                <w:iCs w:val="0"/>
                <w:color w:val="000000"/>
                <w:kern w:val="0"/>
                <w:sz w:val="20"/>
                <w:szCs w:val="20"/>
                <w:u w:val="none"/>
                <w:lang w:val="en-US" w:eastAsia="zh-CN" w:bidi="ar"/>
              </w:rPr>
              <w:t>8.01</w:t>
            </w:r>
          </w:p>
        </w:tc>
        <w:tc>
          <w:tcPr>
            <w:tcW w:w="4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7CE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val="0"/>
                <w:bCs w:val="0"/>
                <w:i w:val="0"/>
                <w:iCs w:val="0"/>
                <w:color w:val="000000"/>
                <w:sz w:val="20"/>
                <w:szCs w:val="20"/>
                <w:u w:val="none"/>
              </w:rPr>
            </w:pPr>
            <w:r>
              <w:rPr>
                <w:rFonts w:hint="default" w:ascii="Times New Roman" w:hAnsi="Times New Roman" w:eastAsia="方正仿宋_GB2312" w:cs="Times New Roman"/>
                <w:b w:val="0"/>
                <w:bCs w:val="0"/>
                <w:i w:val="0"/>
                <w:iCs w:val="0"/>
                <w:color w:val="000000"/>
                <w:kern w:val="0"/>
                <w:sz w:val="20"/>
                <w:szCs w:val="20"/>
                <w:u w:val="none"/>
                <w:lang w:val="en-US" w:eastAsia="zh-CN" w:bidi="ar"/>
              </w:rPr>
              <w:t>91.99</w:t>
            </w:r>
          </w:p>
        </w:tc>
      </w:tr>
    </w:tbl>
    <w:p w14:paraId="4C38C6B2">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en-US" w:eastAsia="zh-CN"/>
        </w:rPr>
      </w:pPr>
    </w:p>
    <w:p w14:paraId="7CAEDB59">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en-US" w:eastAsia="zh-CN"/>
        </w:rPr>
      </w:pPr>
      <w:r>
        <w:rPr>
          <w:rFonts w:hint="default" w:ascii="Times New Roman" w:hAnsi="Times New Roman" w:eastAsia="方正楷体简体" w:cs="Times New Roman"/>
          <w:color w:val="auto"/>
          <w:kern w:val="2"/>
          <w:sz w:val="32"/>
          <w:szCs w:val="32"/>
          <w:highlight w:val="none"/>
          <w:shd w:val="clear"/>
          <w:lang w:val="en-US" w:eastAsia="zh-CN"/>
        </w:rPr>
        <w:t>（三）绩效结果应用</w:t>
      </w:r>
      <w:bookmarkEnd w:id="118"/>
      <w:bookmarkEnd w:id="119"/>
      <w:bookmarkEnd w:id="120"/>
    </w:p>
    <w:p w14:paraId="3974C46A">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县委统战部认真落实中央、省、州纪委全会部署安排，积极主动、坚定不移正风肃纪反腐，扎实推进主题教育和教育整顿。通过评价组对县委统战部进行事后评价，最终县委统战部绩效等级为“优”。秉承科学公正、统筹兼顾、激励约束和公开透明财政绩效原则。</w:t>
      </w:r>
      <w:r>
        <w:rPr>
          <w:rFonts w:hint="eastAsia" w:eastAsia="方正仿宋_GB2312" w:cs="Times New Roman"/>
          <w:color w:val="auto"/>
          <w:sz w:val="32"/>
          <w:szCs w:val="32"/>
          <w:highlight w:val="none"/>
          <w:lang w:val="en-US" w:eastAsia="zh-CN"/>
        </w:rPr>
        <w:t>我局</w:t>
      </w:r>
      <w:r>
        <w:rPr>
          <w:rFonts w:hint="default" w:ascii="Times New Roman" w:hAnsi="Times New Roman" w:eastAsia="方正仿宋_GB2312" w:cs="Times New Roman"/>
          <w:color w:val="auto"/>
          <w:sz w:val="32"/>
          <w:szCs w:val="32"/>
          <w:highlight w:val="none"/>
          <w:lang w:val="en-US" w:eastAsia="zh-CN"/>
        </w:rPr>
        <w:t>建议泸定县财政局针对部门预算绩效管理，进一步要求县委统战部完善绩效目标编制、提高绩效自评质量、加强年初预算编制准确性。</w:t>
      </w:r>
    </w:p>
    <w:p w14:paraId="0651BF79">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en-US" w:eastAsia="zh-CN"/>
        </w:rPr>
      </w:pPr>
      <w:bookmarkStart w:id="128" w:name="_Toc6100"/>
      <w:bookmarkStart w:id="129" w:name="_Toc26977"/>
      <w:bookmarkStart w:id="130" w:name="_Toc11390"/>
      <w:r>
        <w:rPr>
          <w:rFonts w:hint="default" w:ascii="Times New Roman" w:hAnsi="Times New Roman" w:eastAsia="方正楷体简体" w:cs="Times New Roman"/>
          <w:color w:val="auto"/>
          <w:kern w:val="2"/>
          <w:sz w:val="32"/>
          <w:szCs w:val="32"/>
          <w:highlight w:val="none"/>
          <w:shd w:val="clear"/>
          <w:lang w:val="en-US" w:eastAsia="zh-CN"/>
        </w:rPr>
        <w:t>（四）</w:t>
      </w:r>
      <w:bookmarkEnd w:id="121"/>
      <w:bookmarkEnd w:id="122"/>
      <w:bookmarkEnd w:id="123"/>
      <w:bookmarkEnd w:id="124"/>
      <w:r>
        <w:rPr>
          <w:rFonts w:hint="default" w:ascii="Times New Roman" w:hAnsi="Times New Roman" w:eastAsia="方正楷体简体" w:cs="Times New Roman"/>
          <w:color w:val="auto"/>
          <w:kern w:val="2"/>
          <w:sz w:val="32"/>
          <w:szCs w:val="32"/>
          <w:highlight w:val="none"/>
          <w:shd w:val="clear"/>
          <w:lang w:val="en-US" w:eastAsia="zh-CN"/>
        </w:rPr>
        <w:t>评价分析</w:t>
      </w:r>
      <w:bookmarkEnd w:id="125"/>
      <w:bookmarkEnd w:id="126"/>
      <w:bookmarkEnd w:id="127"/>
      <w:bookmarkEnd w:id="128"/>
      <w:bookmarkEnd w:id="129"/>
      <w:bookmarkEnd w:id="130"/>
    </w:p>
    <w:p w14:paraId="6BF6F19C">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1.部门预算总体绩效管理情况</w:t>
      </w:r>
    </w:p>
    <w:p w14:paraId="18E76880">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（1）目标管理</w:t>
      </w:r>
    </w:p>
    <w:p w14:paraId="14F83EDD">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二级指标“目标管理”下设两个三级指标分别为：目标制定、目标实现。</w:t>
      </w:r>
    </w:p>
    <w:p w14:paraId="5852C135">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①目标制定</w:t>
      </w:r>
    </w:p>
    <w:p w14:paraId="4059A897">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县委统战部在泸定县人民政府门户网站公开的2024年度部门预算和绩效目标，制定了年度部门及项目整体支出绩效目标，绩效目标涵盖数量、质量、时效、效益等指标，但存在指标设置不明确、绩效目标要素不完整和指标设置不合理、未具体明确细化考核任务，不便于考核等情况。扣除2.00分。</w:t>
      </w:r>
    </w:p>
    <w:p w14:paraId="4392A5A9">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本项分值为10.00分，扣2.00分，得分为8.00分。</w:t>
      </w:r>
    </w:p>
    <w:p w14:paraId="051439E4">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②目标实现</w:t>
      </w:r>
    </w:p>
    <w:p w14:paraId="692F37BD">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县委统战部提供的2024年度年初预算项目绩效目标申报表及项目完成资料，县委统战部整体涉及6个数量指标、4个质量指标、1个时效指标、1个成本指标、5个社会效益指标、1个可持续影响指标、1个满意度指标。根据现场评价情况，实际完成6个数量指标，完成率100%；实际完成1个成本指标，完成率100%。</w:t>
      </w:r>
    </w:p>
    <w:p w14:paraId="35DC9D77">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本项分值为5.00分，扣0.00分，得分为5.00分。</w:t>
      </w:r>
    </w:p>
    <w:p w14:paraId="07A84896">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（2）过程控制</w:t>
      </w:r>
    </w:p>
    <w:p w14:paraId="51D011BB">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二级指标“过程控制”下设三个三级指标分别为：执行进度、同步调整、及时处置。</w:t>
      </w:r>
    </w:p>
    <w:p w14:paraId="2AC6A60C">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①执行进度</w:t>
      </w:r>
    </w:p>
    <w:p w14:paraId="507D1927">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根据《2025年泸定县部门整体支出绩效评价指标体系》，部门预算执行进度在6、9、11月应达到序时进度的80%、90%、90%，即实际支出进度分别达到40%、67.5%、82.5%。</w:t>
      </w:r>
    </w:p>
    <w:p w14:paraId="02FB4BC4">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被评价单位提供的1-6月、1-9月、1-11月可执行指标执行情况表显示，2024年县委统战部1—6月预算数402.98万元，实际执行数162.86万元，进度为40.42%；1—9月预算数480.50万元，实际执行数357.22万元，进度为74.34%；1—11月预算数498.05万元，实际执行数434.67万元，进度为87.27%。</w:t>
      </w:r>
    </w:p>
    <w:p w14:paraId="453EC0F7">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上述三个阶段中，根据可执行指标执行情况表被评价单位1-6月、1-9月、1-11月实际支出进度均已达到目标进度。</w:t>
      </w:r>
    </w:p>
    <w:p w14:paraId="51F3DF05">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本项分值为4.00分，扣0.00分，得分为4.00分。</w:t>
      </w:r>
    </w:p>
    <w:p w14:paraId="22956C49">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②同步调整</w:t>
      </w:r>
    </w:p>
    <w:p w14:paraId="6C6EECA3">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2024年县委统战部预算项目5个，根据被评价单位提供的可执行指标执行情况表，预算调整项目3个，均随预算调整同步完成绩效目标调整。</w:t>
      </w:r>
    </w:p>
    <w:p w14:paraId="67B9BB74">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2756E4FE">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③及时处置</w:t>
      </w:r>
    </w:p>
    <w:p w14:paraId="7D6D2538">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 xml:space="preserve">根据2024年，县委统战部开展了绩效运行监控，未发现绩效相关问题，未提出预算收回、调整处置意见。                           </w:t>
      </w:r>
    </w:p>
    <w:p w14:paraId="3F0CF77E">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28F3F602">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eastAsia="zh-CN"/>
        </w:rPr>
        <w:t>（</w:t>
      </w:r>
      <w:r>
        <w:rPr>
          <w:rFonts w:hint="default" w:ascii="Times New Roman" w:hAnsi="Times New Roman" w:eastAsia="方正仿宋_GB2312" w:cs="Times New Roman"/>
          <w:color w:val="auto"/>
          <w:sz w:val="32"/>
          <w:szCs w:val="32"/>
          <w:highlight w:val="none"/>
          <w:lang w:val="en-US" w:eastAsia="zh-CN"/>
        </w:rPr>
        <w:t>3</w:t>
      </w:r>
      <w:r>
        <w:rPr>
          <w:rFonts w:hint="default" w:ascii="Times New Roman" w:hAnsi="Times New Roman" w:eastAsia="方正仿宋_GB2312" w:cs="Times New Roman"/>
          <w:color w:val="auto"/>
          <w:sz w:val="32"/>
          <w:szCs w:val="32"/>
          <w:highlight w:val="none"/>
          <w:lang w:eastAsia="zh-CN"/>
        </w:rPr>
        <w:t>）</w:t>
      </w:r>
      <w:r>
        <w:rPr>
          <w:rFonts w:hint="default" w:ascii="Times New Roman" w:hAnsi="Times New Roman" w:eastAsia="方正仿宋_GB2312" w:cs="Times New Roman"/>
          <w:color w:val="auto"/>
          <w:sz w:val="32"/>
          <w:szCs w:val="32"/>
          <w:highlight w:val="none"/>
          <w:lang w:val="en-US" w:eastAsia="zh-CN"/>
        </w:rPr>
        <w:t>完成效率</w:t>
      </w:r>
    </w:p>
    <w:p w14:paraId="6AD9472A">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二级指标“完成效率”下设一个三级指标为：预算结余率。</w:t>
      </w:r>
    </w:p>
    <w:p w14:paraId="73B5FAFD">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根据县委统战部2024年度决算报表与可执行指标执行情况表被评价单位 2024年度预算项目共计5个，部门预算项目资金结余率小于10%有3个，大于10%有2个。</w:t>
      </w:r>
    </w:p>
    <w:p w14:paraId="4A928BD9">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本项分值为5.00分，扣2.00分，得分为3.00分。</w:t>
      </w:r>
    </w:p>
    <w:p w14:paraId="38BE5EDF">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w:t>
      </w:r>
      <w:r>
        <w:rPr>
          <w:rFonts w:hint="default" w:ascii="Times New Roman" w:hAnsi="Times New Roman" w:eastAsia="方正仿宋_GB2312" w:cs="Times New Roman"/>
          <w:color w:val="auto"/>
          <w:sz w:val="32"/>
          <w:szCs w:val="32"/>
          <w:highlight w:val="none"/>
        </w:rPr>
        <w:t>部门预算项目绩效</w:t>
      </w:r>
      <w:r>
        <w:rPr>
          <w:rFonts w:hint="default" w:ascii="Times New Roman" w:hAnsi="Times New Roman" w:eastAsia="方正仿宋_GB2312" w:cs="Times New Roman"/>
          <w:color w:val="auto"/>
          <w:sz w:val="32"/>
          <w:szCs w:val="32"/>
          <w:highlight w:val="none"/>
          <w:lang w:val="en-US" w:eastAsia="zh-CN"/>
        </w:rPr>
        <w:t>管理情况</w:t>
      </w:r>
    </w:p>
    <w:p w14:paraId="5AC66852">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eastAsia="zh-CN"/>
        </w:rPr>
        <w:t>（</w:t>
      </w:r>
      <w:r>
        <w:rPr>
          <w:rFonts w:hint="default" w:ascii="Times New Roman" w:hAnsi="Times New Roman" w:eastAsia="方正仿宋_GB2312" w:cs="Times New Roman"/>
          <w:color w:val="auto"/>
          <w:sz w:val="32"/>
          <w:szCs w:val="32"/>
          <w:highlight w:val="none"/>
          <w:lang w:val="en-US" w:eastAsia="zh-CN"/>
        </w:rPr>
        <w:t>1</w:t>
      </w:r>
      <w:r>
        <w:rPr>
          <w:rFonts w:hint="default" w:ascii="Times New Roman" w:hAnsi="Times New Roman" w:eastAsia="方正仿宋_GB2312" w:cs="Times New Roman"/>
          <w:color w:val="auto"/>
          <w:sz w:val="32"/>
          <w:szCs w:val="32"/>
          <w:highlight w:val="none"/>
          <w:lang w:eastAsia="zh-CN"/>
        </w:rPr>
        <w:t>）</w:t>
      </w:r>
      <w:r>
        <w:rPr>
          <w:rFonts w:hint="default" w:ascii="Times New Roman" w:hAnsi="Times New Roman" w:eastAsia="方正仿宋_GB2312" w:cs="Times New Roman"/>
          <w:color w:val="auto"/>
          <w:sz w:val="32"/>
          <w:szCs w:val="32"/>
          <w:highlight w:val="none"/>
          <w:lang w:val="en-US" w:eastAsia="zh-CN"/>
        </w:rPr>
        <w:t>完成效果</w:t>
      </w:r>
    </w:p>
    <w:p w14:paraId="2B68E035">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二级指标“完成效果”下设一个三级指标为实施效果。</w:t>
      </w:r>
    </w:p>
    <w:p w14:paraId="37D66CB3">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县委统战部部门预算项目共5个，涉及预算资金107.40万元，评价组抽取项目的绩效评价指标体系均采用《2025年泸定县部门整体支出绩效评价指标体系》。经评价小组复核评分，抽查的预算项目平均得分99.32分。</w:t>
      </w:r>
    </w:p>
    <w:p w14:paraId="4ADF518D">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本项分值为20.00分，扣0.14分，得分为19.86分。</w:t>
      </w:r>
    </w:p>
    <w:p w14:paraId="3B1C687A">
      <w:pPr>
        <w:keepNext w:val="0"/>
        <w:keepLines w:val="0"/>
        <w:pageBreakBefore w:val="0"/>
        <w:widowControl/>
        <w:numPr>
          <w:ilvl w:val="-1"/>
          <w:numId w:val="0"/>
        </w:numPr>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kern w:val="2"/>
          <w:sz w:val="32"/>
          <w:szCs w:val="32"/>
          <w:highlight w:val="none"/>
          <w:lang w:val="en-US" w:eastAsia="zh-CN" w:bidi="ar-SA"/>
        </w:rPr>
        <w:t>3.</w:t>
      </w:r>
      <w:r>
        <w:rPr>
          <w:rFonts w:hint="default" w:ascii="Times New Roman" w:hAnsi="Times New Roman" w:eastAsia="方正仿宋_GB2312" w:cs="Times New Roman"/>
          <w:color w:val="auto"/>
          <w:sz w:val="32"/>
          <w:szCs w:val="32"/>
          <w:highlight w:val="none"/>
        </w:rPr>
        <w:t>专项预算绩效</w:t>
      </w:r>
      <w:r>
        <w:rPr>
          <w:rFonts w:hint="default" w:ascii="Times New Roman" w:hAnsi="Times New Roman" w:eastAsia="方正仿宋_GB2312" w:cs="Times New Roman"/>
          <w:color w:val="auto"/>
          <w:sz w:val="32"/>
          <w:szCs w:val="32"/>
          <w:highlight w:val="none"/>
          <w:lang w:val="en-US" w:eastAsia="zh-CN"/>
        </w:rPr>
        <w:t>管理情况</w:t>
      </w:r>
    </w:p>
    <w:p w14:paraId="19A5BE0D">
      <w:pPr>
        <w:keepNext w:val="0"/>
        <w:keepLines w:val="0"/>
        <w:pageBreakBefore w:val="0"/>
        <w:widowControl/>
        <w:numPr>
          <w:ilvl w:val="-1"/>
          <w:numId w:val="0"/>
        </w:numPr>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eastAsia="zh-CN"/>
        </w:rPr>
        <w:t>（</w:t>
      </w:r>
      <w:r>
        <w:rPr>
          <w:rFonts w:hint="default" w:ascii="Times New Roman" w:hAnsi="Times New Roman" w:eastAsia="方正仿宋_GB2312" w:cs="Times New Roman"/>
          <w:color w:val="auto"/>
          <w:sz w:val="32"/>
          <w:szCs w:val="32"/>
          <w:highlight w:val="none"/>
          <w:lang w:val="en-US" w:eastAsia="zh-CN"/>
        </w:rPr>
        <w:t>1</w:t>
      </w:r>
      <w:r>
        <w:rPr>
          <w:rFonts w:hint="default" w:ascii="Times New Roman" w:hAnsi="Times New Roman" w:eastAsia="方正仿宋_GB2312" w:cs="Times New Roman"/>
          <w:color w:val="auto"/>
          <w:sz w:val="32"/>
          <w:szCs w:val="32"/>
          <w:highlight w:val="none"/>
          <w:lang w:eastAsia="zh-CN"/>
        </w:rPr>
        <w:t>）</w:t>
      </w:r>
      <w:r>
        <w:rPr>
          <w:rFonts w:hint="default" w:ascii="Times New Roman" w:hAnsi="Times New Roman" w:eastAsia="方正仿宋_GB2312" w:cs="Times New Roman"/>
          <w:color w:val="auto"/>
          <w:sz w:val="32"/>
          <w:szCs w:val="32"/>
          <w:highlight w:val="none"/>
          <w:lang w:val="en-US" w:eastAsia="zh-CN"/>
        </w:rPr>
        <w:t>整体完成</w:t>
      </w:r>
    </w:p>
    <w:p w14:paraId="1B9DC6F4">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二级指标“整体完成”下设一个三级指标为：完成率。</w:t>
      </w:r>
    </w:p>
    <w:p w14:paraId="7C2923AF">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2024年，县委统战部预算项目共5个，评价组抽取专项预算项目2个，经评价小组复核评分，抽查的2个预算项目平均得分93.75分。</w:t>
      </w:r>
    </w:p>
    <w:p w14:paraId="7C50EB7D">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本项分值为30.00分，扣1.87分，得分为28.13分。</w:t>
      </w:r>
    </w:p>
    <w:p w14:paraId="6B552CA4">
      <w:pPr>
        <w:keepNext w:val="0"/>
        <w:keepLines w:val="0"/>
        <w:pageBreakBefore w:val="0"/>
        <w:widowControl/>
        <w:numPr>
          <w:ilvl w:val="-1"/>
          <w:numId w:val="0"/>
        </w:numPr>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kern w:val="2"/>
          <w:sz w:val="32"/>
          <w:szCs w:val="32"/>
          <w:highlight w:val="none"/>
          <w:lang w:val="en-US" w:eastAsia="zh-CN" w:bidi="ar-SA"/>
        </w:rPr>
        <w:t>4.</w:t>
      </w:r>
      <w:r>
        <w:rPr>
          <w:rFonts w:hint="default" w:ascii="Times New Roman" w:hAnsi="Times New Roman" w:eastAsia="方正仿宋_GB2312" w:cs="Times New Roman"/>
          <w:color w:val="auto"/>
          <w:sz w:val="32"/>
          <w:szCs w:val="32"/>
          <w:highlight w:val="none"/>
          <w:lang w:val="en-US" w:eastAsia="zh-CN"/>
        </w:rPr>
        <w:t>绩效结果应用</w:t>
      </w:r>
    </w:p>
    <w:p w14:paraId="0AF25A09">
      <w:pPr>
        <w:keepNext w:val="0"/>
        <w:keepLines w:val="0"/>
        <w:pageBreakBefore w:val="0"/>
        <w:widowControl/>
        <w:numPr>
          <w:ilvl w:val="-1"/>
          <w:numId w:val="0"/>
        </w:numPr>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（1）内部应用</w:t>
      </w:r>
    </w:p>
    <w:p w14:paraId="1C81E90C">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二级指标“内部应用”下设一个三级指标为：预算挂钩。</w:t>
      </w:r>
    </w:p>
    <w:p w14:paraId="45E97E47">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截至评价日，县委统战部未制定《预决算制度》，单位绩效管理情况未纳入内部考核体系且内部绩效结果未与预算挂钩。</w:t>
      </w:r>
    </w:p>
    <w:p w14:paraId="26F62B8E">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本项分值为4.00分，扣2.00分，得分为2.00分。</w:t>
      </w:r>
    </w:p>
    <w:p w14:paraId="3DFC40C8">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（2）信息公开</w:t>
      </w:r>
    </w:p>
    <w:p w14:paraId="02CEE864">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二级指标“信息公开”下设一个三级指标为：自评公开。</w:t>
      </w:r>
    </w:p>
    <w:p w14:paraId="0704524F">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预决算公开。县委统战部于2024年4月1日在泸定县人民政府网上进行了部门预算及项目绩效目标的公开。截至评价日，代表大会常务委员会暂未召开，未对2024年泸定县决算（草案）和决算报告进行审查，故未进行2024年决算信息的公开。</w:t>
      </w:r>
    </w:p>
    <w:p w14:paraId="4A2F8C25">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②绩效信息公开。截至评价日，因2024年决算信息未公开，即被评价单位部门整体自评报告及项目自评等相关绩效信息情况均未随决算公开。</w:t>
      </w:r>
    </w:p>
    <w:p w14:paraId="101CBC09">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本项分值为4.00分，扣0.00分，得分为4.00分。</w:t>
      </w:r>
    </w:p>
    <w:p w14:paraId="6B3C2C52">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（3）整改反馈</w:t>
      </w:r>
    </w:p>
    <w:p w14:paraId="23157FC1">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二级指标“整改反馈”下设两个三级指标为：问题整改、应用反馈。</w:t>
      </w:r>
    </w:p>
    <w:p w14:paraId="53A4A77D">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①2024年度，县委统战部未收到绩效目标核查、绩效重点监控和重点绩效评价等方面整改意见，无需整改。</w:t>
      </w:r>
    </w:p>
    <w:p w14:paraId="0E6FAB34">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477FA3F0">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②2024年度，县委统战部在规定时间内向财政部门反馈绩效结果应用报告，报告内容翔实、问题整改到位、结果应用充分。</w:t>
      </w:r>
    </w:p>
    <w:p w14:paraId="192AD229">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714DA500">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5.自评质量</w:t>
      </w:r>
    </w:p>
    <w:p w14:paraId="772DA100">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二级指标“自评质量”下设一个三级指标为：自评质量。</w:t>
      </w:r>
    </w:p>
    <w:p w14:paraId="4145457C">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县委统战部2024年部门整体支出绩效自评得分87分（不包括“自评质量”指标分值，满分为94分），根据现场评价情况，评价组对县委统战部的考评得分85.99分（不包括“自评质量”指标分值，满分为94分），自评差异率1.16%，低于5.00%。</w:t>
      </w:r>
    </w:p>
    <w:p w14:paraId="62CC1504">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本项分值为6.00分，扣0.00分，得分为6.00分。</w:t>
      </w:r>
    </w:p>
    <w:bookmarkEnd w:id="2"/>
    <w:p w14:paraId="6478B652">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default" w:ascii="Times New Roman" w:hAnsi="Times New Roman" w:eastAsia="方正黑体简体" w:cs="Times New Roman"/>
          <w:color w:val="auto"/>
          <w:kern w:val="0"/>
          <w:sz w:val="32"/>
          <w:szCs w:val="32"/>
          <w:highlight w:val="none"/>
          <w:shd w:val="clear" w:color="auto" w:fill="FFFFFF"/>
        </w:rPr>
      </w:pPr>
      <w:bookmarkStart w:id="131" w:name="_Toc14032"/>
      <w:bookmarkStart w:id="132" w:name="_Toc5060"/>
      <w:bookmarkStart w:id="133" w:name="_Toc30339"/>
      <w:bookmarkStart w:id="134" w:name="_Toc4350"/>
      <w:bookmarkStart w:id="135" w:name="_Toc21218"/>
      <w:bookmarkStart w:id="136" w:name="_Toc25603"/>
      <w:bookmarkStart w:id="137" w:name="_Toc30515"/>
      <w:bookmarkStart w:id="138" w:name="_Toc7306"/>
      <w:bookmarkStart w:id="139" w:name="_Toc823448808"/>
      <w:bookmarkStart w:id="140" w:name="_Toc248033833"/>
      <w:bookmarkStart w:id="141" w:name="_Toc8336"/>
      <w:bookmarkStart w:id="142" w:name="_Toc19973"/>
      <w:r>
        <w:rPr>
          <w:rFonts w:hint="default" w:ascii="Times New Roman" w:hAnsi="Times New Roman" w:eastAsia="方正黑体简体" w:cs="Times New Roman"/>
          <w:color w:val="auto"/>
          <w:kern w:val="0"/>
          <w:sz w:val="32"/>
          <w:szCs w:val="32"/>
          <w:highlight w:val="none"/>
          <w:shd w:val="clear" w:color="auto" w:fill="FFFFFF"/>
          <w:lang w:val="en-US" w:eastAsia="zh-CN"/>
        </w:rPr>
        <w:t>五</w:t>
      </w:r>
      <w:r>
        <w:rPr>
          <w:rFonts w:hint="default" w:ascii="Times New Roman" w:hAnsi="Times New Roman" w:eastAsia="方正黑体简体" w:cs="Times New Roman"/>
          <w:color w:val="auto"/>
          <w:kern w:val="0"/>
          <w:sz w:val="32"/>
          <w:szCs w:val="32"/>
          <w:highlight w:val="none"/>
          <w:shd w:val="clear" w:color="auto" w:fill="FFFFFF"/>
        </w:rPr>
        <w:t>、存在的主要问题</w:t>
      </w:r>
      <w:bookmarkEnd w:id="131"/>
      <w:bookmarkEnd w:id="132"/>
      <w:bookmarkEnd w:id="133"/>
      <w:bookmarkEnd w:id="134"/>
      <w:bookmarkEnd w:id="135"/>
      <w:bookmarkEnd w:id="136"/>
      <w:bookmarkEnd w:id="137"/>
      <w:bookmarkEnd w:id="138"/>
      <w:bookmarkEnd w:id="139"/>
      <w:bookmarkEnd w:id="140"/>
    </w:p>
    <w:p w14:paraId="4161B4D3">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default" w:ascii="Times New Roman" w:hAnsi="Times New Roman" w:eastAsia="方正楷体简体" w:cs="Times New Roman"/>
          <w:color w:val="auto"/>
          <w:kern w:val="2"/>
          <w:sz w:val="32"/>
          <w:szCs w:val="32"/>
          <w:highlight w:val="none"/>
          <w:shd w:val="clear"/>
          <w:lang w:val="zh-CN"/>
        </w:rPr>
      </w:pPr>
      <w:bookmarkStart w:id="143" w:name="_Toc15651"/>
      <w:bookmarkStart w:id="144" w:name="_Toc31629"/>
      <w:bookmarkStart w:id="145" w:name="_Toc3240"/>
      <w:bookmarkStart w:id="146" w:name="_Toc771997543"/>
      <w:bookmarkStart w:id="147" w:name="_Toc22968"/>
      <w:bookmarkStart w:id="148" w:name="_Toc464104487"/>
      <w:bookmarkStart w:id="149" w:name="_Toc10426"/>
      <w:r>
        <w:rPr>
          <w:rFonts w:hint="default" w:ascii="Times New Roman" w:hAnsi="Times New Roman" w:eastAsia="方正楷体简体" w:cs="Times New Roman"/>
          <w:color w:val="auto"/>
          <w:kern w:val="2"/>
          <w:sz w:val="32"/>
          <w:szCs w:val="32"/>
          <w:highlight w:val="none"/>
          <w:shd w:val="clear"/>
          <w:lang w:val="zh-CN"/>
        </w:rPr>
        <w:t>（一）绩效目标编制和上报不准确</w:t>
      </w:r>
    </w:p>
    <w:p w14:paraId="302F22E5">
      <w:pPr>
        <w:keepNext w:val="0"/>
        <w:keepLines w:val="0"/>
        <w:pageBreakBefore w:val="0"/>
        <w:widowControl/>
        <w:kinsoku/>
        <w:wordWrap/>
        <w:overflowPunct/>
        <w:topLinePunct w:val="0"/>
        <w:autoSpaceDE/>
        <w:autoSpaceDN/>
        <w:bidi w:val="0"/>
        <w:spacing w:line="600" w:lineRule="exact"/>
        <w:ind w:left="0" w:firstLine="56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评价中发现，县委统战部2024年部门综合绩效目标与个别预算项目绩效目标均不同程度存在编制不规范，指标设置要素不完整、指标值不合理、指标设置不具体明确等问题，导致绩效目标科学性、合理性不够强，不便于考核评价。</w:t>
      </w:r>
    </w:p>
    <w:p w14:paraId="5DB0182F">
      <w:pPr>
        <w:numPr>
          <w:ilvl w:val="0"/>
          <w:numId w:val="0"/>
        </w:numPr>
        <w:tabs>
          <w:tab w:val="left" w:pos="479"/>
        </w:tabs>
        <w:ind w:firstLine="640" w:firstLineChars="200"/>
        <w:rPr>
          <w:rFonts w:hint="default" w:ascii="Times New Roman" w:hAnsi="Times New Roman" w:eastAsia="楷体" w:cs="Times New Roman"/>
          <w:sz w:val="32"/>
          <w:szCs w:val="32"/>
          <w:highlight w:val="none"/>
          <w:lang w:val="en-US" w:eastAsia="zh-CN"/>
        </w:rPr>
      </w:pPr>
      <w:r>
        <w:rPr>
          <w:rFonts w:hint="default" w:ascii="Times New Roman" w:hAnsi="Times New Roman" w:eastAsia="楷体" w:cs="Times New Roman"/>
          <w:sz w:val="32"/>
          <w:szCs w:val="32"/>
          <w:highlight w:val="none"/>
          <w:lang w:val="en-US" w:eastAsia="zh-CN"/>
        </w:rPr>
        <w:t>（二）部门绩效目标制定未纳入本部门集体决策范围</w:t>
      </w:r>
    </w:p>
    <w:p w14:paraId="74026EBD">
      <w:pPr>
        <w:widowControl/>
        <w:numPr>
          <w:ilvl w:val="-1"/>
          <w:numId w:val="0"/>
        </w:numPr>
        <w:spacing w:line="600" w:lineRule="exact"/>
        <w:ind w:firstLine="560" w:firstLineChars="0"/>
        <w:outlineLvl w:val="9"/>
        <w:rPr>
          <w:rFonts w:hint="default" w:ascii="Times New Roman" w:hAnsi="Times New Roman" w:eastAsia="方正仿宋_GB2312" w:cs="Times New Roman"/>
          <w:bCs w:val="0"/>
          <w:color w:val="auto"/>
          <w:sz w:val="32"/>
          <w:szCs w:val="32"/>
          <w:highlight w:val="none"/>
          <w:lang w:eastAsia="zh-CN"/>
        </w:rPr>
      </w:pPr>
      <w:r>
        <w:rPr>
          <w:rFonts w:hint="default" w:ascii="Times New Roman" w:hAnsi="Times New Roman" w:eastAsia="方正仿宋_GB2312" w:cs="Times New Roman"/>
          <w:bCs w:val="0"/>
          <w:color w:val="auto"/>
          <w:sz w:val="32"/>
          <w:szCs w:val="32"/>
          <w:highlight w:val="none"/>
          <w:lang w:eastAsia="zh-CN"/>
        </w:rPr>
        <w:t>20</w:t>
      </w:r>
      <w:r>
        <w:rPr>
          <w:rFonts w:hint="default" w:ascii="Times New Roman" w:hAnsi="Times New Roman" w:eastAsia="方正仿宋_GB2312" w:cs="Times New Roman"/>
          <w:bCs w:val="0"/>
          <w:color w:val="auto"/>
          <w:sz w:val="32"/>
          <w:szCs w:val="32"/>
          <w:highlight w:val="none"/>
          <w:lang w:val="en-US" w:eastAsia="zh-CN"/>
        </w:rPr>
        <w:t>24</w:t>
      </w:r>
      <w:r>
        <w:rPr>
          <w:rFonts w:hint="default" w:ascii="Times New Roman" w:hAnsi="Times New Roman" w:eastAsia="方正仿宋_GB2312" w:cs="Times New Roman"/>
          <w:color w:val="auto"/>
          <w:sz w:val="32"/>
          <w:szCs w:val="32"/>
          <w:highlight w:val="none"/>
          <w:lang w:val="en-US" w:eastAsia="zh-CN"/>
        </w:rPr>
        <w:t>年，县委统战部已编报《部门（单位）整体支出绩效目标申报表》，绩效目标随预算已上报人大完成审核，但未对部门整体项目进行集体决策，未将部门绩效目标纳入集体决策范围。</w:t>
      </w:r>
    </w:p>
    <w:p w14:paraId="0F284CBB">
      <w:pPr>
        <w:pStyle w:val="26"/>
        <w:rPr>
          <w:rFonts w:hint="default" w:ascii="Times New Roman" w:hAnsi="Times New Roman" w:eastAsia="仿宋" w:cs="Times New Roman"/>
          <w:bCs/>
          <w:kern w:val="2"/>
          <w:sz w:val="32"/>
          <w:szCs w:val="32"/>
          <w:highlight w:val="yellow"/>
          <w:lang w:val="en-US" w:eastAsia="zh-CN" w:bidi="ar-SA"/>
        </w:rPr>
      </w:pPr>
    </w:p>
    <w:p w14:paraId="2ED0C50A">
      <w:pPr>
        <w:numPr>
          <w:ilvl w:val="0"/>
          <w:numId w:val="0"/>
        </w:numPr>
        <w:tabs>
          <w:tab w:val="left" w:pos="479"/>
        </w:tabs>
        <w:ind w:firstLine="640" w:firstLineChars="200"/>
        <w:rPr>
          <w:rFonts w:hint="default" w:ascii="Times New Roman" w:hAnsi="Times New Roman" w:eastAsia="楷体" w:cs="Times New Roman"/>
          <w:sz w:val="32"/>
          <w:szCs w:val="32"/>
          <w:highlight w:val="none"/>
          <w:lang w:val="en-US" w:eastAsia="zh-CN"/>
        </w:rPr>
      </w:pPr>
      <w:r>
        <w:rPr>
          <w:rFonts w:hint="default" w:ascii="Times New Roman" w:hAnsi="Times New Roman" w:eastAsia="楷体" w:cs="Times New Roman"/>
          <w:sz w:val="32"/>
          <w:szCs w:val="32"/>
          <w:highlight w:val="none"/>
          <w:lang w:val="en-US" w:eastAsia="zh-CN"/>
        </w:rPr>
        <w:t>（三）项目预算结余率较高</w:t>
      </w:r>
    </w:p>
    <w:p w14:paraId="3C777A07">
      <w:pPr>
        <w:keepNext w:val="0"/>
        <w:keepLines w:val="0"/>
        <w:pageBreakBefore w:val="0"/>
        <w:widowControl/>
        <w:numPr>
          <w:ilvl w:val="0"/>
          <w:numId w:val="0"/>
        </w:numPr>
        <w:kinsoku/>
        <w:wordWrap/>
        <w:overflowPunct/>
        <w:topLinePunct w:val="0"/>
        <w:autoSpaceDE/>
        <w:autoSpaceDN/>
        <w:bidi w:val="0"/>
        <w:spacing w:line="600" w:lineRule="exact"/>
        <w:ind w:left="0" w:firstLine="560" w:firstLineChars="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根据县委统战部2024年度决算报表与可执行指标执行情况表被评价单位 2024年度预算项目共计5个，部门预算项目资金结余率小于10%有3个，大于10%有2个。预算结余率为60.00%。</w:t>
      </w:r>
    </w:p>
    <w:p w14:paraId="6BA6023F">
      <w:pPr>
        <w:pStyle w:val="26"/>
        <w:rPr>
          <w:rFonts w:hint="default" w:ascii="Times New Roman" w:hAnsi="Times New Roman" w:cs="Times New Roman"/>
          <w:bCs/>
          <w:kern w:val="2"/>
          <w:sz w:val="32"/>
          <w:szCs w:val="32"/>
          <w:highlight w:val="yellow"/>
          <w:lang w:val="en-US" w:eastAsia="zh-CN" w:bidi="ar-SA"/>
        </w:rPr>
      </w:pPr>
    </w:p>
    <w:p w14:paraId="6F299C79">
      <w:pPr>
        <w:numPr>
          <w:ilvl w:val="0"/>
          <w:numId w:val="0"/>
        </w:numPr>
        <w:tabs>
          <w:tab w:val="left" w:pos="479"/>
        </w:tabs>
        <w:ind w:firstLine="640" w:firstLineChars="200"/>
        <w:rPr>
          <w:rFonts w:hint="default" w:ascii="Times New Roman" w:hAnsi="Times New Roman" w:eastAsia="楷体" w:cs="Times New Roman"/>
          <w:sz w:val="32"/>
          <w:szCs w:val="32"/>
          <w:highlight w:val="none"/>
          <w:lang w:val="en-US" w:eastAsia="zh-CN"/>
        </w:rPr>
      </w:pPr>
      <w:r>
        <w:rPr>
          <w:rFonts w:hint="default" w:ascii="Times New Roman" w:hAnsi="Times New Roman" w:eastAsia="楷体" w:cs="Times New Roman"/>
          <w:sz w:val="32"/>
          <w:szCs w:val="32"/>
          <w:highlight w:val="none"/>
          <w:lang w:val="en-US" w:eastAsia="zh-CN"/>
        </w:rPr>
        <w:t>（四）预算绩效管理制度机制不够健全完善</w:t>
      </w:r>
    </w:p>
    <w:p w14:paraId="38D044E8">
      <w:pPr>
        <w:keepNext w:val="0"/>
        <w:keepLines w:val="0"/>
        <w:pageBreakBefore w:val="0"/>
        <w:widowControl/>
        <w:numPr>
          <w:ilvl w:val="0"/>
          <w:numId w:val="0"/>
        </w:numPr>
        <w:kinsoku/>
        <w:wordWrap/>
        <w:overflowPunct/>
        <w:topLinePunct w:val="0"/>
        <w:autoSpaceDE/>
        <w:autoSpaceDN/>
        <w:bidi w:val="0"/>
        <w:spacing w:line="600" w:lineRule="exact"/>
        <w:ind w:left="0" w:firstLine="560" w:firstLineChars="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截至评价日，县委统战部未制定《预决算制度》，单位绩效管理情况未纳入内部考核体系且内部绩效结果未与预算挂钩。</w:t>
      </w:r>
    </w:p>
    <w:p w14:paraId="4EFDC167">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default" w:ascii="Times New Roman" w:hAnsi="Times New Roman" w:eastAsia="方正黑体简体" w:cs="Times New Roman"/>
          <w:color w:val="auto"/>
          <w:kern w:val="0"/>
          <w:sz w:val="32"/>
          <w:szCs w:val="32"/>
          <w:highlight w:val="none"/>
          <w:shd w:val="clear" w:color="auto" w:fill="FFFFFF"/>
        </w:rPr>
      </w:pPr>
      <w:bookmarkStart w:id="150" w:name="_Toc29227"/>
      <w:bookmarkStart w:id="151" w:name="_Toc5324"/>
      <w:bookmarkStart w:id="152" w:name="_Toc22775"/>
      <w:r>
        <w:rPr>
          <w:rFonts w:hint="default" w:ascii="Times New Roman" w:hAnsi="Times New Roman" w:eastAsia="方正黑体简体" w:cs="Times New Roman"/>
          <w:color w:val="auto"/>
          <w:kern w:val="0"/>
          <w:sz w:val="32"/>
          <w:szCs w:val="32"/>
          <w:highlight w:val="none"/>
          <w:shd w:val="clear" w:color="auto" w:fill="FFFFFF"/>
          <w:lang w:val="en-US" w:eastAsia="zh-CN"/>
        </w:rPr>
        <w:t>六</w:t>
      </w:r>
      <w:r>
        <w:rPr>
          <w:rFonts w:hint="default" w:ascii="Times New Roman" w:hAnsi="Times New Roman" w:eastAsia="方正黑体简体" w:cs="Times New Roman"/>
          <w:color w:val="auto"/>
          <w:kern w:val="0"/>
          <w:sz w:val="32"/>
          <w:szCs w:val="32"/>
          <w:highlight w:val="none"/>
          <w:shd w:val="clear" w:color="auto" w:fill="FFFFFF"/>
        </w:rPr>
        <w:t>、相关措施建议</w:t>
      </w:r>
      <w:bookmarkEnd w:id="143"/>
      <w:bookmarkEnd w:id="144"/>
      <w:bookmarkEnd w:id="145"/>
      <w:bookmarkEnd w:id="146"/>
      <w:bookmarkEnd w:id="147"/>
      <w:bookmarkEnd w:id="148"/>
      <w:bookmarkEnd w:id="149"/>
      <w:bookmarkEnd w:id="150"/>
      <w:bookmarkEnd w:id="151"/>
      <w:bookmarkEnd w:id="152"/>
    </w:p>
    <w:p w14:paraId="0385D5D0">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楷体简体" w:cs="Times New Roman"/>
          <w:color w:val="auto"/>
          <w:kern w:val="0"/>
          <w:sz w:val="32"/>
          <w:szCs w:val="32"/>
          <w:highlight w:val="none"/>
          <w:shd w:val="clear" w:color="auto" w:fill="FFFFFF"/>
          <w:lang w:val="en-US" w:eastAsia="zh-CN"/>
        </w:rPr>
      </w:pPr>
      <w:r>
        <w:rPr>
          <w:rFonts w:hint="default" w:ascii="Times New Roman" w:hAnsi="Times New Roman" w:eastAsia="方正楷体简体" w:cs="Times New Roman"/>
          <w:color w:val="auto"/>
          <w:kern w:val="0"/>
          <w:sz w:val="32"/>
          <w:szCs w:val="32"/>
          <w:highlight w:val="none"/>
          <w:shd w:val="clear" w:color="auto" w:fill="FFFFFF"/>
          <w:lang w:val="en-US" w:eastAsia="zh-CN"/>
        </w:rPr>
        <w:t>（一）规范项目绩效目标设置</w:t>
      </w:r>
    </w:p>
    <w:p w14:paraId="32B2BF9F">
      <w:pPr>
        <w:keepNext w:val="0"/>
        <w:keepLines w:val="0"/>
        <w:pageBreakBefore w:val="0"/>
        <w:widowControl/>
        <w:numPr>
          <w:ilvl w:val="0"/>
          <w:numId w:val="0"/>
        </w:numPr>
        <w:kinsoku/>
        <w:wordWrap/>
        <w:overflowPunct/>
        <w:topLinePunct w:val="0"/>
        <w:autoSpaceDE/>
        <w:autoSpaceDN/>
        <w:bidi w:val="0"/>
        <w:spacing w:line="600" w:lineRule="exact"/>
        <w:ind w:left="0" w:firstLine="560" w:firstLineChars="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加强绩效目标的审核，注重采用定量和定性评价相结合的方法，设置最具代表性，最能直接反映产出和效益的核心绩效指标和标准体系。对此次评价中未完成绩效目标或偏离绩效目标较大的项目要分析原因，对由于年初指标值设定明显偏低造成的，要按照偏离度适度调减分值。</w:t>
      </w:r>
    </w:p>
    <w:p w14:paraId="2F56402D">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楷体简体" w:cs="Times New Roman"/>
          <w:color w:val="auto"/>
          <w:kern w:val="0"/>
          <w:sz w:val="32"/>
          <w:szCs w:val="32"/>
          <w:highlight w:val="none"/>
          <w:shd w:val="clear" w:color="auto" w:fill="FFFFFF"/>
          <w:lang w:val="en-US" w:eastAsia="zh-CN"/>
        </w:rPr>
      </w:pPr>
      <w:r>
        <w:rPr>
          <w:rFonts w:hint="default" w:ascii="Times New Roman" w:hAnsi="Times New Roman" w:eastAsia="方正楷体简体" w:cs="Times New Roman"/>
          <w:color w:val="auto"/>
          <w:kern w:val="0"/>
          <w:sz w:val="32"/>
          <w:szCs w:val="32"/>
          <w:highlight w:val="none"/>
          <w:shd w:val="clear" w:color="auto" w:fill="FFFFFF"/>
          <w:lang w:val="en-US" w:eastAsia="zh-CN"/>
        </w:rPr>
        <w:t>（二）绩效目标制定纳入部门集体决策范围</w:t>
      </w:r>
    </w:p>
    <w:p w14:paraId="214057D5">
      <w:pPr>
        <w:keepNext w:val="0"/>
        <w:keepLines w:val="0"/>
        <w:pageBreakBefore w:val="0"/>
        <w:widowControl/>
        <w:numPr>
          <w:ilvl w:val="0"/>
          <w:numId w:val="0"/>
        </w:numPr>
        <w:kinsoku/>
        <w:wordWrap/>
        <w:overflowPunct/>
        <w:topLinePunct w:val="0"/>
        <w:autoSpaceDE/>
        <w:autoSpaceDN/>
        <w:bidi w:val="0"/>
        <w:spacing w:line="600" w:lineRule="exact"/>
        <w:ind w:left="0" w:firstLine="560" w:firstLineChars="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建议将绩效目标制定纳入部门集体决策范围，通过集体决策增强绩效目标制定的科学性、可行性与准确性。</w:t>
      </w:r>
    </w:p>
    <w:p w14:paraId="585AA9FF">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楷体简体" w:cs="Times New Roman"/>
          <w:color w:val="auto"/>
          <w:kern w:val="0"/>
          <w:sz w:val="32"/>
          <w:szCs w:val="32"/>
          <w:highlight w:val="none"/>
          <w:shd w:val="clear" w:color="auto" w:fill="FFFFFF"/>
          <w:lang w:val="en-US" w:eastAsia="zh-CN"/>
        </w:rPr>
      </w:pPr>
      <w:r>
        <w:rPr>
          <w:rFonts w:hint="default" w:ascii="Times New Roman" w:hAnsi="Times New Roman" w:eastAsia="方正楷体简体" w:cs="Times New Roman"/>
          <w:color w:val="auto"/>
          <w:kern w:val="0"/>
          <w:sz w:val="32"/>
          <w:szCs w:val="32"/>
          <w:highlight w:val="none"/>
          <w:shd w:val="clear" w:color="auto" w:fill="FFFFFF"/>
          <w:lang w:val="en-US" w:eastAsia="zh-CN"/>
        </w:rPr>
        <w:t>（三）提高预算执行率</w:t>
      </w:r>
    </w:p>
    <w:p w14:paraId="45854498">
      <w:pPr>
        <w:keepNext w:val="0"/>
        <w:keepLines w:val="0"/>
        <w:pageBreakBefore w:val="0"/>
        <w:widowControl/>
        <w:numPr>
          <w:ilvl w:val="0"/>
          <w:numId w:val="0"/>
        </w:numPr>
        <w:kinsoku/>
        <w:wordWrap/>
        <w:overflowPunct/>
        <w:topLinePunct w:val="0"/>
        <w:autoSpaceDE/>
        <w:autoSpaceDN/>
        <w:bidi w:val="0"/>
        <w:spacing w:line="600" w:lineRule="exact"/>
        <w:ind w:left="0" w:firstLine="560" w:firstLineChars="0"/>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加强对各部门预算执行过程的动态监督，及时掌握各部门预算执行过程中的情况和实时动态，完善预算执行情况定期通报机制，根据情况强化对财政资金拨款的管控，倒逼各部门加快项目进度。同时，各部门要切实履行好预算执行主体的职责，加强对本单位预算执行过程的调度管理，大力推进项目进度和支出进度，促进预算的有效执行和支出的及时实现，从而促进预算执行率的提升。</w:t>
      </w:r>
    </w:p>
    <w:p w14:paraId="7638CE2C">
      <w:pPr>
        <w:keepNext w:val="0"/>
        <w:keepLines w:val="0"/>
        <w:pageBreakBefore w:val="0"/>
        <w:kinsoku/>
        <w:wordWrap/>
        <w:overflowPunct/>
        <w:topLinePunct w:val="0"/>
        <w:autoSpaceDE/>
        <w:autoSpaceDN/>
        <w:bidi w:val="0"/>
        <w:spacing w:line="600" w:lineRule="exact"/>
        <w:ind w:left="0" w:firstLine="560"/>
        <w:outlineLvl w:val="1"/>
        <w:rPr>
          <w:rFonts w:hint="default" w:ascii="Times New Roman" w:hAnsi="Times New Roman" w:eastAsia="方正楷体简体" w:cs="Times New Roman"/>
          <w:color w:val="auto"/>
          <w:kern w:val="0"/>
          <w:sz w:val="32"/>
          <w:szCs w:val="32"/>
          <w:highlight w:val="none"/>
          <w:shd w:val="clear" w:color="auto" w:fill="FFFFFF"/>
          <w:lang w:val="en-US" w:eastAsia="zh-CN"/>
        </w:rPr>
      </w:pPr>
      <w:r>
        <w:rPr>
          <w:rFonts w:hint="default" w:ascii="Times New Roman" w:hAnsi="Times New Roman" w:eastAsia="方正楷体简体" w:cs="Times New Roman"/>
          <w:color w:val="auto"/>
          <w:kern w:val="0"/>
          <w:sz w:val="32"/>
          <w:szCs w:val="32"/>
          <w:highlight w:val="none"/>
          <w:shd w:val="clear" w:color="auto" w:fill="FFFFFF"/>
          <w:lang w:val="en-US" w:eastAsia="zh-CN"/>
        </w:rPr>
        <w:t>（四）健全完善预算绩效管理制度建设</w:t>
      </w:r>
    </w:p>
    <w:p w14:paraId="0912298E">
      <w:pPr>
        <w:keepNext w:val="0"/>
        <w:keepLines w:val="0"/>
        <w:pageBreakBefore w:val="0"/>
        <w:widowControl/>
        <w:numPr>
          <w:ilvl w:val="0"/>
          <w:numId w:val="0"/>
        </w:numPr>
        <w:kinsoku/>
        <w:wordWrap/>
        <w:overflowPunct/>
        <w:topLinePunct w:val="0"/>
        <w:autoSpaceDE/>
        <w:autoSpaceDN/>
        <w:bidi w:val="0"/>
        <w:spacing w:line="600" w:lineRule="exact"/>
        <w:ind w:left="0" w:firstLine="640" w:firstLineChars="200"/>
        <w:outlineLvl w:val="9"/>
        <w:rPr>
          <w:rFonts w:hint="default" w:ascii="Times New Roman" w:hAnsi="Times New Roman" w:eastAsia="方正仿宋_GB2312" w:cs="Times New Roman"/>
          <w:color w:val="auto"/>
          <w:sz w:val="32"/>
          <w:szCs w:val="32"/>
          <w:highlight w:val="none"/>
          <w:shd w:val="clear"/>
          <w:lang w:eastAsia="zh-CN"/>
        </w:rPr>
      </w:pPr>
      <w:r>
        <w:rPr>
          <w:rFonts w:hint="default" w:ascii="Times New Roman" w:hAnsi="Times New Roman" w:eastAsia="方正仿宋_GB2312" w:cs="Times New Roman"/>
          <w:color w:val="auto"/>
          <w:sz w:val="32"/>
          <w:szCs w:val="32"/>
          <w:highlight w:val="none"/>
          <w:lang w:val="en-US" w:eastAsia="zh-CN"/>
        </w:rPr>
        <w:t>应结合部门内部实际，在预算绩效管理方面，建立部门内部预算与绩效结果挂钩的机制，将部门内部预算自评纳入考核体系。进一步加强预算绩效管理制度建设，完善工作机制，强化责任落实，提高制度执行力，为部门预算管理的实施提供具体的指导意见，以确保财政资金使用的质量和效果。</w:t>
      </w:r>
      <w:bookmarkEnd w:id="141"/>
      <w:bookmarkEnd w:id="142"/>
      <w:bookmarkStart w:id="153" w:name="_Toc3238"/>
      <w:bookmarkStart w:id="154" w:name="_GoBack"/>
      <w:bookmarkEnd w:id="154"/>
    </w:p>
    <w:p w14:paraId="4286C6CF">
      <w:pPr>
        <w:keepNext w:val="0"/>
        <w:keepLines w:val="0"/>
        <w:pageBreakBefore w:val="0"/>
        <w:widowControl/>
        <w:numPr>
          <w:ilvl w:val="0"/>
          <w:numId w:val="0"/>
        </w:numPr>
        <w:kinsoku/>
        <w:wordWrap/>
        <w:overflowPunct/>
        <w:topLinePunct w:val="0"/>
        <w:autoSpaceDE/>
        <w:autoSpaceDN/>
        <w:bidi w:val="0"/>
        <w:adjustRightInd/>
        <w:snapToGrid/>
        <w:spacing w:line="600" w:lineRule="exact"/>
        <w:ind w:left="0" w:leftChars="0" w:firstLine="640" w:firstLineChars="200"/>
        <w:textAlignment w:val="auto"/>
        <w:outlineLvl w:val="9"/>
        <w:rPr>
          <w:rFonts w:hint="default" w:ascii="Times New Roman" w:hAnsi="Times New Roman" w:eastAsia="方正仿宋_GB2312" w:cs="Times New Roman"/>
          <w:color w:val="auto"/>
          <w:sz w:val="32"/>
          <w:szCs w:val="32"/>
          <w:highlight w:val="none"/>
          <w:shd w:val="clear"/>
          <w:lang w:eastAsia="zh-CN"/>
        </w:rPr>
      </w:pPr>
      <w:r>
        <w:rPr>
          <w:rFonts w:hint="default" w:ascii="Times New Roman" w:hAnsi="Times New Roman" w:eastAsia="方正仿宋_GB2312" w:cs="Times New Roman"/>
          <w:color w:val="auto"/>
          <w:sz w:val="32"/>
          <w:szCs w:val="32"/>
          <w:highlight w:val="none"/>
          <w:shd w:val="clear"/>
          <w:lang w:eastAsia="zh-CN"/>
        </w:rPr>
        <w:t>（</w:t>
      </w:r>
      <w:r>
        <w:rPr>
          <w:rFonts w:hint="default" w:ascii="Times New Roman" w:hAnsi="Times New Roman" w:eastAsia="方正仿宋_GB2312" w:cs="Times New Roman"/>
          <w:color w:val="auto"/>
          <w:sz w:val="32"/>
          <w:szCs w:val="32"/>
          <w:highlight w:val="none"/>
          <w:shd w:val="clear"/>
          <w:lang w:val="en-US" w:eastAsia="zh-CN"/>
        </w:rPr>
        <w:t>此页无正文</w:t>
      </w:r>
      <w:r>
        <w:rPr>
          <w:rFonts w:hint="default" w:ascii="Times New Roman" w:hAnsi="Times New Roman" w:eastAsia="方正仿宋_GB2312" w:cs="Times New Roman"/>
          <w:color w:val="auto"/>
          <w:sz w:val="32"/>
          <w:szCs w:val="32"/>
          <w:highlight w:val="none"/>
          <w:shd w:val="clear"/>
          <w:lang w:eastAsia="zh-CN"/>
        </w:rPr>
        <w:t>）</w:t>
      </w:r>
    </w:p>
    <w:p w14:paraId="0AD03F2C">
      <w:pPr>
        <w:keepNext w:val="0"/>
        <w:keepLines w:val="0"/>
        <w:pageBreakBefore w:val="0"/>
        <w:widowControl/>
        <w:numPr>
          <w:ilvl w:val="0"/>
          <w:numId w:val="0"/>
        </w:numPr>
        <w:kinsoku/>
        <w:wordWrap/>
        <w:overflowPunct/>
        <w:topLinePunct w:val="0"/>
        <w:autoSpaceDE/>
        <w:autoSpaceDN/>
        <w:bidi w:val="0"/>
        <w:adjustRightInd/>
        <w:snapToGrid/>
        <w:spacing w:line="600" w:lineRule="exact"/>
        <w:ind w:left="0" w:leftChars="0" w:firstLine="640" w:firstLineChars="200"/>
        <w:textAlignment w:val="auto"/>
        <w:outlineLvl w:val="9"/>
        <w:rPr>
          <w:rFonts w:hint="default" w:ascii="Times New Roman" w:hAnsi="Times New Roman" w:eastAsia="方正仿宋_GB2312" w:cs="Times New Roman"/>
          <w:color w:val="auto"/>
          <w:sz w:val="32"/>
          <w:szCs w:val="32"/>
          <w:highlight w:val="none"/>
          <w:shd w:val="clear"/>
        </w:rPr>
      </w:pPr>
    </w:p>
    <w:p w14:paraId="085E1486">
      <w:pPr>
        <w:keepNext w:val="0"/>
        <w:keepLines w:val="0"/>
        <w:pageBreakBefore w:val="0"/>
        <w:widowControl/>
        <w:numPr>
          <w:ilvl w:val="0"/>
          <w:numId w:val="0"/>
        </w:numPr>
        <w:kinsoku/>
        <w:wordWrap/>
        <w:overflowPunct/>
        <w:topLinePunct w:val="0"/>
        <w:autoSpaceDE/>
        <w:autoSpaceDN/>
        <w:bidi w:val="0"/>
        <w:adjustRightInd/>
        <w:snapToGrid/>
        <w:spacing w:line="600" w:lineRule="exact"/>
        <w:ind w:left="0" w:leftChars="0" w:firstLine="640" w:firstLineChars="200"/>
        <w:textAlignment w:val="auto"/>
        <w:outlineLvl w:val="9"/>
        <w:rPr>
          <w:rFonts w:hint="default" w:ascii="Times New Roman" w:hAnsi="Times New Roman" w:eastAsia="方正仿宋_GB2312" w:cs="Times New Roman"/>
          <w:b w:val="0"/>
          <w:bCs w:val="0"/>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shd w:val="clear"/>
        </w:rPr>
        <w:t>附件</w:t>
      </w:r>
      <w:r>
        <w:rPr>
          <w:rFonts w:hint="default" w:ascii="Times New Roman" w:hAnsi="Times New Roman" w:eastAsia="方正仿宋_GB2312" w:cs="Times New Roman"/>
          <w:color w:val="auto"/>
          <w:sz w:val="32"/>
          <w:szCs w:val="32"/>
          <w:highlight w:val="none"/>
          <w:shd w:val="clear"/>
          <w:lang w:eastAsia="zh-CN"/>
        </w:rPr>
        <w:t>：中共泸定县委统一战线工作部部门整体支出绩效评价指标体系表（评分表）</w:t>
      </w:r>
      <w:bookmarkEnd w:id="153"/>
    </w:p>
    <w:p w14:paraId="1EA4528E">
      <w:pPr>
        <w:pStyle w:val="7"/>
        <w:rPr>
          <w:rFonts w:hint="default" w:ascii="Times New Roman" w:hAnsi="Times New Roman" w:eastAsia="仿宋" w:cs="Times New Roman"/>
          <w:b w:val="0"/>
          <w:bCs w:val="0"/>
          <w:color w:val="auto"/>
          <w:sz w:val="32"/>
          <w:szCs w:val="32"/>
          <w:highlight w:val="none"/>
          <w:lang w:val="en-US" w:eastAsia="zh-CN"/>
        </w:rPr>
      </w:pPr>
    </w:p>
    <w:p w14:paraId="395A3C97">
      <w:pPr>
        <w:rPr>
          <w:rFonts w:hint="default" w:ascii="Times New Roman" w:hAnsi="Times New Roman" w:cs="Times New Roman"/>
          <w:sz w:val="32"/>
          <w:szCs w:val="32"/>
          <w:highlight w:val="none"/>
          <w:lang w:val="en-US" w:eastAsia="zh-CN"/>
        </w:rPr>
      </w:pPr>
    </w:p>
    <w:p w14:paraId="40AA3C08">
      <w:pPr>
        <w:keepNext w:val="0"/>
        <w:keepLines w:val="0"/>
        <w:pageBreakBefore w:val="0"/>
        <w:widowControl w:val="0"/>
        <w:kinsoku/>
        <w:wordWrap/>
        <w:overflowPunct/>
        <w:topLinePunct w:val="0"/>
        <w:autoSpaceDE/>
        <w:autoSpaceDN/>
        <w:bidi w:val="0"/>
        <w:adjustRightInd/>
        <w:snapToGrid/>
        <w:spacing w:line="600" w:lineRule="exact"/>
        <w:ind w:left="0"/>
        <w:jc w:val="right"/>
        <w:textAlignment w:val="auto"/>
        <w:rPr>
          <w:rFonts w:hint="default" w:ascii="Times New Roman" w:hAnsi="Times New Roman" w:eastAsia="仿宋" w:cs="Times New Roman"/>
          <w:b w:val="0"/>
          <w:bCs w:val="0"/>
          <w:sz w:val="32"/>
          <w:szCs w:val="32"/>
          <w:highlight w:val="none"/>
          <w:lang w:eastAsia="zh-CN"/>
        </w:rPr>
      </w:pPr>
      <w:r>
        <w:rPr>
          <w:rFonts w:hint="default" w:ascii="Times New Roman" w:hAnsi="Times New Roman" w:eastAsia="仿宋" w:cs="Times New Roman"/>
          <w:b w:val="0"/>
          <w:bCs w:val="0"/>
          <w:sz w:val="32"/>
          <w:szCs w:val="32"/>
          <w:highlight w:val="none"/>
          <w:lang w:eastAsia="zh-CN"/>
        </w:rPr>
        <w:t>　　　　</w:t>
      </w:r>
    </w:p>
    <w:p w14:paraId="599F7CA8">
      <w:pPr>
        <w:spacing w:line="600" w:lineRule="exact"/>
        <w:ind w:firstLine="640"/>
        <w:jc w:val="right"/>
        <w:rPr>
          <w:rFonts w:hint="default" w:ascii="Times New Roman" w:hAnsi="Times New Roman" w:eastAsia="方正仿宋_GB2312" w:cs="Times New Roman"/>
          <w:sz w:val="32"/>
          <w:szCs w:val="32"/>
          <w:highlight w:val="none"/>
        </w:rPr>
      </w:pPr>
      <w:r>
        <w:rPr>
          <w:rFonts w:hint="default" w:ascii="Times New Roman" w:hAnsi="Times New Roman" w:eastAsia="方正仿宋_GB2312" w:cs="Times New Roman"/>
          <w:sz w:val="32"/>
          <w:szCs w:val="32"/>
          <w:highlight w:val="none"/>
        </w:rPr>
        <w:t>泸定县财政局</w:t>
      </w:r>
    </w:p>
    <w:p w14:paraId="567E22FB">
      <w:pPr>
        <w:spacing w:line="600" w:lineRule="exact"/>
        <w:ind w:firstLine="640"/>
        <w:jc w:val="right"/>
        <w:rPr>
          <w:rFonts w:hint="default" w:ascii="Times New Roman" w:hAnsi="Times New Roman" w:eastAsia="方正仿宋_GB2312" w:cs="Times New Roman"/>
          <w:sz w:val="32"/>
          <w:szCs w:val="32"/>
          <w:highlight w:val="none"/>
        </w:rPr>
      </w:pPr>
      <w:r>
        <w:rPr>
          <w:rFonts w:hint="default" w:ascii="Times New Roman" w:hAnsi="Times New Roman" w:eastAsia="方正仿宋_GB2312" w:cs="Times New Roman"/>
          <w:sz w:val="32"/>
          <w:szCs w:val="32"/>
          <w:highlight w:val="none"/>
        </w:rPr>
        <w:t>　　　　　　　　　　　2025年11月11日</w:t>
      </w:r>
    </w:p>
    <w:p w14:paraId="4596A860">
      <w:pPr>
        <w:rPr>
          <w:rFonts w:hint="default" w:ascii="Times New Roman" w:hAnsi="Times New Roman" w:cs="Times New Roman"/>
          <w:sz w:val="32"/>
          <w:szCs w:val="32"/>
          <w:highlight w:val="none"/>
          <w:lang w:val="en-US" w:eastAsia="zh-CN"/>
        </w:rPr>
      </w:pPr>
    </w:p>
    <w:sectPr>
      <w:headerReference r:id="rId5" w:type="default"/>
      <w:footerReference r:id="rId6" w:type="default"/>
      <w:pgSz w:w="11906" w:h="16838"/>
      <w:pgMar w:top="1440" w:right="1803" w:bottom="1440" w:left="1803" w:header="680" w:footer="737" w:gutter="0"/>
      <w:pgNumType w:fmt="decimal"/>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embedRegular r:id="rId1" w:fontKey="{C009FB4F-B8B9-4985-A02D-5D2CF7C9685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embedRegular r:id="rId2" w:fontKey="{92F26B16-C7B8-40C0-B777-ACACDBEE88F1}"/>
  </w:font>
  <w:font w:name="等线 Light">
    <w:altName w:val="宋体"/>
    <w:panose1 w:val="02010600030101010101"/>
    <w:charset w:val="86"/>
    <w:family w:val="auto"/>
    <w:pitch w:val="default"/>
    <w:sig w:usb0="00000000" w:usb1="00000000" w:usb2="00000016" w:usb3="00000000" w:csb0="0004000F" w:csb1="00000000"/>
  </w:font>
  <w:font w:name="方正小标宋_GBK">
    <w:panose1 w:val="02000000000000000000"/>
    <w:charset w:val="86"/>
    <w:family w:val="auto"/>
    <w:pitch w:val="default"/>
    <w:sig w:usb0="A00002BF" w:usb1="38CF7CFA" w:usb2="00082016" w:usb3="00000000" w:csb0="00040001" w:csb1="00000000"/>
  </w:font>
  <w:font w:name="方正仿宋_GB2312">
    <w:panose1 w:val="02000000000000000000"/>
    <w:charset w:val="86"/>
    <w:family w:val="auto"/>
    <w:pitch w:val="default"/>
    <w:sig w:usb0="A00002BF" w:usb1="184F6CFA" w:usb2="00000012" w:usb3="00000000" w:csb0="00040001" w:csb1="00000000"/>
    <w:embedRegular r:id="rId3" w:fontKey="{AD888A12-F83C-48E0-A999-58827215BD0F}"/>
  </w:font>
  <w:font w:name="方正黑体简体">
    <w:panose1 w:val="03000509000000000000"/>
    <w:charset w:val="86"/>
    <w:family w:val="auto"/>
    <w:pitch w:val="default"/>
    <w:sig w:usb0="00000001" w:usb1="080E0000" w:usb2="00000000" w:usb3="00000000" w:csb0="00040000" w:csb1="00000000"/>
    <w:embedRegular r:id="rId4" w:fontKey="{C8640988-3E64-4890-80D3-6A62BD94D4BA}"/>
  </w:font>
  <w:font w:name="方正楷体简体">
    <w:panose1 w:val="03000509000000000000"/>
    <w:charset w:val="86"/>
    <w:family w:val="auto"/>
    <w:pitch w:val="default"/>
    <w:sig w:usb0="00000001" w:usb1="080E0000" w:usb2="00000000" w:usb3="00000000" w:csb0="00040000" w:csb1="00000000"/>
    <w:embedRegular r:id="rId5" w:fontKey="{FFF75458-C6B3-4CC3-95FF-474C327AB5D8}"/>
  </w:font>
  <w:font w:name="方正小标宋简体">
    <w:panose1 w:val="03000509000000000000"/>
    <w:charset w:val="86"/>
    <w:family w:val="auto"/>
    <w:pitch w:val="default"/>
    <w:sig w:usb0="00000001" w:usb1="080E0000" w:usb2="00000000" w:usb3="00000000" w:csb0="00040000" w:csb1="00000000"/>
    <w:embedRegular r:id="rId6" w:fontKey="{8C1FA3A9-6E70-432C-818A-8BD39D7E5E6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0D31C">
    <w:pPr>
      <w:pStyle w:val="11"/>
      <w:ind w:firstLine="0" w:firstLineChars="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16C51E">
                          <w:pPr>
                            <w:pStyle w:val="11"/>
                            <w:ind w:left="0" w:leftChars="0" w:firstLine="0" w:firstLineChars="0"/>
                            <w:rPr>
                              <w:sz w:val="32"/>
                              <w:szCs w:val="32"/>
                            </w:rPr>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2016C51E">
                    <w:pPr>
                      <w:pStyle w:val="11"/>
                      <w:ind w:left="0" w:leftChars="0" w:firstLine="0" w:firstLineChars="0"/>
                      <w:rPr>
                        <w:sz w:val="32"/>
                        <w:szCs w:val="32"/>
                      </w:rPr>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BAFDF">
    <w:pPr>
      <w:pBdr>
        <w:top w:val="none" w:color="auto" w:sz="0" w:space="1"/>
        <w:left w:val="none" w:color="auto" w:sz="0" w:space="4"/>
        <w:bottom w:val="none" w:color="auto" w:sz="0" w:space="1"/>
        <w:right w:val="none" w:color="auto" w:sz="0" w:space="4"/>
      </w:pBdr>
      <w:tabs>
        <w:tab w:val="center" w:pos="4150"/>
        <w:tab w:val="right" w:pos="8306"/>
      </w:tabs>
      <w:snapToGrid w:val="0"/>
      <w:ind w:firstLine="0" w:firstLineChars="0"/>
      <w:jc w:val="left"/>
      <w:rPr>
        <w:u w:val="non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2F3B84"/>
    <w:multiLevelType w:val="multilevel"/>
    <w:tmpl w:val="372F3B84"/>
    <w:lvl w:ilvl="0" w:tentative="0">
      <w:start w:val="1"/>
      <w:numFmt w:val="japaneseCounting"/>
      <w:pStyle w:val="4"/>
      <w:lvlText w:val="（%1）"/>
      <w:lvlJc w:val="left"/>
      <w:pPr>
        <w:ind w:left="1937" w:hanging="977"/>
      </w:pPr>
      <w:rPr>
        <w:rFonts w:hint="default"/>
      </w:rPr>
    </w:lvl>
    <w:lvl w:ilvl="1" w:tentative="0">
      <w:start w:val="1"/>
      <w:numFmt w:val="lowerLetter"/>
      <w:lvlText w:val="%2)"/>
      <w:lvlJc w:val="left"/>
      <w:pPr>
        <w:ind w:left="1840" w:hanging="440"/>
      </w:pPr>
    </w:lvl>
    <w:lvl w:ilvl="2" w:tentative="0">
      <w:start w:val="1"/>
      <w:numFmt w:val="lowerRoman"/>
      <w:lvlText w:val="%3."/>
      <w:lvlJc w:val="right"/>
      <w:pPr>
        <w:ind w:left="2280" w:hanging="440"/>
      </w:pPr>
    </w:lvl>
    <w:lvl w:ilvl="3" w:tentative="0">
      <w:start w:val="1"/>
      <w:numFmt w:val="decimal"/>
      <w:lvlText w:val="%4."/>
      <w:lvlJc w:val="left"/>
      <w:pPr>
        <w:ind w:left="2720" w:hanging="440"/>
      </w:pPr>
    </w:lvl>
    <w:lvl w:ilvl="4" w:tentative="0">
      <w:start w:val="1"/>
      <w:numFmt w:val="lowerLetter"/>
      <w:lvlText w:val="%5)"/>
      <w:lvlJc w:val="left"/>
      <w:pPr>
        <w:ind w:left="3160" w:hanging="440"/>
      </w:pPr>
    </w:lvl>
    <w:lvl w:ilvl="5" w:tentative="0">
      <w:start w:val="1"/>
      <w:numFmt w:val="lowerRoman"/>
      <w:lvlText w:val="%6."/>
      <w:lvlJc w:val="right"/>
      <w:pPr>
        <w:ind w:left="3600" w:hanging="440"/>
      </w:pPr>
    </w:lvl>
    <w:lvl w:ilvl="6" w:tentative="0">
      <w:start w:val="1"/>
      <w:numFmt w:val="decimal"/>
      <w:lvlText w:val="%7."/>
      <w:lvlJc w:val="left"/>
      <w:pPr>
        <w:ind w:left="4040" w:hanging="440"/>
      </w:pPr>
    </w:lvl>
    <w:lvl w:ilvl="7" w:tentative="0">
      <w:start w:val="1"/>
      <w:numFmt w:val="lowerLetter"/>
      <w:lvlText w:val="%8)"/>
      <w:lvlJc w:val="left"/>
      <w:pPr>
        <w:ind w:left="4480" w:hanging="440"/>
      </w:pPr>
    </w:lvl>
    <w:lvl w:ilvl="8" w:tentative="0">
      <w:start w:val="1"/>
      <w:numFmt w:val="lowerRoman"/>
      <w:lvlText w:val="%9."/>
      <w:lvlJc w:val="right"/>
      <w:pPr>
        <w:ind w:left="4920" w:hanging="440"/>
      </w:pPr>
    </w:lvl>
  </w:abstractNum>
  <w:abstractNum w:abstractNumId="1">
    <w:nsid w:val="60A4DF1E"/>
    <w:multiLevelType w:val="multilevel"/>
    <w:tmpl w:val="60A4DF1E"/>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3"/>
      <w:suff w:val="nothing"/>
      <w:lvlText w:val="%3．"/>
      <w:lvlJc w:val="left"/>
      <w:pPr>
        <w:ind w:left="0" w:firstLine="400"/>
      </w:pPr>
      <w:rPr>
        <w:rFonts w:hint="eastAsia" w:ascii="宋体" w:hAnsi="宋体" w:eastAsia="宋体" w:cs="宋体"/>
      </w:rPr>
    </w:lvl>
    <w:lvl w:ilvl="3" w:tentative="0">
      <w:start w:val="1"/>
      <w:numFmt w:val="decimal"/>
      <w:suff w:val="nothing"/>
      <w:lvlText w:val="（%4）"/>
      <w:lvlJc w:val="left"/>
      <w:pPr>
        <w:ind w:left="0" w:firstLine="402"/>
      </w:pPr>
      <w:rPr>
        <w:rFonts w:hint="eastAsia" w:ascii="宋体" w:hAnsi="宋体" w:eastAsia="宋体" w:cs="宋体"/>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E5M2JhZjNlZGRmY2I3MDBiNjBkZWI3YTgzNWY3NWEifQ=="/>
  </w:docVars>
  <w:rsids>
    <w:rsidRoot w:val="00172A27"/>
    <w:rsid w:val="00072D71"/>
    <w:rsid w:val="00097BF8"/>
    <w:rsid w:val="000C45D6"/>
    <w:rsid w:val="000C754C"/>
    <w:rsid w:val="000E2AA0"/>
    <w:rsid w:val="00127F9D"/>
    <w:rsid w:val="00145DD7"/>
    <w:rsid w:val="00147C82"/>
    <w:rsid w:val="00163525"/>
    <w:rsid w:val="00172A27"/>
    <w:rsid w:val="001A6E39"/>
    <w:rsid w:val="00202FA3"/>
    <w:rsid w:val="00272C1D"/>
    <w:rsid w:val="002F7B42"/>
    <w:rsid w:val="0032304E"/>
    <w:rsid w:val="003655C8"/>
    <w:rsid w:val="003F0E80"/>
    <w:rsid w:val="004267A7"/>
    <w:rsid w:val="00443DB6"/>
    <w:rsid w:val="00451894"/>
    <w:rsid w:val="00452C50"/>
    <w:rsid w:val="004549BF"/>
    <w:rsid w:val="005D0FB9"/>
    <w:rsid w:val="00610FBA"/>
    <w:rsid w:val="00646411"/>
    <w:rsid w:val="0067664F"/>
    <w:rsid w:val="006E2F08"/>
    <w:rsid w:val="007221E5"/>
    <w:rsid w:val="00757BEA"/>
    <w:rsid w:val="007E5CD9"/>
    <w:rsid w:val="00804DDE"/>
    <w:rsid w:val="0085646D"/>
    <w:rsid w:val="00870DA1"/>
    <w:rsid w:val="0088162A"/>
    <w:rsid w:val="008956AD"/>
    <w:rsid w:val="008B2190"/>
    <w:rsid w:val="00934B72"/>
    <w:rsid w:val="00950253"/>
    <w:rsid w:val="00963AA7"/>
    <w:rsid w:val="00970070"/>
    <w:rsid w:val="009B5855"/>
    <w:rsid w:val="00A1757E"/>
    <w:rsid w:val="00A60B13"/>
    <w:rsid w:val="00AD1C0E"/>
    <w:rsid w:val="00AD64C4"/>
    <w:rsid w:val="00AE1EFF"/>
    <w:rsid w:val="00B11E73"/>
    <w:rsid w:val="00BB4B64"/>
    <w:rsid w:val="00BF1745"/>
    <w:rsid w:val="00BF55A4"/>
    <w:rsid w:val="00C46DF1"/>
    <w:rsid w:val="00C54B59"/>
    <w:rsid w:val="00CB3663"/>
    <w:rsid w:val="00CF395F"/>
    <w:rsid w:val="00D10437"/>
    <w:rsid w:val="00D33BD1"/>
    <w:rsid w:val="00EB673D"/>
    <w:rsid w:val="00EE1A30"/>
    <w:rsid w:val="00EE3529"/>
    <w:rsid w:val="00F80E20"/>
    <w:rsid w:val="00FF076D"/>
    <w:rsid w:val="015B3238"/>
    <w:rsid w:val="0174274A"/>
    <w:rsid w:val="01AE1362"/>
    <w:rsid w:val="0209008E"/>
    <w:rsid w:val="0221101D"/>
    <w:rsid w:val="028212C5"/>
    <w:rsid w:val="02B56978"/>
    <w:rsid w:val="031D77B8"/>
    <w:rsid w:val="03435D32"/>
    <w:rsid w:val="034B0AC6"/>
    <w:rsid w:val="03BD26AA"/>
    <w:rsid w:val="03C46413"/>
    <w:rsid w:val="03F043C9"/>
    <w:rsid w:val="03F5560D"/>
    <w:rsid w:val="05370DC3"/>
    <w:rsid w:val="05704583"/>
    <w:rsid w:val="05AE5131"/>
    <w:rsid w:val="069B1F26"/>
    <w:rsid w:val="06E2185D"/>
    <w:rsid w:val="071C5217"/>
    <w:rsid w:val="074574B7"/>
    <w:rsid w:val="077F711D"/>
    <w:rsid w:val="0815093A"/>
    <w:rsid w:val="08280844"/>
    <w:rsid w:val="08321414"/>
    <w:rsid w:val="08BC09C7"/>
    <w:rsid w:val="08CA0DBA"/>
    <w:rsid w:val="0A051F93"/>
    <w:rsid w:val="0AA10A64"/>
    <w:rsid w:val="0AAA2B3A"/>
    <w:rsid w:val="0BD10723"/>
    <w:rsid w:val="0C0A3890"/>
    <w:rsid w:val="0C82214A"/>
    <w:rsid w:val="0CBD6B55"/>
    <w:rsid w:val="0CC90B55"/>
    <w:rsid w:val="0CF63E15"/>
    <w:rsid w:val="0D4639D6"/>
    <w:rsid w:val="0D7C008D"/>
    <w:rsid w:val="0DA06897"/>
    <w:rsid w:val="0DF462ED"/>
    <w:rsid w:val="0DF90060"/>
    <w:rsid w:val="0E19564B"/>
    <w:rsid w:val="0E3E5A73"/>
    <w:rsid w:val="0E522B49"/>
    <w:rsid w:val="0E5E23AA"/>
    <w:rsid w:val="0E6050D4"/>
    <w:rsid w:val="0E7F3C56"/>
    <w:rsid w:val="0EE4486D"/>
    <w:rsid w:val="0EF40828"/>
    <w:rsid w:val="0EF610D2"/>
    <w:rsid w:val="0EF97BEC"/>
    <w:rsid w:val="0F207817"/>
    <w:rsid w:val="0F24115F"/>
    <w:rsid w:val="0F7D48CD"/>
    <w:rsid w:val="0F895427"/>
    <w:rsid w:val="0FA36556"/>
    <w:rsid w:val="100F5919"/>
    <w:rsid w:val="10607EBA"/>
    <w:rsid w:val="10A42EBA"/>
    <w:rsid w:val="10A609B0"/>
    <w:rsid w:val="10C177C0"/>
    <w:rsid w:val="10FB12CE"/>
    <w:rsid w:val="11034D52"/>
    <w:rsid w:val="11641A35"/>
    <w:rsid w:val="11A54F88"/>
    <w:rsid w:val="11A55E09"/>
    <w:rsid w:val="1256364C"/>
    <w:rsid w:val="12F71BB3"/>
    <w:rsid w:val="13445E84"/>
    <w:rsid w:val="13463C67"/>
    <w:rsid w:val="134E407D"/>
    <w:rsid w:val="136916A0"/>
    <w:rsid w:val="13BF191E"/>
    <w:rsid w:val="13DD5D2E"/>
    <w:rsid w:val="144B4CE8"/>
    <w:rsid w:val="14827494"/>
    <w:rsid w:val="14DA48CB"/>
    <w:rsid w:val="14DA73CD"/>
    <w:rsid w:val="151B6B0E"/>
    <w:rsid w:val="155B04E5"/>
    <w:rsid w:val="15762967"/>
    <w:rsid w:val="15C0420D"/>
    <w:rsid w:val="15C42D02"/>
    <w:rsid w:val="16310CFC"/>
    <w:rsid w:val="164E7445"/>
    <w:rsid w:val="16521418"/>
    <w:rsid w:val="167B192A"/>
    <w:rsid w:val="16BA737C"/>
    <w:rsid w:val="17404D18"/>
    <w:rsid w:val="175F700B"/>
    <w:rsid w:val="178D5376"/>
    <w:rsid w:val="179E79D9"/>
    <w:rsid w:val="17FD7EEE"/>
    <w:rsid w:val="180A196B"/>
    <w:rsid w:val="181B0371"/>
    <w:rsid w:val="186A5A33"/>
    <w:rsid w:val="18A93AFC"/>
    <w:rsid w:val="18DA3FE0"/>
    <w:rsid w:val="18DD5A8A"/>
    <w:rsid w:val="195A2D50"/>
    <w:rsid w:val="196B6F54"/>
    <w:rsid w:val="19CD71FA"/>
    <w:rsid w:val="19E605C7"/>
    <w:rsid w:val="1A48253C"/>
    <w:rsid w:val="1A94413A"/>
    <w:rsid w:val="1AC02064"/>
    <w:rsid w:val="1AF776D6"/>
    <w:rsid w:val="1B0B2AA5"/>
    <w:rsid w:val="1B334486"/>
    <w:rsid w:val="1BDF6BC8"/>
    <w:rsid w:val="1C2C3D72"/>
    <w:rsid w:val="1C535707"/>
    <w:rsid w:val="1C580E62"/>
    <w:rsid w:val="1C975E00"/>
    <w:rsid w:val="1D046172"/>
    <w:rsid w:val="1D484219"/>
    <w:rsid w:val="1D4F18C5"/>
    <w:rsid w:val="1D9A1CE4"/>
    <w:rsid w:val="1DD67D6F"/>
    <w:rsid w:val="1E036392"/>
    <w:rsid w:val="1E0C3498"/>
    <w:rsid w:val="1ED16069"/>
    <w:rsid w:val="1ED24185"/>
    <w:rsid w:val="1ED35C04"/>
    <w:rsid w:val="1ED903FD"/>
    <w:rsid w:val="1EE16233"/>
    <w:rsid w:val="1EFB57A6"/>
    <w:rsid w:val="1F372797"/>
    <w:rsid w:val="1F406C39"/>
    <w:rsid w:val="1FB262C1"/>
    <w:rsid w:val="1FD20322"/>
    <w:rsid w:val="1FE92B41"/>
    <w:rsid w:val="1FFEDEEE"/>
    <w:rsid w:val="201E1FEE"/>
    <w:rsid w:val="202E7632"/>
    <w:rsid w:val="20533B33"/>
    <w:rsid w:val="207456E4"/>
    <w:rsid w:val="20A3724F"/>
    <w:rsid w:val="20CB7E98"/>
    <w:rsid w:val="21011308"/>
    <w:rsid w:val="21CC56B8"/>
    <w:rsid w:val="21F711A6"/>
    <w:rsid w:val="22460F43"/>
    <w:rsid w:val="22612BC4"/>
    <w:rsid w:val="2297354C"/>
    <w:rsid w:val="22DD16D2"/>
    <w:rsid w:val="22F7E8FF"/>
    <w:rsid w:val="234C0C7F"/>
    <w:rsid w:val="23A67EEB"/>
    <w:rsid w:val="23F46FD7"/>
    <w:rsid w:val="24283899"/>
    <w:rsid w:val="24436E8F"/>
    <w:rsid w:val="248C4080"/>
    <w:rsid w:val="24C04FDC"/>
    <w:rsid w:val="24FD16C3"/>
    <w:rsid w:val="25F533FB"/>
    <w:rsid w:val="26331263"/>
    <w:rsid w:val="263F3713"/>
    <w:rsid w:val="265058AE"/>
    <w:rsid w:val="265F3B15"/>
    <w:rsid w:val="269C2300"/>
    <w:rsid w:val="271534C4"/>
    <w:rsid w:val="271E56C4"/>
    <w:rsid w:val="27391076"/>
    <w:rsid w:val="273B0505"/>
    <w:rsid w:val="277338DD"/>
    <w:rsid w:val="27A6495D"/>
    <w:rsid w:val="27F31AB9"/>
    <w:rsid w:val="27F60C89"/>
    <w:rsid w:val="27FFC5C7"/>
    <w:rsid w:val="282B56B9"/>
    <w:rsid w:val="28371A2F"/>
    <w:rsid w:val="284452E7"/>
    <w:rsid w:val="28523CBE"/>
    <w:rsid w:val="28757938"/>
    <w:rsid w:val="28860508"/>
    <w:rsid w:val="28950ECF"/>
    <w:rsid w:val="291B3F45"/>
    <w:rsid w:val="294B0B24"/>
    <w:rsid w:val="29581F66"/>
    <w:rsid w:val="29942B89"/>
    <w:rsid w:val="2A0E67EA"/>
    <w:rsid w:val="2A14341E"/>
    <w:rsid w:val="2A257690"/>
    <w:rsid w:val="2A817549"/>
    <w:rsid w:val="2AC554D1"/>
    <w:rsid w:val="2ADB2B70"/>
    <w:rsid w:val="2B275DB5"/>
    <w:rsid w:val="2B625A5F"/>
    <w:rsid w:val="2BBE5215"/>
    <w:rsid w:val="2BD70482"/>
    <w:rsid w:val="2C2F0835"/>
    <w:rsid w:val="2CBB4441"/>
    <w:rsid w:val="2CC80ED2"/>
    <w:rsid w:val="2CD1263C"/>
    <w:rsid w:val="2CF37A27"/>
    <w:rsid w:val="2CF74E38"/>
    <w:rsid w:val="2D241E80"/>
    <w:rsid w:val="2D324D1A"/>
    <w:rsid w:val="2D525A3B"/>
    <w:rsid w:val="2D6319D3"/>
    <w:rsid w:val="2D9D27E0"/>
    <w:rsid w:val="2DE812E1"/>
    <w:rsid w:val="2E750BE6"/>
    <w:rsid w:val="2E7B50BC"/>
    <w:rsid w:val="2E982D28"/>
    <w:rsid w:val="2EAE40F8"/>
    <w:rsid w:val="2ED1320F"/>
    <w:rsid w:val="2F040BD9"/>
    <w:rsid w:val="2F3274A5"/>
    <w:rsid w:val="2FBBA5AB"/>
    <w:rsid w:val="2FBF381C"/>
    <w:rsid w:val="2FC260AC"/>
    <w:rsid w:val="2FD91648"/>
    <w:rsid w:val="2FEF2A5C"/>
    <w:rsid w:val="3052247A"/>
    <w:rsid w:val="305D77B8"/>
    <w:rsid w:val="3090670D"/>
    <w:rsid w:val="312B48AF"/>
    <w:rsid w:val="31B5579D"/>
    <w:rsid w:val="32A47AB4"/>
    <w:rsid w:val="32CB27BC"/>
    <w:rsid w:val="33105381"/>
    <w:rsid w:val="336B6A5B"/>
    <w:rsid w:val="337B49B9"/>
    <w:rsid w:val="33BD27DF"/>
    <w:rsid w:val="33EB569F"/>
    <w:rsid w:val="33FA0C54"/>
    <w:rsid w:val="34113BD6"/>
    <w:rsid w:val="34140406"/>
    <w:rsid w:val="342C7375"/>
    <w:rsid w:val="34B42BB5"/>
    <w:rsid w:val="34C73C1C"/>
    <w:rsid w:val="350D6544"/>
    <w:rsid w:val="35EE2E3C"/>
    <w:rsid w:val="36001598"/>
    <w:rsid w:val="360308FA"/>
    <w:rsid w:val="36527A5E"/>
    <w:rsid w:val="36870F62"/>
    <w:rsid w:val="369B1CB2"/>
    <w:rsid w:val="36BF54EC"/>
    <w:rsid w:val="36C17759"/>
    <w:rsid w:val="36DC449D"/>
    <w:rsid w:val="36F56951"/>
    <w:rsid w:val="37E36263"/>
    <w:rsid w:val="37EE368E"/>
    <w:rsid w:val="38554F2F"/>
    <w:rsid w:val="38693545"/>
    <w:rsid w:val="38C96200"/>
    <w:rsid w:val="38D85C62"/>
    <w:rsid w:val="390E6F8C"/>
    <w:rsid w:val="39131F2C"/>
    <w:rsid w:val="39374DDA"/>
    <w:rsid w:val="393C614A"/>
    <w:rsid w:val="39411EEC"/>
    <w:rsid w:val="39935632"/>
    <w:rsid w:val="39E6508D"/>
    <w:rsid w:val="3A3949DD"/>
    <w:rsid w:val="3A4A7C37"/>
    <w:rsid w:val="3A7649A2"/>
    <w:rsid w:val="3A81279A"/>
    <w:rsid w:val="3AE5274E"/>
    <w:rsid w:val="3B072D35"/>
    <w:rsid w:val="3B3301C2"/>
    <w:rsid w:val="3B626037"/>
    <w:rsid w:val="3BD70C1C"/>
    <w:rsid w:val="3C065573"/>
    <w:rsid w:val="3C4B567C"/>
    <w:rsid w:val="3C837FE5"/>
    <w:rsid w:val="3CB15DE8"/>
    <w:rsid w:val="3D1F22E5"/>
    <w:rsid w:val="3D3960CA"/>
    <w:rsid w:val="3D997564"/>
    <w:rsid w:val="3DB744C0"/>
    <w:rsid w:val="3DB8289D"/>
    <w:rsid w:val="3DE87F46"/>
    <w:rsid w:val="3DFC2E05"/>
    <w:rsid w:val="3E144470"/>
    <w:rsid w:val="3E432DCF"/>
    <w:rsid w:val="3E8E1632"/>
    <w:rsid w:val="3F3E2FE9"/>
    <w:rsid w:val="3F5605BF"/>
    <w:rsid w:val="3F646F3E"/>
    <w:rsid w:val="3F7B5870"/>
    <w:rsid w:val="3FAD280D"/>
    <w:rsid w:val="3FAFC9F3"/>
    <w:rsid w:val="3FBD0AA0"/>
    <w:rsid w:val="3FBFE8A3"/>
    <w:rsid w:val="3FBFF11E"/>
    <w:rsid w:val="3FC78042"/>
    <w:rsid w:val="3FCF6EEE"/>
    <w:rsid w:val="3FFA9567"/>
    <w:rsid w:val="3FFBC9EC"/>
    <w:rsid w:val="3FFFEA14"/>
    <w:rsid w:val="400D7690"/>
    <w:rsid w:val="4069560F"/>
    <w:rsid w:val="412070D7"/>
    <w:rsid w:val="41322966"/>
    <w:rsid w:val="41670862"/>
    <w:rsid w:val="41731B45"/>
    <w:rsid w:val="41DC7289"/>
    <w:rsid w:val="41FD2ABB"/>
    <w:rsid w:val="421C165C"/>
    <w:rsid w:val="42811671"/>
    <w:rsid w:val="428B71EF"/>
    <w:rsid w:val="42A2347D"/>
    <w:rsid w:val="43251644"/>
    <w:rsid w:val="435F63AA"/>
    <w:rsid w:val="43802285"/>
    <w:rsid w:val="43A7F1A6"/>
    <w:rsid w:val="43D2284D"/>
    <w:rsid w:val="43ED42A2"/>
    <w:rsid w:val="44865DC2"/>
    <w:rsid w:val="44986F84"/>
    <w:rsid w:val="44A86EA6"/>
    <w:rsid w:val="44B03869"/>
    <w:rsid w:val="44B958DC"/>
    <w:rsid w:val="44E65F41"/>
    <w:rsid w:val="44FE2B7A"/>
    <w:rsid w:val="45221C05"/>
    <w:rsid w:val="45576E3F"/>
    <w:rsid w:val="455812EC"/>
    <w:rsid w:val="456F5F37"/>
    <w:rsid w:val="45761D23"/>
    <w:rsid w:val="4593493B"/>
    <w:rsid w:val="459B16D3"/>
    <w:rsid w:val="459E4A6E"/>
    <w:rsid w:val="45F31D67"/>
    <w:rsid w:val="45FF29D4"/>
    <w:rsid w:val="462A15BD"/>
    <w:rsid w:val="4633306D"/>
    <w:rsid w:val="46625636"/>
    <w:rsid w:val="46E2098A"/>
    <w:rsid w:val="4712301E"/>
    <w:rsid w:val="47970F04"/>
    <w:rsid w:val="48D507A7"/>
    <w:rsid w:val="48D56225"/>
    <w:rsid w:val="493C0826"/>
    <w:rsid w:val="49D23684"/>
    <w:rsid w:val="49E41186"/>
    <w:rsid w:val="49F243D5"/>
    <w:rsid w:val="4A3F0AC3"/>
    <w:rsid w:val="4A6E0EB3"/>
    <w:rsid w:val="4AD1435D"/>
    <w:rsid w:val="4AFA2C7B"/>
    <w:rsid w:val="4B0435C5"/>
    <w:rsid w:val="4B58271A"/>
    <w:rsid w:val="4B6B11A9"/>
    <w:rsid w:val="4B9C6B82"/>
    <w:rsid w:val="4BDE4024"/>
    <w:rsid w:val="4C1635B0"/>
    <w:rsid w:val="4C907F6D"/>
    <w:rsid w:val="4CA46E0E"/>
    <w:rsid w:val="4CAE35BE"/>
    <w:rsid w:val="4CFC2039"/>
    <w:rsid w:val="4D101EA3"/>
    <w:rsid w:val="4D3E2370"/>
    <w:rsid w:val="4D6E449B"/>
    <w:rsid w:val="4F0A34DF"/>
    <w:rsid w:val="4F5F5C7E"/>
    <w:rsid w:val="4F7241B1"/>
    <w:rsid w:val="4FCD04DF"/>
    <w:rsid w:val="4FF7181A"/>
    <w:rsid w:val="4FFE309A"/>
    <w:rsid w:val="507D0BBC"/>
    <w:rsid w:val="507E6B2A"/>
    <w:rsid w:val="50936404"/>
    <w:rsid w:val="51290B58"/>
    <w:rsid w:val="51381763"/>
    <w:rsid w:val="516D13F5"/>
    <w:rsid w:val="51842D6A"/>
    <w:rsid w:val="51960840"/>
    <w:rsid w:val="51D7639A"/>
    <w:rsid w:val="51E2208C"/>
    <w:rsid w:val="5221572C"/>
    <w:rsid w:val="52265F38"/>
    <w:rsid w:val="52291B63"/>
    <w:rsid w:val="52EF2BDF"/>
    <w:rsid w:val="535B753F"/>
    <w:rsid w:val="53B16AD7"/>
    <w:rsid w:val="543748C0"/>
    <w:rsid w:val="54B716A8"/>
    <w:rsid w:val="55516FE9"/>
    <w:rsid w:val="55681707"/>
    <w:rsid w:val="55AC2CD2"/>
    <w:rsid w:val="55B812E3"/>
    <w:rsid w:val="55D82153"/>
    <w:rsid w:val="561A2F05"/>
    <w:rsid w:val="566E5A78"/>
    <w:rsid w:val="56A7003A"/>
    <w:rsid w:val="575D29C4"/>
    <w:rsid w:val="577B4EF8"/>
    <w:rsid w:val="57950BEC"/>
    <w:rsid w:val="579A41D9"/>
    <w:rsid w:val="57BD01C5"/>
    <w:rsid w:val="57BE73BD"/>
    <w:rsid w:val="57C56C55"/>
    <w:rsid w:val="57E13BCA"/>
    <w:rsid w:val="57EAF5E5"/>
    <w:rsid w:val="58334AD1"/>
    <w:rsid w:val="5864421C"/>
    <w:rsid w:val="58F55AD6"/>
    <w:rsid w:val="5901172B"/>
    <w:rsid w:val="59561F19"/>
    <w:rsid w:val="596B1981"/>
    <w:rsid w:val="59821BED"/>
    <w:rsid w:val="59CF4D9E"/>
    <w:rsid w:val="59DE4A58"/>
    <w:rsid w:val="5AB4383C"/>
    <w:rsid w:val="5AED719F"/>
    <w:rsid w:val="5B0A7A07"/>
    <w:rsid w:val="5B1433B1"/>
    <w:rsid w:val="5B353327"/>
    <w:rsid w:val="5B3C271A"/>
    <w:rsid w:val="5B3F384B"/>
    <w:rsid w:val="5B5F5E1B"/>
    <w:rsid w:val="5B685559"/>
    <w:rsid w:val="5B8F6EDB"/>
    <w:rsid w:val="5BE414C5"/>
    <w:rsid w:val="5BFBC47E"/>
    <w:rsid w:val="5BFBFEEF"/>
    <w:rsid w:val="5BFE6DE9"/>
    <w:rsid w:val="5C1E1F40"/>
    <w:rsid w:val="5C5537BA"/>
    <w:rsid w:val="5C694A22"/>
    <w:rsid w:val="5C7458E1"/>
    <w:rsid w:val="5CBF46AD"/>
    <w:rsid w:val="5CE479D1"/>
    <w:rsid w:val="5CFF3025"/>
    <w:rsid w:val="5D3C5456"/>
    <w:rsid w:val="5D3E2967"/>
    <w:rsid w:val="5D7B4679"/>
    <w:rsid w:val="5D7C3989"/>
    <w:rsid w:val="5DCDBD87"/>
    <w:rsid w:val="5E6D6710"/>
    <w:rsid w:val="5E7C5B9B"/>
    <w:rsid w:val="5EA82B76"/>
    <w:rsid w:val="5EB1D3F4"/>
    <w:rsid w:val="5EDB5F93"/>
    <w:rsid w:val="5F246AEA"/>
    <w:rsid w:val="5F3B183F"/>
    <w:rsid w:val="5F5617FE"/>
    <w:rsid w:val="5F562031"/>
    <w:rsid w:val="5F6D771B"/>
    <w:rsid w:val="5F774ACC"/>
    <w:rsid w:val="5F9C373E"/>
    <w:rsid w:val="5FBF7263"/>
    <w:rsid w:val="5FCF84ED"/>
    <w:rsid w:val="5FDFC83C"/>
    <w:rsid w:val="5FF7A0DE"/>
    <w:rsid w:val="60017C7C"/>
    <w:rsid w:val="6020741B"/>
    <w:rsid w:val="60695F4D"/>
    <w:rsid w:val="608914CC"/>
    <w:rsid w:val="6094289E"/>
    <w:rsid w:val="60A725D1"/>
    <w:rsid w:val="60F11867"/>
    <w:rsid w:val="61035425"/>
    <w:rsid w:val="61492D1C"/>
    <w:rsid w:val="615C16D6"/>
    <w:rsid w:val="618A3DC3"/>
    <w:rsid w:val="619F774C"/>
    <w:rsid w:val="61C15430"/>
    <w:rsid w:val="61E46B12"/>
    <w:rsid w:val="62102CE3"/>
    <w:rsid w:val="62222B09"/>
    <w:rsid w:val="62311D7E"/>
    <w:rsid w:val="62350D51"/>
    <w:rsid w:val="627C5614"/>
    <w:rsid w:val="62BA758E"/>
    <w:rsid w:val="62BB6119"/>
    <w:rsid w:val="62D11B87"/>
    <w:rsid w:val="630D7F41"/>
    <w:rsid w:val="630F26B0"/>
    <w:rsid w:val="636724EC"/>
    <w:rsid w:val="636C18B0"/>
    <w:rsid w:val="63A71F74"/>
    <w:rsid w:val="63ED0D4F"/>
    <w:rsid w:val="64FE5F84"/>
    <w:rsid w:val="652F1904"/>
    <w:rsid w:val="65835D1E"/>
    <w:rsid w:val="65BF660F"/>
    <w:rsid w:val="65C7404D"/>
    <w:rsid w:val="65F17436"/>
    <w:rsid w:val="66BB8914"/>
    <w:rsid w:val="66C0483B"/>
    <w:rsid w:val="66CC410D"/>
    <w:rsid w:val="66EE54A9"/>
    <w:rsid w:val="67152FB8"/>
    <w:rsid w:val="67551304"/>
    <w:rsid w:val="676254A4"/>
    <w:rsid w:val="678D0D6C"/>
    <w:rsid w:val="67AB4C59"/>
    <w:rsid w:val="67C96B35"/>
    <w:rsid w:val="67D8ED11"/>
    <w:rsid w:val="684306E9"/>
    <w:rsid w:val="68723580"/>
    <w:rsid w:val="68994500"/>
    <w:rsid w:val="69172000"/>
    <w:rsid w:val="697F1380"/>
    <w:rsid w:val="699A1F8A"/>
    <w:rsid w:val="69A93917"/>
    <w:rsid w:val="69F84725"/>
    <w:rsid w:val="6A4A3BFD"/>
    <w:rsid w:val="6A521800"/>
    <w:rsid w:val="6B43739A"/>
    <w:rsid w:val="6BFFA4D9"/>
    <w:rsid w:val="6C196A9A"/>
    <w:rsid w:val="6C590980"/>
    <w:rsid w:val="6C75429C"/>
    <w:rsid w:val="6C7D23DE"/>
    <w:rsid w:val="6C8163CC"/>
    <w:rsid w:val="6C862912"/>
    <w:rsid w:val="6CFA1652"/>
    <w:rsid w:val="6CFD7E08"/>
    <w:rsid w:val="6D0F4A6A"/>
    <w:rsid w:val="6D3671B7"/>
    <w:rsid w:val="6D3D4391"/>
    <w:rsid w:val="6D4F2BB4"/>
    <w:rsid w:val="6D67427E"/>
    <w:rsid w:val="6D8E68B6"/>
    <w:rsid w:val="6DB91B96"/>
    <w:rsid w:val="6DCD214C"/>
    <w:rsid w:val="6E3C3302"/>
    <w:rsid w:val="6E7E0482"/>
    <w:rsid w:val="6E7F1593"/>
    <w:rsid w:val="6E8B15BA"/>
    <w:rsid w:val="6EC3F98A"/>
    <w:rsid w:val="6EDE010C"/>
    <w:rsid w:val="6EFE7E0F"/>
    <w:rsid w:val="6F5F3DDC"/>
    <w:rsid w:val="6FBF4705"/>
    <w:rsid w:val="6FC06BC3"/>
    <w:rsid w:val="6FC24E02"/>
    <w:rsid w:val="6FCD2B35"/>
    <w:rsid w:val="6FEFDAF3"/>
    <w:rsid w:val="6FF658FB"/>
    <w:rsid w:val="6FFB1FF0"/>
    <w:rsid w:val="6FFEF6BD"/>
    <w:rsid w:val="70161521"/>
    <w:rsid w:val="70756248"/>
    <w:rsid w:val="70983CE4"/>
    <w:rsid w:val="70BB65E4"/>
    <w:rsid w:val="70E817A2"/>
    <w:rsid w:val="70EF71B7"/>
    <w:rsid w:val="70FAFB2A"/>
    <w:rsid w:val="71506ACE"/>
    <w:rsid w:val="716138A0"/>
    <w:rsid w:val="71753151"/>
    <w:rsid w:val="71867FE1"/>
    <w:rsid w:val="71A73D3E"/>
    <w:rsid w:val="71D4087A"/>
    <w:rsid w:val="71E34413"/>
    <w:rsid w:val="71FE401B"/>
    <w:rsid w:val="726A16B0"/>
    <w:rsid w:val="727D4F24"/>
    <w:rsid w:val="72822E9E"/>
    <w:rsid w:val="72A146DD"/>
    <w:rsid w:val="72A70FAA"/>
    <w:rsid w:val="72DD1E82"/>
    <w:rsid w:val="72E66F89"/>
    <w:rsid w:val="73113F43"/>
    <w:rsid w:val="734944D8"/>
    <w:rsid w:val="7357511D"/>
    <w:rsid w:val="737446DD"/>
    <w:rsid w:val="737A3B75"/>
    <w:rsid w:val="737C1264"/>
    <w:rsid w:val="739B12EB"/>
    <w:rsid w:val="73AB6533"/>
    <w:rsid w:val="74620891"/>
    <w:rsid w:val="74D774D1"/>
    <w:rsid w:val="74E42203"/>
    <w:rsid w:val="751F197F"/>
    <w:rsid w:val="75297601"/>
    <w:rsid w:val="752C5839"/>
    <w:rsid w:val="758650B4"/>
    <w:rsid w:val="759E9462"/>
    <w:rsid w:val="75AB7F59"/>
    <w:rsid w:val="75D9457B"/>
    <w:rsid w:val="75E579CC"/>
    <w:rsid w:val="7613520C"/>
    <w:rsid w:val="76301170"/>
    <w:rsid w:val="763E70DC"/>
    <w:rsid w:val="76937428"/>
    <w:rsid w:val="76EB7264"/>
    <w:rsid w:val="76EEE66D"/>
    <w:rsid w:val="76EF82A2"/>
    <w:rsid w:val="76F20DAE"/>
    <w:rsid w:val="76FBFBCD"/>
    <w:rsid w:val="77245415"/>
    <w:rsid w:val="77503BA8"/>
    <w:rsid w:val="77B627D2"/>
    <w:rsid w:val="77BDFB3C"/>
    <w:rsid w:val="77BF2551"/>
    <w:rsid w:val="77CB4ADD"/>
    <w:rsid w:val="77F50D0E"/>
    <w:rsid w:val="77FCCDF3"/>
    <w:rsid w:val="7821727C"/>
    <w:rsid w:val="78243701"/>
    <w:rsid w:val="782E0A91"/>
    <w:rsid w:val="7866291A"/>
    <w:rsid w:val="788E7EA5"/>
    <w:rsid w:val="78F74A7F"/>
    <w:rsid w:val="7922343B"/>
    <w:rsid w:val="7926388B"/>
    <w:rsid w:val="79521C10"/>
    <w:rsid w:val="795E17F1"/>
    <w:rsid w:val="795FF9E4"/>
    <w:rsid w:val="79D42C0A"/>
    <w:rsid w:val="79FFF26D"/>
    <w:rsid w:val="7A267238"/>
    <w:rsid w:val="7A30225F"/>
    <w:rsid w:val="7AAE7979"/>
    <w:rsid w:val="7AD5E80B"/>
    <w:rsid w:val="7AE7FD2B"/>
    <w:rsid w:val="7AF3D7EA"/>
    <w:rsid w:val="7AFE98C0"/>
    <w:rsid w:val="7B0A37F3"/>
    <w:rsid w:val="7B2EC99E"/>
    <w:rsid w:val="7B3E4BF5"/>
    <w:rsid w:val="7B673659"/>
    <w:rsid w:val="7B676EB1"/>
    <w:rsid w:val="7B93031C"/>
    <w:rsid w:val="7BB3345A"/>
    <w:rsid w:val="7BBE09F0"/>
    <w:rsid w:val="7BCF7C7E"/>
    <w:rsid w:val="7BD61AD5"/>
    <w:rsid w:val="7BF9C739"/>
    <w:rsid w:val="7BFB259B"/>
    <w:rsid w:val="7BFF440A"/>
    <w:rsid w:val="7BFF8FB5"/>
    <w:rsid w:val="7C8549E9"/>
    <w:rsid w:val="7C9E2A4A"/>
    <w:rsid w:val="7CCD70F6"/>
    <w:rsid w:val="7CFC4664"/>
    <w:rsid w:val="7D4E5235"/>
    <w:rsid w:val="7D7B61FA"/>
    <w:rsid w:val="7D7D8DD1"/>
    <w:rsid w:val="7D9F8B72"/>
    <w:rsid w:val="7DBBA20B"/>
    <w:rsid w:val="7DC66335"/>
    <w:rsid w:val="7DDEDC0D"/>
    <w:rsid w:val="7DEF7A8A"/>
    <w:rsid w:val="7DF3FD3E"/>
    <w:rsid w:val="7DF7F354"/>
    <w:rsid w:val="7DFB0575"/>
    <w:rsid w:val="7E154BC6"/>
    <w:rsid w:val="7E6B12CB"/>
    <w:rsid w:val="7E7273D9"/>
    <w:rsid w:val="7E7F81E4"/>
    <w:rsid w:val="7E8D051D"/>
    <w:rsid w:val="7EACC565"/>
    <w:rsid w:val="7EB151EC"/>
    <w:rsid w:val="7EBB205B"/>
    <w:rsid w:val="7EBF2D50"/>
    <w:rsid w:val="7ECF1D1B"/>
    <w:rsid w:val="7ED22AB7"/>
    <w:rsid w:val="7ED7E605"/>
    <w:rsid w:val="7EDD74B9"/>
    <w:rsid w:val="7EF62516"/>
    <w:rsid w:val="7EFFE568"/>
    <w:rsid w:val="7F4B6054"/>
    <w:rsid w:val="7F5ABD7A"/>
    <w:rsid w:val="7F5CEBBD"/>
    <w:rsid w:val="7F7D7081"/>
    <w:rsid w:val="7F824F8C"/>
    <w:rsid w:val="7F8C4AD9"/>
    <w:rsid w:val="7FBF1A71"/>
    <w:rsid w:val="7FDFB4E3"/>
    <w:rsid w:val="7FDFE4A1"/>
    <w:rsid w:val="7FEF3380"/>
    <w:rsid w:val="7FFF3A16"/>
    <w:rsid w:val="7FFF5A94"/>
    <w:rsid w:val="83FF91AF"/>
    <w:rsid w:val="8AF62299"/>
    <w:rsid w:val="8D9E5958"/>
    <w:rsid w:val="8FEBAE37"/>
    <w:rsid w:val="8FF8B082"/>
    <w:rsid w:val="9FFC6A98"/>
    <w:rsid w:val="9FFF4B72"/>
    <w:rsid w:val="9FFFED75"/>
    <w:rsid w:val="A4FE2DAB"/>
    <w:rsid w:val="AD3B6A3F"/>
    <w:rsid w:val="AFE10A07"/>
    <w:rsid w:val="AFFE6005"/>
    <w:rsid w:val="B6FC2E9B"/>
    <w:rsid w:val="B7E7B2A0"/>
    <w:rsid w:val="B7EB1F3F"/>
    <w:rsid w:val="B9EB0C7F"/>
    <w:rsid w:val="B9FBD9F7"/>
    <w:rsid w:val="BBD563B5"/>
    <w:rsid w:val="BBFE7B1E"/>
    <w:rsid w:val="BBFF130D"/>
    <w:rsid w:val="BBFFDCD7"/>
    <w:rsid w:val="BCDCE214"/>
    <w:rsid w:val="BDAD1B8A"/>
    <w:rsid w:val="BDB9A1BB"/>
    <w:rsid w:val="BDFFCF40"/>
    <w:rsid w:val="BE7D5B73"/>
    <w:rsid w:val="BEEC8E32"/>
    <w:rsid w:val="BF7E0626"/>
    <w:rsid w:val="C76803D6"/>
    <w:rsid w:val="C77B49A1"/>
    <w:rsid w:val="CB9B34A2"/>
    <w:rsid w:val="CBB3A44B"/>
    <w:rsid w:val="CBDFAE21"/>
    <w:rsid w:val="CF1E2C65"/>
    <w:rsid w:val="CFFECBF1"/>
    <w:rsid w:val="D1D7B40E"/>
    <w:rsid w:val="D267D29C"/>
    <w:rsid w:val="D3ECC95C"/>
    <w:rsid w:val="D3ED3C8A"/>
    <w:rsid w:val="D6C76697"/>
    <w:rsid w:val="D70AFC06"/>
    <w:rsid w:val="D7DD1870"/>
    <w:rsid w:val="D9BFE668"/>
    <w:rsid w:val="D9F7E4F1"/>
    <w:rsid w:val="DA6CDFCE"/>
    <w:rsid w:val="DAFFE3D0"/>
    <w:rsid w:val="DB7F72A7"/>
    <w:rsid w:val="DBFF9A6B"/>
    <w:rsid w:val="DCDBFDC9"/>
    <w:rsid w:val="DD27FCAC"/>
    <w:rsid w:val="DD2D3FF7"/>
    <w:rsid w:val="DDCC86CA"/>
    <w:rsid w:val="DEFD6240"/>
    <w:rsid w:val="DEFF9AA2"/>
    <w:rsid w:val="DF5F6244"/>
    <w:rsid w:val="DFFE046B"/>
    <w:rsid w:val="E5B7349A"/>
    <w:rsid w:val="E5FFA019"/>
    <w:rsid w:val="E6DD0BF9"/>
    <w:rsid w:val="E7D6CC62"/>
    <w:rsid w:val="EBDE771E"/>
    <w:rsid w:val="EC6F8A7D"/>
    <w:rsid w:val="ED574481"/>
    <w:rsid w:val="EDBD7309"/>
    <w:rsid w:val="EDDFEE17"/>
    <w:rsid w:val="EDFDC52D"/>
    <w:rsid w:val="EEDBFCB9"/>
    <w:rsid w:val="EEDF5C73"/>
    <w:rsid w:val="EFB7FA07"/>
    <w:rsid w:val="EFDD9E34"/>
    <w:rsid w:val="EFEC0D03"/>
    <w:rsid w:val="EFF9121F"/>
    <w:rsid w:val="F4FEB764"/>
    <w:rsid w:val="F5DCD828"/>
    <w:rsid w:val="F6FFEE89"/>
    <w:rsid w:val="F77F6848"/>
    <w:rsid w:val="F77FB31B"/>
    <w:rsid w:val="F79FF762"/>
    <w:rsid w:val="F7D8FE1B"/>
    <w:rsid w:val="F7F540A6"/>
    <w:rsid w:val="F7F99798"/>
    <w:rsid w:val="F7FF2F46"/>
    <w:rsid w:val="F7FF624F"/>
    <w:rsid w:val="F8A20F1B"/>
    <w:rsid w:val="F8DF9610"/>
    <w:rsid w:val="F8ED456B"/>
    <w:rsid w:val="F8FC959D"/>
    <w:rsid w:val="F9FE23CE"/>
    <w:rsid w:val="FBED27CB"/>
    <w:rsid w:val="FD77E073"/>
    <w:rsid w:val="FDA3C67D"/>
    <w:rsid w:val="FDBFCCB1"/>
    <w:rsid w:val="FDE76F5F"/>
    <w:rsid w:val="FDF70401"/>
    <w:rsid w:val="FDFBBA80"/>
    <w:rsid w:val="FE9A4642"/>
    <w:rsid w:val="FEF71790"/>
    <w:rsid w:val="FEFEEE24"/>
    <w:rsid w:val="FEFF1801"/>
    <w:rsid w:val="FF256A0D"/>
    <w:rsid w:val="FF825E8E"/>
    <w:rsid w:val="FF9EC63C"/>
    <w:rsid w:val="FF9F7E4F"/>
    <w:rsid w:val="FFAE71A9"/>
    <w:rsid w:val="FFDDD3F3"/>
    <w:rsid w:val="FFDF345C"/>
    <w:rsid w:val="FFDF71A8"/>
    <w:rsid w:val="FFF358D4"/>
    <w:rsid w:val="FFF6C637"/>
    <w:rsid w:val="FFF7C73D"/>
    <w:rsid w:val="FFFF91E4"/>
    <w:rsid w:val="FFFFC2A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1044" w:firstLineChars="200"/>
      <w:jc w:val="both"/>
    </w:pPr>
    <w:rPr>
      <w:rFonts w:ascii="Times New Roman" w:hAnsi="Times New Roman" w:eastAsia="仿宋_GB2312" w:cstheme="minorBidi"/>
      <w:kern w:val="2"/>
      <w:sz w:val="28"/>
      <w:szCs w:val="22"/>
      <w:lang w:val="en-US" w:eastAsia="zh-CN" w:bidi="ar-SA"/>
    </w:rPr>
  </w:style>
  <w:style w:type="paragraph" w:styleId="2">
    <w:name w:val="heading 2"/>
    <w:basedOn w:val="1"/>
    <w:next w:val="1"/>
    <w:unhideWhenUsed/>
    <w:qFormat/>
    <w:uiPriority w:val="9"/>
    <w:pPr>
      <w:keepNext/>
      <w:keepLines/>
      <w:spacing w:before="260" w:after="260" w:line="413" w:lineRule="auto"/>
      <w:outlineLvl w:val="1"/>
    </w:pPr>
    <w:rPr>
      <w:rFonts w:ascii="Arial" w:hAnsi="Arial" w:eastAsia="黑体"/>
      <w:b/>
      <w:sz w:val="32"/>
    </w:rPr>
  </w:style>
  <w:style w:type="paragraph" w:styleId="3">
    <w:name w:val="heading 3"/>
    <w:basedOn w:val="1"/>
    <w:next w:val="1"/>
    <w:qFormat/>
    <w:uiPriority w:val="0"/>
    <w:pPr>
      <w:keepNext/>
      <w:keepLines/>
      <w:numPr>
        <w:ilvl w:val="2"/>
        <w:numId w:val="1"/>
      </w:numPr>
      <w:spacing w:line="560" w:lineRule="exact"/>
      <w:ind w:firstLine="880"/>
      <w:outlineLvl w:val="2"/>
    </w:pPr>
    <w:rPr>
      <w:b/>
      <w:bCs/>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4">
    <w:name w:val="Normal Indent"/>
    <w:basedOn w:val="1"/>
    <w:unhideWhenUsed/>
    <w:qFormat/>
    <w:uiPriority w:val="99"/>
    <w:pPr>
      <w:numPr>
        <w:ilvl w:val="0"/>
        <w:numId w:val="2"/>
      </w:numPr>
      <w:spacing w:line="560" w:lineRule="exact"/>
    </w:pPr>
    <w:rPr>
      <w:rFonts w:ascii="楷体" w:hAnsi="楷体" w:eastAsia="楷体" w:cs="楷体"/>
      <w:szCs w:val="32"/>
    </w:rPr>
  </w:style>
  <w:style w:type="paragraph" w:styleId="5">
    <w:name w:val="annotation text"/>
    <w:basedOn w:val="1"/>
    <w:semiHidden/>
    <w:unhideWhenUsed/>
    <w:qFormat/>
    <w:uiPriority w:val="99"/>
    <w:pPr>
      <w:jc w:val="left"/>
    </w:pPr>
  </w:style>
  <w:style w:type="paragraph" w:styleId="6">
    <w:name w:val="Salutation"/>
    <w:basedOn w:val="1"/>
    <w:next w:val="1"/>
    <w:qFormat/>
    <w:uiPriority w:val="0"/>
  </w:style>
  <w:style w:type="paragraph" w:styleId="7">
    <w:name w:val="Body Text"/>
    <w:basedOn w:val="1"/>
    <w:next w:val="1"/>
    <w:qFormat/>
    <w:uiPriority w:val="0"/>
    <w:pPr>
      <w:spacing w:after="120"/>
    </w:pPr>
    <w:rPr>
      <w:rFonts w:ascii="Calibri" w:hAnsi="Calibri"/>
      <w:kern w:val="0"/>
      <w:szCs w:val="20"/>
    </w:rPr>
  </w:style>
  <w:style w:type="paragraph" w:styleId="8">
    <w:name w:val="Body Text Indent"/>
    <w:basedOn w:val="1"/>
    <w:link w:val="42"/>
    <w:semiHidden/>
    <w:unhideWhenUsed/>
    <w:qFormat/>
    <w:uiPriority w:val="99"/>
    <w:pPr>
      <w:ind w:firstLine="640"/>
    </w:pPr>
    <w:rPr>
      <w:rFonts w:ascii="Calibri" w:hAnsi="Calibri" w:eastAsia="宋体" w:cs="Times New Roman"/>
      <w:sz w:val="32"/>
      <w:szCs w:val="24"/>
    </w:rPr>
  </w:style>
  <w:style w:type="paragraph" w:styleId="9">
    <w:name w:val="toc 3"/>
    <w:basedOn w:val="1"/>
    <w:next w:val="1"/>
    <w:semiHidden/>
    <w:unhideWhenUsed/>
    <w:qFormat/>
    <w:uiPriority w:val="39"/>
    <w:pPr>
      <w:ind w:left="840" w:leftChars="400"/>
    </w:pPr>
  </w:style>
  <w:style w:type="paragraph" w:styleId="10">
    <w:name w:val="Body Text Indent 2"/>
    <w:basedOn w:val="1"/>
    <w:qFormat/>
    <w:uiPriority w:val="0"/>
    <w:pPr>
      <w:ind w:firstLine="645"/>
      <w:outlineLvl w:val="0"/>
    </w:pPr>
    <w:rPr>
      <w:rFonts w:ascii="仿宋_GB2312"/>
      <w:spacing w:val="-4"/>
      <w:sz w:val="32"/>
    </w:rPr>
  </w:style>
  <w:style w:type="paragraph" w:styleId="11">
    <w:name w:val="footer"/>
    <w:basedOn w:val="1"/>
    <w:link w:val="29"/>
    <w:unhideWhenUsed/>
    <w:qFormat/>
    <w:uiPriority w:val="99"/>
    <w:pPr>
      <w:tabs>
        <w:tab w:val="center" w:pos="4153"/>
        <w:tab w:val="right" w:pos="8306"/>
      </w:tabs>
      <w:snapToGrid w:val="0"/>
      <w:jc w:val="left"/>
    </w:pPr>
    <w:rPr>
      <w:sz w:val="18"/>
      <w:szCs w:val="18"/>
    </w:rPr>
  </w:style>
  <w:style w:type="paragraph" w:styleId="12">
    <w:name w:val="header"/>
    <w:basedOn w:val="1"/>
    <w:next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pPr>
      <w:tabs>
        <w:tab w:val="left" w:pos="709"/>
        <w:tab w:val="right" w:leader="dot" w:pos="8296"/>
      </w:tabs>
    </w:pPr>
  </w:style>
  <w:style w:type="paragraph" w:styleId="14">
    <w:name w:val="toc 2"/>
    <w:basedOn w:val="1"/>
    <w:next w:val="1"/>
    <w:unhideWhenUsed/>
    <w:qFormat/>
    <w:uiPriority w:val="39"/>
    <w:pPr>
      <w:ind w:left="420" w:leftChars="200"/>
    </w:pPr>
  </w:style>
  <w:style w:type="paragraph" w:styleId="15">
    <w:name w:val="Normal (Web)"/>
    <w:basedOn w:val="1"/>
    <w:unhideWhenUsed/>
    <w:qFormat/>
    <w:uiPriority w:val="99"/>
    <w:pPr>
      <w:spacing w:before="100" w:beforeAutospacing="1" w:after="100" w:afterAutospacing="1"/>
      <w:jc w:val="left"/>
    </w:pPr>
    <w:rPr>
      <w:rFonts w:cs="Times New Roman"/>
      <w:kern w:val="0"/>
      <w:sz w:val="24"/>
    </w:rPr>
  </w:style>
  <w:style w:type="paragraph" w:styleId="16">
    <w:name w:val="Title"/>
    <w:basedOn w:val="1"/>
    <w:link w:val="41"/>
    <w:qFormat/>
    <w:uiPriority w:val="10"/>
    <w:pPr>
      <w:spacing w:before="240" w:after="60"/>
      <w:jc w:val="center"/>
      <w:outlineLvl w:val="0"/>
    </w:pPr>
    <w:rPr>
      <w:rFonts w:ascii="Arial" w:hAnsi="Arial"/>
      <w:b/>
      <w:sz w:val="32"/>
    </w:rPr>
  </w:style>
  <w:style w:type="paragraph" w:styleId="17">
    <w:name w:val="Body Text First Indent 2"/>
    <w:basedOn w:val="8"/>
    <w:qFormat/>
    <w:uiPriority w:val="0"/>
    <w:pPr>
      <w:ind w:firstLine="420"/>
    </w:pPr>
  </w:style>
  <w:style w:type="table" w:styleId="19">
    <w:name w:val="Table Grid"/>
    <w:basedOn w:val="1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Emphasis"/>
    <w:basedOn w:val="20"/>
    <w:qFormat/>
    <w:uiPriority w:val="20"/>
    <w:rPr>
      <w:i/>
    </w:rPr>
  </w:style>
  <w:style w:type="character" w:styleId="22">
    <w:name w:val="Hyperlink"/>
    <w:unhideWhenUsed/>
    <w:qFormat/>
    <w:uiPriority w:val="99"/>
    <w:rPr>
      <w:color w:val="4D4D4D"/>
      <w:u w:val="none"/>
    </w:rPr>
  </w:style>
  <w:style w:type="character" w:styleId="23">
    <w:name w:val="annotation reference"/>
    <w:basedOn w:val="20"/>
    <w:semiHidden/>
    <w:unhideWhenUsed/>
    <w:qFormat/>
    <w:uiPriority w:val="99"/>
    <w:rPr>
      <w:sz w:val="21"/>
      <w:szCs w:val="21"/>
    </w:rPr>
  </w:style>
  <w:style w:type="paragraph" w:customStyle="1" w:styleId="24">
    <w:name w:val="正文文本1"/>
    <w:basedOn w:val="1"/>
    <w:qFormat/>
    <w:uiPriority w:val="0"/>
    <w:pPr>
      <w:spacing w:line="386" w:lineRule="auto"/>
    </w:pPr>
    <w:rPr>
      <w:rFonts w:ascii="楷体" w:hAnsi="楷体" w:eastAsia="楷体" w:cs="楷体"/>
      <w:sz w:val="19"/>
      <w:szCs w:val="19"/>
      <w:lang w:val="zh-CN" w:bidi="zh-CN"/>
    </w:rPr>
  </w:style>
  <w:style w:type="paragraph" w:customStyle="1" w:styleId="25">
    <w:name w:val="Default"/>
    <w:next w:val="26"/>
    <w:qFormat/>
    <w:uiPriority w:val="0"/>
    <w:pPr>
      <w:autoSpaceDE w:val="0"/>
      <w:autoSpaceDN w:val="0"/>
      <w:adjustRightInd w:val="0"/>
    </w:pPr>
    <w:rPr>
      <w:rFonts w:ascii="微软雅黑" w:hAnsi="Calibri" w:eastAsia="微软雅黑" w:cs="微软雅黑"/>
      <w:color w:val="000000"/>
      <w:sz w:val="24"/>
      <w:szCs w:val="24"/>
      <w:lang w:val="en-US" w:eastAsia="zh-CN" w:bidi="ar-SA"/>
    </w:rPr>
  </w:style>
  <w:style w:type="paragraph" w:customStyle="1" w:styleId="26">
    <w:name w:val="_Style 1"/>
    <w:basedOn w:val="1"/>
    <w:next w:val="1"/>
    <w:qFormat/>
    <w:uiPriority w:val="0"/>
    <w:pPr>
      <w:pBdr>
        <w:top w:val="single" w:color="auto" w:sz="6" w:space="1"/>
      </w:pBdr>
      <w:jc w:val="center"/>
    </w:pPr>
    <w:rPr>
      <w:rFonts w:ascii="Arial" w:eastAsia="宋体"/>
      <w:vanish/>
      <w:sz w:val="16"/>
    </w:rPr>
  </w:style>
  <w:style w:type="paragraph" w:customStyle="1" w:styleId="27">
    <w:name w:val="常用样式（方正仿宋简）"/>
    <w:basedOn w:val="1"/>
    <w:qFormat/>
    <w:uiPriority w:val="0"/>
    <w:pPr>
      <w:spacing w:line="560" w:lineRule="exact"/>
      <w:ind w:firstLine="640"/>
    </w:pPr>
    <w:rPr>
      <w:rFonts w:eastAsia="仿宋"/>
      <w:sz w:val="32"/>
    </w:rPr>
  </w:style>
  <w:style w:type="character" w:customStyle="1" w:styleId="28">
    <w:name w:val="页眉 字符"/>
    <w:basedOn w:val="20"/>
    <w:link w:val="12"/>
    <w:qFormat/>
    <w:uiPriority w:val="99"/>
    <w:rPr>
      <w:sz w:val="18"/>
      <w:szCs w:val="18"/>
    </w:rPr>
  </w:style>
  <w:style w:type="character" w:customStyle="1" w:styleId="29">
    <w:name w:val="页脚 字符"/>
    <w:basedOn w:val="20"/>
    <w:link w:val="11"/>
    <w:qFormat/>
    <w:uiPriority w:val="99"/>
    <w:rPr>
      <w:sz w:val="18"/>
      <w:szCs w:val="18"/>
    </w:rPr>
  </w:style>
  <w:style w:type="character" w:customStyle="1" w:styleId="30">
    <w:name w:val="font11"/>
    <w:basedOn w:val="20"/>
    <w:qFormat/>
    <w:uiPriority w:val="0"/>
    <w:rPr>
      <w:rFonts w:hint="eastAsia" w:ascii="宋体" w:hAnsi="宋体" w:eastAsia="宋体" w:cs="宋体"/>
      <w:color w:val="000000"/>
      <w:sz w:val="21"/>
      <w:szCs w:val="21"/>
      <w:u w:val="none"/>
    </w:rPr>
  </w:style>
  <w:style w:type="character" w:customStyle="1" w:styleId="31">
    <w:name w:val="font01"/>
    <w:basedOn w:val="20"/>
    <w:qFormat/>
    <w:uiPriority w:val="0"/>
    <w:rPr>
      <w:rFonts w:hint="default" w:ascii="Calibri" w:hAnsi="Calibri" w:cs="Calibri"/>
      <w:color w:val="000000"/>
      <w:sz w:val="21"/>
      <w:szCs w:val="21"/>
      <w:u w:val="none"/>
    </w:rPr>
  </w:style>
  <w:style w:type="character" w:customStyle="1" w:styleId="32">
    <w:name w:val="font71"/>
    <w:basedOn w:val="20"/>
    <w:qFormat/>
    <w:uiPriority w:val="0"/>
    <w:rPr>
      <w:rFonts w:hint="eastAsia" w:ascii="仿宋" w:hAnsi="仿宋" w:eastAsia="仿宋" w:cs="仿宋"/>
      <w:b/>
      <w:color w:val="000000"/>
      <w:sz w:val="24"/>
      <w:szCs w:val="24"/>
      <w:u w:val="none"/>
    </w:rPr>
  </w:style>
  <w:style w:type="character" w:customStyle="1" w:styleId="33">
    <w:name w:val="font51"/>
    <w:basedOn w:val="20"/>
    <w:qFormat/>
    <w:uiPriority w:val="0"/>
    <w:rPr>
      <w:rFonts w:hint="eastAsia" w:ascii="仿宋" w:hAnsi="仿宋" w:eastAsia="仿宋" w:cs="仿宋"/>
      <w:color w:val="000000"/>
      <w:sz w:val="24"/>
      <w:szCs w:val="24"/>
      <w:u w:val="none"/>
    </w:rPr>
  </w:style>
  <w:style w:type="character" w:customStyle="1" w:styleId="34">
    <w:name w:val="font31"/>
    <w:basedOn w:val="20"/>
    <w:qFormat/>
    <w:uiPriority w:val="0"/>
    <w:rPr>
      <w:rFonts w:hint="eastAsia" w:ascii="宋体" w:hAnsi="宋体" w:eastAsia="宋体" w:cs="宋体"/>
      <w:b/>
      <w:color w:val="000000"/>
      <w:sz w:val="22"/>
      <w:szCs w:val="22"/>
      <w:u w:val="none"/>
    </w:rPr>
  </w:style>
  <w:style w:type="character" w:customStyle="1" w:styleId="35">
    <w:name w:val="font21"/>
    <w:basedOn w:val="20"/>
    <w:qFormat/>
    <w:uiPriority w:val="0"/>
    <w:rPr>
      <w:rFonts w:hint="eastAsia" w:ascii="宋体" w:hAnsi="宋体" w:eastAsia="宋体" w:cs="宋体"/>
      <w:color w:val="000000"/>
      <w:sz w:val="20"/>
      <w:szCs w:val="20"/>
      <w:u w:val="none"/>
    </w:rPr>
  </w:style>
  <w:style w:type="character" w:customStyle="1" w:styleId="36">
    <w:name w:val="font41"/>
    <w:basedOn w:val="20"/>
    <w:qFormat/>
    <w:uiPriority w:val="0"/>
    <w:rPr>
      <w:rFonts w:hint="default" w:ascii="Times New Roman" w:hAnsi="Times New Roman" w:cs="Times New Roman"/>
      <w:b/>
      <w:color w:val="000000"/>
      <w:sz w:val="20"/>
      <w:szCs w:val="20"/>
      <w:u w:val="none"/>
    </w:rPr>
  </w:style>
  <w:style w:type="paragraph" w:customStyle="1" w:styleId="37">
    <w:name w:val="WPSOffice手动目录 1"/>
    <w:qFormat/>
    <w:uiPriority w:val="0"/>
    <w:rPr>
      <w:rFonts w:ascii="Times New Roman" w:hAnsi="Times New Roman" w:eastAsia="宋体" w:cs="Times New Roman"/>
      <w:lang w:val="en-US" w:eastAsia="zh-CN" w:bidi="ar-SA"/>
    </w:rPr>
  </w:style>
  <w:style w:type="paragraph" w:customStyle="1" w:styleId="38">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9">
    <w:name w:val="表格"/>
    <w:basedOn w:val="1"/>
    <w:qFormat/>
    <w:uiPriority w:val="0"/>
    <w:rPr>
      <w:rFonts w:hint="eastAsia"/>
      <w:kern w:val="0"/>
      <w:sz w:val="24"/>
      <w:szCs w:val="20"/>
    </w:rPr>
  </w:style>
  <w:style w:type="paragraph" w:customStyle="1" w:styleId="40">
    <w:name w:val="页眉或页脚 (2)"/>
    <w:basedOn w:val="1"/>
    <w:qFormat/>
    <w:uiPriority w:val="0"/>
    <w:rPr>
      <w:rFonts w:eastAsia="Times New Roman" w:cs="Times New Roman"/>
      <w:sz w:val="20"/>
      <w:szCs w:val="20"/>
      <w:lang w:val="zh-CN" w:bidi="zh-CN"/>
    </w:rPr>
  </w:style>
  <w:style w:type="character" w:customStyle="1" w:styleId="41">
    <w:name w:val="标题 字符"/>
    <w:basedOn w:val="20"/>
    <w:link w:val="16"/>
    <w:qFormat/>
    <w:uiPriority w:val="0"/>
    <w:rPr>
      <w:rFonts w:ascii="等线 Light" w:hAnsi="等线 Light" w:eastAsia="等线 Light" w:cs="Times New Roman"/>
      <w:b/>
      <w:bCs/>
      <w:kern w:val="2"/>
      <w:sz w:val="32"/>
      <w:szCs w:val="32"/>
    </w:rPr>
  </w:style>
  <w:style w:type="character" w:customStyle="1" w:styleId="42">
    <w:name w:val="正文文本缩进 字符"/>
    <w:basedOn w:val="20"/>
    <w:link w:val="8"/>
    <w:qFormat/>
    <w:uiPriority w:val="0"/>
    <w:rPr>
      <w:kern w:val="2"/>
      <w:sz w:val="32"/>
      <w:szCs w:val="24"/>
    </w:rPr>
  </w:style>
  <w:style w:type="paragraph" w:customStyle="1" w:styleId="43">
    <w:name w:val="修订1"/>
    <w:hidden/>
    <w:semiHidden/>
    <w:qFormat/>
    <w:uiPriority w:val="99"/>
    <w:rPr>
      <w:rFonts w:ascii="Times New Roman" w:hAnsi="Times New Roman" w:eastAsia="仿宋_GB2312" w:cstheme="minorBidi"/>
      <w:kern w:val="2"/>
      <w:sz w:val="28"/>
      <w:szCs w:val="22"/>
      <w:lang w:val="en-US" w:eastAsia="zh-CN" w:bidi="ar-SA"/>
    </w:rPr>
  </w:style>
  <w:style w:type="paragraph" w:customStyle="1" w:styleId="44">
    <w:name w:val="Revision"/>
    <w:hidden/>
    <w:unhideWhenUsed/>
    <w:qFormat/>
    <w:uiPriority w:val="99"/>
    <w:rPr>
      <w:rFonts w:ascii="Times New Roman" w:hAnsi="Times New Roman" w:eastAsia="仿宋_GB2312" w:cstheme="minorBidi"/>
      <w:kern w:val="2"/>
      <w:sz w:val="28"/>
      <w:szCs w:val="22"/>
      <w:lang w:val="en-US" w:eastAsia="zh-CN" w:bidi="ar-SA"/>
    </w:rPr>
  </w:style>
  <w:style w:type="character" w:customStyle="1" w:styleId="45">
    <w:name w:val="15"/>
    <w:basedOn w:val="20"/>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fc5f0a81-49c8-4dad-b7cd-60dbbae6e929</errorID>
      <errorWord>机构6个</errorWord>
      <group>L1_AI</group>
      <groupName>深度校对</groupName>
      <ability>L2_AI_Word</ability>
      <abilityName>字词纠错</abilityName>
      <candidateList>
        <item>6个机构</item>
      </candidateList>
      <explain/>
      <paraID>20FA589F</paraID>
      <start>15</start>
      <end>19</end>
      <status>modified</status>
      <modifiedWord>6个机构</modifiedWord>
      <trackRevisions>false</trackRevisions>
    </reviewItem>
    <reviewItem>
      <errorID>6efd23d0-be98-4596-be79-0b1863b0ed2a</errorID>
      <errorWord>（</errorWord>
      <group>L1_AI</group>
      <groupName>深度校对</groupName>
      <ability>L2_AI_Grammar</ability>
      <abilityName>语法纠错</abilityName>
      <candidateList>
        <item>办公室（</item>
      </candidateList>
      <explain/>
      <paraID>20FA589F</paraID>
      <start>90</start>
      <end>94</end>
      <status>modified</status>
      <modifiedWord>办公室（</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84c0c6-d389-472a-8403-c1fa3d8c845c}">
  <ds:schemaRefs/>
</ds:datastoreItem>
</file>

<file path=docProps/app.xml><?xml version="1.0" encoding="utf-8"?>
<Properties xmlns="http://schemas.openxmlformats.org/officeDocument/2006/extended-properties" xmlns:vt="http://schemas.openxmlformats.org/officeDocument/2006/docPropsVTypes">
  <Company>Microsoft</Company>
  <Pages>16</Pages>
  <Words>6471</Words>
  <Characters>7011</Characters>
  <Lines>1</Lines>
  <Paragraphs>1</Paragraphs>
  <TotalTime>4</TotalTime>
  <ScaleCrop>false</ScaleCrop>
  <LinksUpToDate>false</LinksUpToDate>
  <CharactersWithSpaces>7060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2020-04-11T15:49:00Z</dcterms:created>
  <dc:creator>ZC</dc:creator>
  <cp:lastModifiedBy>Administrator</cp:lastModifiedBy>
  <cp:lastPrinted>2025-12-11T02:34:31Z</cp:lastPrinted>
  <dcterms:modified xsi:type="dcterms:W3CDTF">2025-12-11T02:34:34Z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0323C17550B84971857CA4630E76FAC8</vt:lpwstr>
  </property>
  <property fmtid="{D5CDD505-2E9C-101B-9397-08002B2CF9AE}" pid="4" name="KSOTemplateDocerSaveRecord">
    <vt:lpwstr>eyJoZGlkIjoiMzlkMzQ2Y2I1ODA5MzZkNzZhYmIyNGZlZjQwYWNlNDMiLCJ1c2VySWQiOiIyNTYxODExOTYifQ==</vt:lpwstr>
  </property>
</Properties>
</file>