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3F1EF3A">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0FC40C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79C913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6A849C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4</w:t>
      </w:r>
      <w:r>
        <w:rPr>
          <w:rFonts w:hint="default" w:ascii="Times New Roman" w:hAnsi="Times New Roman" w:cs="Times New Roman"/>
          <w:sz w:val="32"/>
          <w:szCs w:val="32"/>
          <w:highlight w:val="none"/>
        </w:rPr>
        <w:t>号</w:t>
      </w:r>
    </w:p>
    <w:p w14:paraId="3B740089">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263483FB">
      <w:pPr>
        <w:pStyle w:val="10"/>
        <w:keepNext w:val="0"/>
        <w:keepLines w:val="0"/>
        <w:pageBreakBefore w:val="0"/>
        <w:kinsoku/>
        <w:wordWrap/>
        <w:overflowPunct/>
        <w:topLinePunct w:val="0"/>
        <w:autoSpaceDE/>
        <w:autoSpaceDN/>
        <w:bidi w:val="0"/>
        <w:spacing w:line="600" w:lineRule="exact"/>
        <w:ind w:left="0" w:firstLine="0" w:firstLineChars="0"/>
        <w:rPr>
          <w:rFonts w:hint="default" w:ascii="Times New Roman" w:hAnsi="Times New Roman" w:eastAsia="仿宋" w:cs="Times New Roman"/>
          <w:color w:val="auto"/>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default" w:ascii="Times New Roman" w:hAnsi="Times New Roman" w:eastAsia="方正小标宋_GBK" w:cs="Times New Roman"/>
          <w:color w:val="auto"/>
          <w:sz w:val="44"/>
          <w:szCs w:val="44"/>
          <w:highlight w:val="none"/>
          <w:lang w:eastAsia="zh-CN"/>
        </w:rPr>
      </w:pPr>
      <w:bookmarkStart w:id="3" w:name="_Toc27398"/>
      <w:r>
        <w:rPr>
          <w:rFonts w:hint="default" w:ascii="Times New Roman" w:hAnsi="Times New Roman" w:eastAsia="方正小标宋_GBK" w:cs="Times New Roman"/>
          <w:color w:val="auto"/>
          <w:sz w:val="44"/>
          <w:szCs w:val="44"/>
          <w:highlight w:val="none"/>
          <w:lang w:eastAsia="zh-CN"/>
        </w:rPr>
        <w:t>中共泸定县委政法委员会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
        </w:rPr>
        <w:t>202</w:t>
      </w:r>
      <w:r>
        <w:rPr>
          <w:rFonts w:hint="default" w:ascii="Times New Roman" w:hAnsi="Times New Roman" w:eastAsia="方正小标宋_GBK" w:cs="Times New Roman"/>
          <w:color w:val="auto"/>
          <w:sz w:val="44"/>
          <w:szCs w:val="44"/>
          <w:highlight w:val="none"/>
          <w:lang w:val="en-US" w:eastAsia="zh-CN"/>
        </w:rPr>
        <w:t>4</w:t>
      </w:r>
      <w:r>
        <w:rPr>
          <w:rFonts w:hint="default" w:ascii="Times New Roman" w:hAnsi="Times New Roman" w:eastAsia="方正小标宋_GBK" w:cs="Times New Roman"/>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181E0061">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6252"/>
      <w:bookmarkStart w:id="6" w:name="_Toc26210"/>
      <w:r>
        <w:rPr>
          <w:rFonts w:hint="default" w:ascii="Times New Roman" w:hAnsi="Times New Roman" w:eastAsia="方正仿宋_GB2312" w:cs="Times New Roman"/>
          <w:color w:val="auto"/>
          <w:sz w:val="32"/>
          <w:szCs w:val="32"/>
          <w:highlight w:val="none"/>
          <w:lang w:val="fr-FR" w:eastAsia="zh-CN"/>
        </w:rPr>
        <w:t>中共泸定县委政法委员会：</w:t>
      </w:r>
    </w:p>
    <w:p w14:paraId="50FB6A35">
      <w:pPr>
        <w:keepNext w:val="0"/>
        <w:keepLines w:val="0"/>
        <w:pageBreakBefore w:val="0"/>
        <w:kinsoku/>
        <w:wordWrap/>
        <w:overflowPunct/>
        <w:topLinePunct w:val="0"/>
        <w:autoSpaceDE/>
        <w:autoSpaceDN/>
        <w:bidi w:val="0"/>
        <w:spacing w:line="600" w:lineRule="exact"/>
        <w:ind w:left="0" w:leftChars="0" w:right="0" w:rightChars="0" w:firstLine="640" w:firstLineChars="20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中共泸定县委政法委员会</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中共泸定县委政法委员会</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中共泸定县委政法委员会</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27571"/>
      <w:bookmarkStart w:id="13" w:name="_Toc4351"/>
      <w:bookmarkStart w:id="14" w:name="_Toc15220"/>
      <w:bookmarkStart w:id="15" w:name="_Toc18579"/>
      <w:bookmarkStart w:id="16" w:name="_Toc10147"/>
      <w:bookmarkStart w:id="17" w:name="_Toc12546"/>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16549"/>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0865"/>
      <w:bookmarkStart w:id="24" w:name="_Toc2337"/>
      <w:bookmarkStart w:id="25" w:name="_Toc19098"/>
      <w:bookmarkStart w:id="26" w:name="_Toc24161"/>
      <w:bookmarkStart w:id="27" w:name="_Toc18535"/>
      <w:bookmarkStart w:id="28" w:name="_Toc11769"/>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中共泸定县委政法委员会</w:t>
      </w:r>
      <w:r>
        <w:rPr>
          <w:rFonts w:hint="default" w:ascii="Times New Roman" w:hAnsi="Times New Roman" w:eastAsia="方正仿宋_GB2312" w:cs="Times New Roman"/>
          <w:color w:val="auto"/>
          <w:sz w:val="32"/>
          <w:szCs w:val="32"/>
          <w:highlight w:val="none"/>
          <w:lang w:val="en-US" w:eastAsia="zh-CN"/>
        </w:rPr>
        <w:t>（以下简称县委政法委）</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吴东阳</w:t>
      </w:r>
      <w:r>
        <w:rPr>
          <w:rFonts w:hint="default" w:ascii="Times New Roman" w:hAnsi="Times New Roman" w:eastAsia="方正仿宋_GB2312" w:cs="Times New Roman"/>
          <w:color w:val="auto"/>
          <w:sz w:val="32"/>
          <w:szCs w:val="32"/>
          <w:highlight w:val="none"/>
          <w:lang w:val="fr-FR" w:eastAsia="zh-CN"/>
        </w:rPr>
        <w:t xml:space="preserve">；统一社会信用代码：115133220089780702；单位所在地：四川省甘孜藏族自治州泸定县政务中心四楼。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28538"/>
      <w:bookmarkStart w:id="34" w:name="_Toc26703"/>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委政法委内设机构5个：办公室、县委维护社会稳定领导小组办公室（防范和处理邪教领导小组办公室）、政工科、县社会管理综合治理委员会办公室、县矛盾纠纷大调解中心，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（2）人员概况。截至2024年末，县委政法委单位行政编制10人，行政工勤1人，事业编制4人；实有人数13人，其中行政10人，事业2人，行政工勤 1人。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12241"/>
      <w:bookmarkStart w:id="39" w:name="_Toc22604"/>
      <w:bookmarkStart w:id="40" w:name="_Toc21223"/>
      <w:bookmarkStart w:id="41" w:name="_Toc1674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42" w:name="_Toc33"/>
      <w:bookmarkStart w:id="43" w:name="_Toc109483836"/>
      <w:r>
        <w:rPr>
          <w:rFonts w:hint="default" w:ascii="Times New Roman" w:hAnsi="Times New Roman" w:eastAsia="方正仿宋_GB2312" w:cs="Times New Roman"/>
          <w:color w:val="auto"/>
          <w:sz w:val="32"/>
          <w:szCs w:val="32"/>
          <w:highlight w:val="none"/>
          <w:lang w:val="fr-FR" w:eastAsia="zh-CN"/>
        </w:rPr>
        <w:t>县委政法委的主要职责是：</w:t>
      </w:r>
    </w:p>
    <w:p w14:paraId="314978D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1.根据党的路线、方针、政策和县委的决策，统一政法各部门的思想和行动；对一定时期内的全县政法工作作出全局性部署，并督促贯彻落实。</w:t>
      </w:r>
    </w:p>
    <w:p w14:paraId="0D48C0C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2.检查、指导政法各部门严格执行国家法律法规和党的方针政策；结合本地区实际，研究制定严肃执法，落实党的方针、政策的具体措施。</w:t>
      </w:r>
    </w:p>
    <w:p w14:paraId="688526C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指导和推动全县维护社会稳定工作，了解掌握全县维护社会稳定工作情况，提出工作对策及建议措施；指导、督促各乡镇、各部门贯彻落实县委、县政府对维护稳定工作的重大部署，检查维护稳定工作领导责任制的落实情况。</w:t>
      </w:r>
    </w:p>
    <w:p w14:paraId="299224F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负责对“法轮功”及其它邪教组织和对社会有危害的气功组织的调查研究，并提出有针对性的对策建议，负责掌握邪教组织发展动向，收集国内外有关信息，及时向县委、县政府反映防范和处理邪教问题工作中的重要情况；负责县委、县政府有关处理“法轮功”及其它邪教组织和对社会有危害的气功组织的协调、指导工作。</w:t>
      </w:r>
    </w:p>
    <w:p w14:paraId="692B808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组织推动、指导、协调全县社会治安综合治理及见义勇为表彰奖励工作，及时分析研究全县社会治安综合治理的形势和对策，制定全县社会治安综合治理工作的规划和实施方案，监督、指导、协调和促进社会治安综合治理和见义勇为表彰奖励各项措施的落实。</w:t>
      </w:r>
    </w:p>
    <w:p w14:paraId="5189138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6.组织推动政法战线的调查研究工作，总结新经验，解决新问题，探索政法工作及政法管理体制改革途径；参与起草、修改有关地方性法规。</w:t>
      </w:r>
    </w:p>
    <w:p w14:paraId="2E985D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研究加强政法队伍和领导班子建设的措施，协调县委组织部考察、管理政法部门的领导干部与领导班子，指导政法干警的教育培训工作和政法部门查处干警违法违纪案件，检查全县政法队伍建设领导责任制的落实情况。</w:t>
      </w:r>
    </w:p>
    <w:p w14:paraId="14F9FAE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8.按照县委的总体要求，领导和组织处理全县有关政法工作的重大问题；指导各乡镇、各部门社会治安综合治理委员会的工作，协助县委处理全县有关政法工作的重大问题。</w:t>
      </w:r>
    </w:p>
    <w:p w14:paraId="115730A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仿宋"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9.完成县委和上级政法委员会交办的其他事项。</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5163"/>
      <w:bookmarkStart w:id="45" w:name="_Toc26564"/>
      <w:bookmarkStart w:id="46" w:name="_Toc5982"/>
      <w:bookmarkStart w:id="47" w:name="_Toc13707"/>
      <w:bookmarkStart w:id="48" w:name="_Toc22594"/>
      <w:bookmarkStart w:id="49" w:name="_Toc16871"/>
      <w:bookmarkStart w:id="50" w:name="_Toc1218480988"/>
      <w:bookmarkStart w:id="51" w:name="_Toc14896"/>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11105"/>
      <w:bookmarkStart w:id="55" w:name="_Toc21428"/>
      <w:bookmarkStart w:id="56" w:name="_Toc25866"/>
      <w:bookmarkStart w:id="57" w:name="_Toc29180"/>
      <w:bookmarkStart w:id="58" w:name="_Toc32369"/>
      <w:bookmarkStart w:id="59" w:name="_Toc15898"/>
      <w:bookmarkStart w:id="60" w:name="_Toc1949541301"/>
      <w:bookmarkStart w:id="61" w:name="_Toc237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63" w:name="_Toc21171"/>
      <w:bookmarkStart w:id="64" w:name="_Toc27782"/>
      <w:bookmarkStart w:id="65" w:name="_Toc17751"/>
      <w:bookmarkStart w:id="66" w:name="_Toc27073"/>
      <w:bookmarkStart w:id="67" w:name="_Toc349786989"/>
      <w:bookmarkStart w:id="68" w:name="_Toc19326"/>
      <w:bookmarkStart w:id="69" w:name="_Toc109483838"/>
      <w:r>
        <w:rPr>
          <w:rFonts w:hint="default" w:ascii="Times New Roman" w:hAnsi="Times New Roman" w:eastAsia="方正仿宋_GB2312" w:cs="Times New Roman"/>
          <w:color w:val="auto"/>
          <w:sz w:val="32"/>
          <w:szCs w:val="32"/>
          <w:highlight w:val="none"/>
          <w:lang w:val="en-US" w:eastAsia="zh-CN"/>
        </w:rPr>
        <w:t>年初预算反映，县委政法委2024年预算收入合计745.23万元，上年结转结余0.00万元，无预算调整。本年收入745.23万元，全部为一般公共预算财政拨款收入。</w:t>
      </w:r>
    </w:p>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决算报表反映，县委政法委2024年决算收入合计809.17万元，全部为一般公共预算财政拨款收入，无年初结转和结余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73" w:name="_Toc18390"/>
      <w:bookmarkStart w:id="74" w:name="_Toc24721"/>
      <w:bookmarkStart w:id="75" w:name="_Toc10837"/>
      <w:bookmarkStart w:id="76" w:name="_Toc13841"/>
      <w:bookmarkStart w:id="77" w:name="_Toc809"/>
      <w:bookmarkStart w:id="78" w:name="_Toc109483839"/>
      <w:bookmarkStart w:id="79" w:name="_Toc1457008154"/>
      <w:r>
        <w:rPr>
          <w:rFonts w:hint="default" w:ascii="Times New Roman" w:hAnsi="Times New Roman" w:eastAsia="方正仿宋_GB2312" w:cs="Times New Roman"/>
          <w:color w:val="auto"/>
          <w:sz w:val="32"/>
          <w:szCs w:val="32"/>
          <w:highlight w:val="none"/>
          <w:lang w:val="en-US" w:eastAsia="zh-CN"/>
        </w:rPr>
        <w:t>年初预算反映，县委政法委2024年预算支出合计745.23万元，无年末结转和结余。本年支出中：基本支出368.23万元（人员经费320.43万元、公用经费47.80万元），项目支出377.00万元。</w:t>
      </w:r>
    </w:p>
    <w:p w14:paraId="70A2FEF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决算报表反映，县委政法委2024年决算支出合计809.17万元，均为本年支出，无年末结转和结余。本年支出中：基本支出369.40万元（人员经费325.31万元、公用经费44.08万元），项目支出439.78万元。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决算报表反映，县委政法委2024年末无结余分配和结转结余。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6353"/>
      <w:bookmarkStart w:id="81" w:name="_Toc10974"/>
      <w:bookmarkStart w:id="82" w:name="_Toc7705"/>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3573"/>
      <w:bookmarkStart w:id="84" w:name="_Toc19300"/>
      <w:bookmarkStart w:id="85" w:name="_Toc22633"/>
      <w:bookmarkStart w:id="86" w:name="_Toc29501"/>
      <w:bookmarkStart w:id="87" w:name="_Toc1418"/>
      <w:bookmarkStart w:id="88" w:name="_Toc2801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19CB87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11959"/>
      <w:bookmarkStart w:id="91" w:name="_Toc132"/>
      <w:r>
        <w:rPr>
          <w:rFonts w:hint="default" w:ascii="Times New Roman" w:hAnsi="Times New Roman" w:eastAsia="方正仿宋_GB2312" w:cs="Times New Roman"/>
          <w:color w:val="auto"/>
          <w:sz w:val="32"/>
          <w:szCs w:val="32"/>
          <w:highlight w:val="none"/>
          <w:lang w:val="en-US" w:eastAsia="zh-CN"/>
        </w:rPr>
        <w:t>一是全力维护政治安全。聚焦铸牢中华民族共同体意识、意识形态、网络安全等领域，多点多向发力落实践行总体国家安全观，大力推动《维护社会稳定责任制规定》落实。建立健全“两个斗争”体系，密切关注涉藏涉宗教等风险，严密防范敌对势力渗透颠覆破坏活动，推动反恐怖反分裂斗争，持续加大“法轮功”“全能神”、韩国“统一教”等非法组织打击防范力度，进一步筑牢织密反渗透、反分裂、反颠覆、反邪教防线，不断提升应对更大风浪考验能力，有效防范各类政治安全风险。牢固树立“防范万一风险做好万全准备”的理念，紧扣“源头固稳”，始终把维护安全稳定作为首要政治任务抓牢抓实抓好，圆满完成重大事件、敏感时期、重要时段等安保维稳任务。强化风险防控能力，发动“红城义警”、网格员等综治力量，健全点点联动、警企联动、警民联巡群防共管机制，织密“点线面”防控体系，压缩各类违法犯罪活动滋生的时间和空间。依规对18个县内重大项目、重点工程、重要政策进行了社会稳定风险评估备案，成功妥善处置泸定县水电资源开发惠民补助集中反映诉求突发事件，依法及时稳妥处置涉水电移民负面网络舆情案件。</w:t>
      </w:r>
    </w:p>
    <w:p w14:paraId="08FFD42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是持续夯实平安建设基石。坚持和发展新时代“枫桥经验”，建成全州首个县级矛盾纠纷多元化解“一站式中心”并发挥特殊作用，成功化解硬梁包电站拆迁补偿、咱里村“5·10”火情灾损补偿等一批重大突出矛盾纠纷，累计受理1141件各类矛盾纠纷，化解率达100%，全州矛盾纠纷多元化解“一站式中心”现场会在泸举办。紧盯群众最盼、最急、最忧突出问题，持续深化以“扫黑恶、治电诈、打盗窃、禁毒品、护民生”为重点的专项行动，涉毒刑事案件同比下降33%，全年刑事案件发案率同比下降3.29%；电信诈骗发案率同比下降7.31%，道路交通事故同比下降10.2%，死亡人数同比下降 50%。</w:t>
      </w:r>
    </w:p>
    <w:p w14:paraId="1434557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三是创新推进社会治理。着力推进综治中心实体化规范化建设，扎实推进网格化服务管理，2024年新招录16名专职网格员（目前共有网格员125人，专职40人，兼职85人），不断夯实社会稳定的群众基础。持续巩固拓展“民族团结进家庭·三房治理保平安”成果，聚焦“以房管人，以房服务，以房守底”工作要求，组建三级工作专班，充实“五服管家”队伍，提升基层治理服务质效。创新“9+1+1”治理模式，将房车营地、应急避灾场所纳入“三房治理”房屋管理服务范围，有效提升“流动人”“移动房”“特殊房”治理效能，该项经验做法被中国长安网推介；制定《县域内违法建设专项整治行动工作方案》，城乡规划、土地管理和建房秩序持续好转；构建“一项目一警长、一工地一法官”的工作模式，成功破获硬梁包电站柴油被盗案等涉工程项目案件4件，挽回企业损失110余万元；开发投运全省首个以村为单位的数字地灾监测预警系统“高山卫士”，探索将房屋治理数据与预警系统相结合，提升基层治理数字化水平。</w:t>
      </w:r>
    </w:p>
    <w:p w14:paraId="5117741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四是持续深化扫黑除恶常态化成果。进一步推动扫黑除恶斗争常态化发展，不断建立健全打击防范治理黑恶势力犯罪长效机制，以缉枪治爆、禁毒、打击网络诈骗、养老诈骗等为重点，开展宣传培训89场次；侦办九类涉恶刑事案件5起，破获4起。深入推进工程建设、交通运输、市场流通、自然资源“四大重点行业”乱象整治，受理涉企诉讼案件357件，优化法治化营商环境专项行动取得突出成效；持续推进防范打击侵害未成年人违法犯罪暨校园周边综合治理专项行动，建立“反校园霸凌‘连心桥’”，精心打造深耕善治校园警务“泸定样板”，全力护航未成年人健康成长，全年侦办侵害未成年人案件3件3人，无未成年人犯罪案件发生。</w:t>
      </w:r>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五是全面抓实政法队伍建设。坚持政治建警铸魂，筑牢绝对忠诚信念，深入扎实开展党纪学习教育，截至目前，累计召开党委（党组）理论学习中心组研学52次，集中学习187次，深入贯彻落实《中国共产党政法工作条例》及省州实施细则和《党委（党组）落实全面从严治党主体责任规定》，推进政法系统述职述廉、政治轮训、重大事项请示报告制度。进一步完善舆情预警研判等意识形态工作责任制，提高舆论应对能力。健全完善“线上+线下”立体化培训体系，组织开展“泸定－蒲江”交往交流交融活动1批次37人。落实重大节日走访慰问、生日慰问、休假、体检、困难帮扶等一系列关心关爱措施。</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6926"/>
      <w:bookmarkStart w:id="94" w:name="_Toc4650"/>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24081"/>
      <w:bookmarkStart w:id="97" w:name="_Toc6491"/>
      <w:r>
        <w:rPr>
          <w:rFonts w:hint="default" w:ascii="Times New Roman" w:hAnsi="Times New Roman" w:eastAsia="方正仿宋_GB2312" w:cs="Times New Roman"/>
          <w:color w:val="auto"/>
          <w:sz w:val="32"/>
          <w:szCs w:val="32"/>
          <w:highlight w:val="none"/>
          <w:lang w:val="en-US" w:eastAsia="zh-CN"/>
        </w:rPr>
        <w:t>县委政法委2024年认真落实中央、省、州纪委全会部署安排，重点完成以下工作任务：</w:t>
      </w:r>
    </w:p>
    <w:p w14:paraId="66020E6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大力实施政治建设提升工程，持续锻造坚不可摧的新时代政法铁军。聚力推进“三抓”“五建”“十行动”，坚持问题导向，纠治作风顽疾，振奋实干精神，确保泸定政法底色永葆鲜亮，为护航经济社会高质量发展提供高质量的法治保障。一要把铸牢政治忠诚放在首位。坚决捍卫“两个确立”，增强“四个意识”、坚定“四个</w:t>
      </w:r>
      <w:r>
        <w:rPr>
          <w:rFonts w:hint="eastAsia" w:ascii="Times New Roman" w:hAnsi="Times New Roman" w:eastAsia="方正仿宋_GB2312" w:cs="Times New Roman"/>
          <w:color w:val="auto"/>
          <w:sz w:val="32"/>
          <w:szCs w:val="32"/>
          <w:highlight w:val="none"/>
          <w:lang w:val="en-US" w:eastAsia="zh-CN"/>
        </w:rPr>
        <w:t>自信”、做到“两个维护”</w:t>
      </w:r>
      <w:r>
        <w:rPr>
          <w:rFonts w:hint="default" w:ascii="Times New Roman" w:hAnsi="Times New Roman" w:eastAsia="方正仿宋_GB2312" w:cs="Times New Roman"/>
          <w:color w:val="auto"/>
          <w:sz w:val="32"/>
          <w:szCs w:val="32"/>
          <w:highlight w:val="none"/>
          <w:lang w:val="en-US" w:eastAsia="zh-CN"/>
        </w:rPr>
        <w:t>。坚定用习近平新时代中国特色社会主义思想凝心铸魂，巩固拓展主题教育成果，系统化、常态化学习《中国共产党章程》、党的二十大及省州县委系列重要会议精神和《维护社会稳定责任制规定》等，用好用活“政法大讲堂”等机制载体，引领政法队伍政治站位更高远、政治眼光更敏锐，把忠诚刻进政法</w:t>
      </w:r>
      <w:r>
        <w:rPr>
          <w:rFonts w:hint="eastAsia" w:ascii="Times New Roman" w:hAnsi="Times New Roman" w:eastAsia="方正仿宋_GB2312" w:cs="Times New Roman"/>
          <w:color w:val="auto"/>
          <w:sz w:val="32"/>
          <w:szCs w:val="32"/>
          <w:highlight w:val="none"/>
          <w:lang w:val="en-US" w:eastAsia="zh-CN"/>
        </w:rPr>
        <w:t>干警骨子里</w:t>
      </w:r>
      <w:r>
        <w:rPr>
          <w:rFonts w:hint="default" w:ascii="Times New Roman" w:hAnsi="Times New Roman" w:eastAsia="方正仿宋_GB2312" w:cs="Times New Roman"/>
          <w:color w:val="auto"/>
          <w:sz w:val="32"/>
          <w:szCs w:val="32"/>
          <w:highlight w:val="none"/>
          <w:lang w:val="en-US" w:eastAsia="zh-CN"/>
        </w:rPr>
        <w:t>、融到政法</w:t>
      </w:r>
      <w:r>
        <w:rPr>
          <w:rFonts w:hint="eastAsia" w:ascii="Times New Roman" w:hAnsi="Times New Roman" w:eastAsia="方正仿宋_GB2312" w:cs="Times New Roman"/>
          <w:color w:val="auto"/>
          <w:sz w:val="32"/>
          <w:szCs w:val="32"/>
          <w:highlight w:val="none"/>
          <w:lang w:val="en-US" w:eastAsia="zh-CN"/>
        </w:rPr>
        <w:t>干警血液</w:t>
      </w:r>
      <w:r>
        <w:rPr>
          <w:rFonts w:hint="default" w:ascii="Times New Roman" w:hAnsi="Times New Roman" w:eastAsia="方正仿宋_GB2312" w:cs="Times New Roman"/>
          <w:color w:val="auto"/>
          <w:sz w:val="32"/>
          <w:szCs w:val="32"/>
          <w:highlight w:val="none"/>
          <w:lang w:val="en-US" w:eastAsia="zh-CN"/>
        </w:rPr>
        <w:t>中、落实在政法</w:t>
      </w:r>
      <w:r>
        <w:rPr>
          <w:rFonts w:hint="eastAsia" w:ascii="Times New Roman" w:hAnsi="Times New Roman" w:eastAsia="方正仿宋_GB2312" w:cs="Times New Roman"/>
          <w:color w:val="auto"/>
          <w:sz w:val="32"/>
          <w:szCs w:val="32"/>
          <w:highlight w:val="none"/>
          <w:lang w:val="en-US" w:eastAsia="zh-CN"/>
        </w:rPr>
        <w:t>干警行动</w:t>
      </w:r>
      <w:r>
        <w:rPr>
          <w:rFonts w:hint="default" w:ascii="Times New Roman" w:hAnsi="Times New Roman" w:eastAsia="方正仿宋_GB2312" w:cs="Times New Roman"/>
          <w:color w:val="auto"/>
          <w:sz w:val="32"/>
          <w:szCs w:val="32"/>
          <w:highlight w:val="none"/>
          <w:lang w:val="en-US" w:eastAsia="zh-CN"/>
        </w:rPr>
        <w:t>上，确保在大是大非面前旗帜鲜明，在风浪考验面前无所畏惧，在各种诱惑面前立场坚定，在关键时刻靠得住、信得过、能放心。二要把推进全覆盖式培训落到实处。进一步健全、完善政法力量轮训培训机制体制，依托“四川泸定—浙江拱野”“泸定—蒲江”三交载体，紧扣斗争精神、人民立场、法治精神等重要能力建设需求，组织开展新一轮政法领导干部集中轮训、基层政法力量集中培训、交流交往交融专题培训。蓄力抓好《中国共产党政法工作条例》及实施细则的贯彻落实，坚持践行党对政法工作绝对领导，确保面对重大政治考验，必须旗帜鲜明、挺身而出，绝不当“骑墙派”；面对歪风邪气，必须敢于亮剑、坚决斗争，绝不听之任之；面对急难险重任务，必须豁得出来、顶得上去，绝不畏缩不前。三要坚守清廉公正底线。强化纪律约束力，建立健全政法干部干警政治素质档案，扎实推进“六廉同建”，即反省问廉、学习育廉、文化润廉、以案促廉、制度固廉、合纵践廉。真正把纪律和规矩挺在前面，抓早抓小、防微杜渐。切实落实省委巡视、县委巡察政法工作提出的各项要求，坦诚接受组织的全方位“体检”。健全完善执法司法权运行监督制度机制，以“零容忍”态度反对司法不公、司法腐败。</w:t>
      </w:r>
    </w:p>
    <w:p w14:paraId="2BF2185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大力实施作战提质工程，持续汇聚攻坚克难的新时代政法力量。切实加大政法队伍应急处突这一特殊战斗能力建设，不折不扣贯彻落实好习近平总书记“要始终把维护社会稳定摆在首位，加强抓稳定和促发展两方面工作的统筹结合，以稳定确保发展，以发展促进稳定”的重要指示，严格执行《维护社会稳定责任制规定》。一要紧扣政治安全要务，确保打赢反恐维稳“持久战”。铸牢中华民族共同体意识，进一步健全完善应对更大风浪考验体系建设，坚决打好维护国家政治安全整体战、主动仗，切实防止发生危害国家政治安全案（事）件。统筹加强维稳力量建设，强化重点群体、关键人物动态管理，将持续深化反渗透、反分裂、反破坏、反邪教活动与“民族团结进家庭”相结合，进一步加强情报信息体系建设，延伸情报信息末梢、提升感知研判和应急处突能力。严格落实重大决策社会稳定风险评估制度，健全完善社会力量共同参与、职能部门齐抓共管的矛盾纠纷多元化解、社会矛盾风险防控协同机制，健全落实大事件“复盘”机制，最大限度把矛盾隐患化解在基层、消灭在萌芽状态。二要紧扣社会稳定大局，持续推进长治久安“总体战”。持续强化警务运行体制机制建设，以实际行动助力平安建设满意度稳步提升；持续深化禁毒防艾成效，强化卡点查缉，切实加大黄赌毒等乱象乱点整治力度，重拳出击、严厉打击侵害群众合法权益的行为；践行“生命至上”理念，持续深化道路交通安全，推进“一盔一带”治理，整治超速、超载、飙车等违规行为；加大易燃、易爆、危化等危险品管控、管制，最大限度降低公共安全事故隐患，严防公共安全事故发生。</w:t>
      </w:r>
    </w:p>
    <w:p w14:paraId="244AF3E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大力实施治理提效工程，持续挥洒润物无声的新时代政法暖流。深刻领悟习近平总书记构建人人参与、人人负责、人人奉献、人人共享的城市治理共同体，打通服务群众的“最后一公里”社会治理的重要论述，始终坚持人民主体地位，始终把人民放在心中最高位置，牢记党的宗旨，站稳群众立场，切实解决好“权从何来、为谁执法”的问题，把人民满意作为衡量政法工作和政法干部队伍建设的根本标准，让人民群众在每一件事项中感受政法暖流。一要持续深化执法司法制约监督体系建设。持续建立健全党对执法司法工作的领导监督机制、政法部门之间相互制约监督机制、政法各系统内部制约监督机制、社会监督机制、智能化管理监督机制等；持续开展“万案大评查”“减刑、假释、暂予监外执行”案件核查和执法司法巡察，推进审执分离体制改革，加强检察机关法律监督工作，落实公安机关受立案管理制度和刑事案件统一审核、统一出口工作机制。二要持续巩固提升社会治理成效。保持市域社会治理现代化示范创建成功的激情和斗志，加力加压推进社会治理。推进法治服务营商环境护航重点项目行动，重点防范化解重大项目建设、群众关心关注的重大事项中的各类风险；纵深推进防范打击侵害未成年人违法犯罪暨校园周边综合治理专项行动，建立健全未成年人健康成长保障体制机制，持续推进国家安全教育、心理健康教育“进校园”。加快推进立体化智能化社会治安防控体系建设，用好物业、城乡网格、社会组织和群防群治等力量，发挥好综治中心、“雪亮工程”作用，把信息触角延伸到社会治理末端。坚持好发展好新时代“枫桥经验”，依托矛盾纠纷多元化解和诉讼服务“双中心”平台，妥善处置民众纠纷及诉求。推动三防治理保平安专项行动，以房管人、以房服务、以房守底，全覆盖构建信息精准、人房相符、权责明晰的常态联动管理机制，更好地为人民群众提供更加精准的法治服务。纵深推进常态化扫黑除恶斗争，坚持有黑扫黑、有恶除恶、有乱治乱原则，紧盯社会治安重点地区和突出风险隐患，持续推进缉枪治爆、命案治理等专项行动，强化重点行业领域全链条整治，依法严厉打击黑恶犯罪，坚决铲除黑恶滋生土壤。不断深化“八五”普法成果，推进诚信体系建设，持续聚焦灾后重建、水电移民、民工工资保障、电信网络诈骗、高利贷、套路贷等涉众利益领域治理，确保人民群众合法权益得到有力保障，确保人民群众“钱袋子”安全。</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21154"/>
      <w:bookmarkStart w:id="99" w:name="_Toc13068"/>
      <w:bookmarkStart w:id="100" w:name="_Toc32189"/>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11694"/>
      <w:bookmarkStart w:id="102" w:name="_Toc28828"/>
      <w:bookmarkStart w:id="103" w:name="_Toc7521"/>
      <w:bookmarkStart w:id="104" w:name="_Toc24977"/>
      <w:bookmarkStart w:id="105" w:name="_Toc24619"/>
      <w:bookmarkStart w:id="106" w:name="_Toc29571"/>
      <w:bookmarkStart w:id="107" w:name="_Toc8903"/>
      <w:bookmarkStart w:id="108" w:name="_Toc428273082"/>
      <w:bookmarkStart w:id="109" w:name="_Toc4199"/>
      <w:bookmarkStart w:id="110" w:name="_Toc109483840"/>
      <w:bookmarkStart w:id="111" w:name="_Toc27305"/>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县委政法委</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16416"/>
      <w:bookmarkStart w:id="113" w:name="_Toc23900"/>
      <w:bookmarkStart w:id="114" w:name="_Toc3794"/>
      <w:bookmarkStart w:id="115" w:name="_Toc4385"/>
      <w:bookmarkStart w:id="116" w:name="_Toc24380"/>
      <w:bookmarkStart w:id="117" w:name="_Toc30977"/>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4年度，县委政法委</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，纵深推进纪检监察工作高质量发展有力助推泸定政治生态实现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default" w:ascii="Times New Roman" w:hAnsi="Times New Roman" w:eastAsia="方正仿宋_GB2312" w:cs="Times New Roman"/>
          <w:color w:val="auto"/>
          <w:sz w:val="32"/>
          <w:szCs w:val="32"/>
          <w:highlight w:val="none"/>
          <w:lang w:val="en-US" w:eastAsia="zh-CN"/>
        </w:rPr>
        <w:t>，县委政法委在维持部门运转的基础上，完成了部门职责范围内的各项工作，部门履职情况较好。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按照设定的评价指标体系，通过对县委政法委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4年度县委政法委部门整体支出绩效评价指标分值100.00分，得分90.33分。详见下表：</w:t>
      </w:r>
    </w:p>
    <w:p w14:paraId="586E1AED">
      <w:pPr>
        <w:keepNext/>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县委政法委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633F9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C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687911260"/>
            <w:bookmarkStart w:id="122" w:name="_Toc16394"/>
            <w:bookmarkStart w:id="123" w:name="_Toc109483841"/>
            <w:bookmarkStart w:id="124" w:name="_Toc26985"/>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EF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0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37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D64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A21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71111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B63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224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FC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4D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6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8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70A9D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29A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519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95C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1D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27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16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2F1F0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95C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E1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26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D18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D6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3D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04F82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845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CB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21A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F2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936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D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4E26F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A2F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05B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94D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5B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14A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E9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4A77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AA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CEE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A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506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6E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2.19</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B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2.81</w:t>
            </w:r>
          </w:p>
        </w:tc>
      </w:tr>
      <w:tr w14:paraId="31338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D9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3A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B8E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13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39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1.38</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AD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18.62</w:t>
            </w:r>
          </w:p>
        </w:tc>
      </w:tr>
      <w:tr w14:paraId="0002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CDA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62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0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F1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39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0C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27.9</w:t>
            </w:r>
          </w:p>
        </w:tc>
      </w:tr>
      <w:tr w14:paraId="00348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23C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9B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1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B7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4C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69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30DBE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D17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79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3D5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52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00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9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12645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1F9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FA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CDA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A6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1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C6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3A54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5F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7C0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4C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C3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8A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B9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B8D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0F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29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FF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9.67</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1C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90.33</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县委政法委</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。通过评价组对县委政法委进行事后评价，最终县委政法委绩效等级为“优”。秉承科学公正、统筹兼顾、激励约束和公开透明财政绩效原则。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建议泸定县财政局针对部门预算绩效管理，进一步要求县委政法委完善绩效目标编制、提高绩效自评质量、加强年初预算编制准确性。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26977"/>
      <w:bookmarkStart w:id="129" w:name="_Toc6100"/>
      <w:bookmarkStart w:id="130" w:name="_Toc1139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政法委在泸定县人民政府门户网站公开的2024年度部门预算和绩效目标，制定了年度部门及项目整体支出绩效目标，绩效目标涵盖数量、质量、时效、效益等指标，但存在绩效目标指标设置不明确、不完整，项目绩效目标未根据当年年度绩效目标更新、项目指标设置要素缺失等情况。扣除2.00分。</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政法委提供的2024年度年初预算项目绩效目标申报表及项目完成资料，县委政法委整体涉及5个数量指标、1个质量指标、1个时效指标、1个成本指标、2个社会效益指标、1个经济效益指标、1个满意度指标。根据现场评价情况，实际完成5个数量指标，完成率100%；实际完成1个成本指标，完成率100%。</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委政法委1—6月预算数816.30万元，实际执行数707.21万元，进度为86.64%；1—9月预算数879.99万元，实际执行数737.38万元，进度为83.79%；1—11月预算数912.35万元，实际执行数764.26万元，进度为83.77%。</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2024年县委政法委预算项目16个，根据被评价单位提供的可执行指标执行情况表，预算调整项目4个，均随预算调整同步完成绩效目标调整。</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2024年泸定县委巡察反馈县委政法委存在议事决策程序不严谨、部分“三重一大”事项未集体研究；财经纪律执行不严格、管理有漏洞；项目管理不到位，廉政风险高；干部管理不到位、监管有漏洞；对巡察反馈问题整改重视不够等问题。县委政法委已根据县委泸定巡察反馈问题制定了整改方案并逐步整改中。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根据县委政法委2024年度决算报表与可执行指标执行情况表被评价单位2024年度预算项目共计16个，部门预算项目资金结余率小于10%有9个，大于10%有7个。</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本项分值为5.00分，扣2.19分，得分为2.81分。</w:t>
      </w:r>
    </w:p>
    <w:p w14:paraId="38BE5ED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政法委部门预算项目共16个，涉及预算资金578.20万元，评价组抽取项目的绩效评价指标体系均采用《2025年泸定县部门整体支出绩效评价指标体系》，抽取的项目为“雪亮工程”租赁费、市域治理专项经费、智慧政法，抽取项目预算资金356.00万元。经评价小组复核评分，抽查的预算项目平均得分93.11分。</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本项分值为20.00分，扣1.38分，得分为18.62分。</w:t>
      </w:r>
    </w:p>
    <w:p w14:paraId="3B1C687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政法委专项预算项目3个，评价组抽取专项预算项目1个，抽取项目预算资金57.40万元，抽取项目为“双中心”（多元调解诉讼服务中心）改造提升工程项目。经评价小组复核评分，抽查的预算项目平均得分93.00分。</w:t>
      </w:r>
    </w:p>
    <w:p w14:paraId="7C50EB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本项分值为30.00分，扣2.10分，得分为27.90分。</w:t>
      </w:r>
    </w:p>
    <w:p w14:paraId="6B552CA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截至评价日，县委政法委已制定《内部控制规范建设手册汇编》，包含《预算业务管理制度》《收支业务管理制度》等制度，但单位绩效管理情况未纳入内部考核体系且内部绩效结果未与预算挂钩。</w:t>
      </w:r>
    </w:p>
    <w:p w14:paraId="26F62B8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委政法委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①问题整改。2024年度，县委政法委已根据县委泸定巡察反馈问题制定了整改方案并逐步整改中。</w:t>
      </w:r>
    </w:p>
    <w:p w14:paraId="0E6FAB3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②应用反馈。2024年度，县委政法委在规定时间内向财政部门反馈绩效结果应用报告，报告内容翔实、问题整改到位、结果应用充分。</w:t>
      </w:r>
    </w:p>
    <w:p w14:paraId="192AD22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政法委2024年部门整体支出绩效自评得分85分（不包括“自评质量”指标分值，满分为94分），根据现场评价情况，评价组对县委政法委的考评得分84.33分（不包括“自评质量”指标分值，满分为94分），自评差异率0.79%，低于10.00%。</w:t>
      </w:r>
    </w:p>
    <w:p w14:paraId="62CC15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7306"/>
      <w:bookmarkStart w:id="132" w:name="_Toc5060"/>
      <w:bookmarkStart w:id="133" w:name="_Toc21218"/>
      <w:bookmarkStart w:id="134" w:name="_Toc4350"/>
      <w:bookmarkStart w:id="135" w:name="_Toc30339"/>
      <w:bookmarkStart w:id="136" w:name="_Toc30515"/>
      <w:bookmarkStart w:id="137" w:name="_Toc823448808"/>
      <w:bookmarkStart w:id="138" w:name="_Toc14032"/>
      <w:bookmarkStart w:id="139" w:name="_Toc25603"/>
      <w:bookmarkStart w:id="140" w:name="_Toc248033833"/>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15651"/>
      <w:bookmarkStart w:id="144" w:name="_Toc3240"/>
      <w:bookmarkStart w:id="145" w:name="_Toc464104487"/>
      <w:bookmarkStart w:id="146" w:name="_Toc31629"/>
      <w:bookmarkStart w:id="147" w:name="_Toc22968"/>
      <w:bookmarkStart w:id="148" w:name="_Toc10426"/>
      <w:bookmarkStart w:id="149" w:name="_Toc771997543"/>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评价中发现，县委政法委2024年部门综合绩效目标与个别预算项目绩效目标均不同程度存在编制不规范，指标设置不够科学准确、具体明确等问题，导致绩效目标科学性、合理性不够强，不便于考核评价。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74026EB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2024年，县委政法委已编报《部门（单位）整体支出绩效目标申报表》，绩效目标随预算已上报人大完成审核，但未对部门整体项目进行集体决策，未将部门绩效目标纳入集体决策范围。</w:t>
      </w:r>
    </w:p>
    <w:p w14:paraId="0F284CBB">
      <w:pPr>
        <w:pStyle w:val="26"/>
        <w:rPr>
          <w:rFonts w:hint="default" w:ascii="Times New Roman" w:hAnsi="Times New Roman" w:eastAsia="仿宋" w:cs="Times New Roman"/>
          <w:bCs/>
          <w:kern w:val="2"/>
          <w:sz w:val="32"/>
          <w:szCs w:val="32"/>
          <w:highlight w:val="yellow"/>
          <w:lang w:val="en-US" w:eastAsia="zh-CN" w:bidi="ar-SA"/>
        </w:rPr>
      </w:pP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（三）项目预算结余率较高</w:t>
      </w:r>
    </w:p>
    <w:p w14:paraId="3C777A0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根据县委政法委2024年度决算报表与可执行指标执行情况表被评价单位2024年度预算项目共计16个，部门预算项目资金结余率小于10%有9个，大于10%有7个。预算结余率为43.75%。</w:t>
      </w:r>
    </w:p>
    <w:p w14:paraId="6BA6023F">
      <w:pPr>
        <w:pStyle w:val="26"/>
        <w:rPr>
          <w:rFonts w:hint="default" w:ascii="Times New Roman" w:hAnsi="Times New Roman" w:cs="Times New Roman"/>
          <w:bCs/>
          <w:kern w:val="2"/>
          <w:sz w:val="32"/>
          <w:szCs w:val="32"/>
          <w:highlight w:val="yellow"/>
          <w:lang w:val="en-US" w:eastAsia="zh-CN" w:bidi="ar-SA"/>
        </w:rPr>
      </w:pP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截至评价日，县委政法委已制定《内部控制规范建设手册汇编》，包含《预算业务管理制度》《收支业务管理制度》等制度，但单位绩效管理情况未纳入内部考核体系且内部绩效结果未与预算挂钩。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9227"/>
      <w:bookmarkStart w:id="151" w:name="_Toc5324"/>
      <w:bookmarkStart w:id="152" w:name="_Toc22775"/>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（三）提高预算执行率</w:t>
      </w:r>
    </w:p>
    <w:p w14:paraId="4585449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（四）</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7DCAA2F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1"/>
    <w:bookmarkEnd w:id="142"/>
    <w:p w14:paraId="5E24A6C6">
      <w:pPr>
        <w:pStyle w:val="17"/>
        <w:ind w:firstLine="0" w:firstLineChars="0"/>
        <w:rPr>
          <w:rFonts w:hint="default" w:ascii="Times New Roman" w:hAnsi="Times New Roman" w:cs="Times New Roman"/>
          <w:sz w:val="32"/>
          <w:szCs w:val="32"/>
          <w:lang w:eastAsia="zh-CN"/>
        </w:rPr>
      </w:pPr>
    </w:p>
    <w:p w14:paraId="085E148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textAlignment w:val="auto"/>
        <w:rPr>
          <w:rFonts w:hint="default" w:ascii="Times New Roman" w:hAnsi="Times New Roman" w:eastAsia="方正仿宋_GB2312" w:cs="Times New Roman"/>
          <w:color w:val="auto"/>
          <w:sz w:val="32"/>
          <w:szCs w:val="32"/>
          <w:highlight w:val="none"/>
          <w:lang w:val="en-US" w:eastAsia="zh-CN"/>
        </w:rPr>
      </w:pPr>
      <w:bookmarkStart w:id="153" w:name="_Toc3238"/>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中共泸定县委政法委员会部门整体支出绩效评价指标体系表（评分表）</w:t>
      </w:r>
      <w:bookmarkEnd w:id="153"/>
    </w:p>
    <w:p w14:paraId="1EA4528E">
      <w:pPr>
        <w:pStyle w:val="7"/>
        <w:rPr>
          <w:rFonts w:hint="default" w:ascii="Times New Roman" w:hAnsi="Times New Roman" w:eastAsia="仿宋" w:cs="Times New Roman"/>
          <w:b w:val="0"/>
          <w:bCs w:val="0"/>
          <w:color w:val="auto"/>
          <w:sz w:val="32"/>
          <w:szCs w:val="32"/>
          <w:highlight w:val="none"/>
          <w:lang w:val="en-US" w:eastAsia="zh-CN"/>
        </w:rPr>
      </w:pPr>
    </w:p>
    <w:p w14:paraId="395A3C97">
      <w:pPr>
        <w:ind w:left="0" w:leftChars="0" w:firstLine="0" w:firstLineChars="0"/>
        <w:jc w:val="both"/>
        <w:rPr>
          <w:rFonts w:hint="default" w:ascii="Times New Roman" w:hAnsi="Times New Roman" w:eastAsia="方正仿宋_GB2312" w:cs="Times New Roman"/>
          <w:sz w:val="32"/>
          <w:szCs w:val="32"/>
          <w:highlight w:val="none"/>
          <w:lang w:val="en-US" w:eastAsia="zh-CN"/>
        </w:rPr>
      </w:pPr>
    </w:p>
    <w:p w14:paraId="66455E10">
      <w:pPr>
        <w:rPr>
          <w:rFonts w:hint="default" w:ascii="Times New Roman" w:hAnsi="Times New Roman" w:cs="Times New Roman"/>
          <w:sz w:val="28"/>
          <w:szCs w:val="28"/>
          <w:highlight w:val="none"/>
          <w:lang w:val="en-US" w:eastAsia="zh-CN"/>
        </w:rPr>
      </w:pPr>
      <w:r>
        <w:rPr>
          <w:rFonts w:hint="default" w:ascii="Times New Roman" w:hAnsi="Times New Roman" w:eastAsia="方正仿宋_GB2312" w:cs="Times New Roman"/>
          <w:b w:val="0"/>
          <w:bCs w:val="0"/>
          <w:sz w:val="32"/>
          <w:szCs w:val="32"/>
          <w:highlight w:val="none"/>
          <w:lang w:eastAsia="zh-CN"/>
        </w:rPr>
        <w:t>　　　</w:t>
      </w: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泸定县财政局</w:t>
      </w:r>
    </w:p>
    <w:p w14:paraId="33C877FD">
      <w:pPr>
        <w:spacing w:line="600" w:lineRule="exact"/>
        <w:ind w:firstLine="640"/>
        <w:jc w:val="right"/>
        <w:rPr>
          <w:rFonts w:hint="default" w:ascii="Times New Roman" w:hAnsi="Times New Roman" w:eastAsia="方正仿宋_GB2312" w:cs="Times New Roman"/>
          <w:b w:val="0"/>
          <w:bCs w:val="0"/>
          <w:sz w:val="28"/>
          <w:szCs w:val="28"/>
          <w:highlight w:val="none"/>
          <w:lang w:eastAsia="zh-CN"/>
        </w:rPr>
      </w:pPr>
      <w:r>
        <w:rPr>
          <w:rFonts w:hint="default" w:ascii="Times New Roman" w:hAnsi="Times New Roman" w:eastAsia="方正仿宋_GB2312" w:cs="Times New Roman"/>
          <w:sz w:val="32"/>
          <w:szCs w:val="32"/>
          <w:highlight w:val="none"/>
        </w:rPr>
        <w:t>　　　　　　　　　　　2025年11月11日</w:t>
      </w:r>
      <w:bookmarkStart w:id="154" w:name="_GoBack"/>
      <w:bookmarkEnd w:id="154"/>
    </w:p>
    <w:p w14:paraId="684009E6">
      <w:pPr>
        <w:rPr>
          <w:rFonts w:hint="default" w:ascii="Times New Roman" w:hAnsi="Times New Roman"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6E2A2FF9-60A4-4AF0-874E-A211ABBAC484}"/>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9A2FC80A-B26C-462C-8328-9B4BF1FC0B07}"/>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3" w:fontKey="{DA934755-F904-4909-8C9D-FCD12F941447}"/>
  </w:font>
  <w:font w:name="方正仿宋_GB2312">
    <w:panose1 w:val="02000000000000000000"/>
    <w:charset w:val="86"/>
    <w:family w:val="auto"/>
    <w:pitch w:val="default"/>
    <w:sig w:usb0="A00002BF" w:usb1="184F6CFA" w:usb2="00000012" w:usb3="00000000" w:csb0="00040001" w:csb1="00000000"/>
    <w:embedRegular r:id="rId4" w:fontKey="{E15FC9AB-DF52-43FC-806B-03ED1224B43A}"/>
  </w:font>
  <w:font w:name="方正黑体简体">
    <w:panose1 w:val="03000509000000000000"/>
    <w:charset w:val="86"/>
    <w:family w:val="auto"/>
    <w:pitch w:val="default"/>
    <w:sig w:usb0="00000001" w:usb1="080E0000" w:usb2="00000000" w:usb3="00000000" w:csb0="00040000" w:csb1="00000000"/>
    <w:embedRegular r:id="rId5" w:fontKey="{FC5DB28E-87E6-4902-BF4C-FB1583097F53}"/>
  </w:font>
  <w:font w:name="方正楷体简体">
    <w:panose1 w:val="03000509000000000000"/>
    <w:charset w:val="86"/>
    <w:family w:val="auto"/>
    <w:pitch w:val="default"/>
    <w:sig w:usb0="00000001" w:usb1="080E0000" w:usb2="00000000" w:usb3="00000000" w:csb0="00040000" w:csb1="00000000"/>
    <w:embedRegular r:id="rId6" w:fontKey="{28A3E425-CFAD-43BD-97AB-B173405DE0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8212C5"/>
    <w:rsid w:val="02B56978"/>
    <w:rsid w:val="02BC1AB4"/>
    <w:rsid w:val="02BC3862"/>
    <w:rsid w:val="02EB239A"/>
    <w:rsid w:val="031D77B8"/>
    <w:rsid w:val="03435D32"/>
    <w:rsid w:val="034B0AC6"/>
    <w:rsid w:val="03BD26AA"/>
    <w:rsid w:val="03C46413"/>
    <w:rsid w:val="03F043C9"/>
    <w:rsid w:val="03F5560D"/>
    <w:rsid w:val="05217407"/>
    <w:rsid w:val="05370DC3"/>
    <w:rsid w:val="05704583"/>
    <w:rsid w:val="05AE5131"/>
    <w:rsid w:val="0627193B"/>
    <w:rsid w:val="069B1F26"/>
    <w:rsid w:val="06E2185D"/>
    <w:rsid w:val="071C5217"/>
    <w:rsid w:val="074574B7"/>
    <w:rsid w:val="077F711D"/>
    <w:rsid w:val="0815093A"/>
    <w:rsid w:val="08280844"/>
    <w:rsid w:val="08321414"/>
    <w:rsid w:val="084560A8"/>
    <w:rsid w:val="08BC09C7"/>
    <w:rsid w:val="08CA0DBA"/>
    <w:rsid w:val="0A5507DC"/>
    <w:rsid w:val="0AA10A64"/>
    <w:rsid w:val="0AAA2B3A"/>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56364C"/>
    <w:rsid w:val="12AF21B6"/>
    <w:rsid w:val="12F71BB3"/>
    <w:rsid w:val="13445E84"/>
    <w:rsid w:val="13463C67"/>
    <w:rsid w:val="134E407D"/>
    <w:rsid w:val="136916A0"/>
    <w:rsid w:val="13BF191E"/>
    <w:rsid w:val="13DD5D2E"/>
    <w:rsid w:val="144B4CE8"/>
    <w:rsid w:val="14827494"/>
    <w:rsid w:val="148F7029"/>
    <w:rsid w:val="14DA48CB"/>
    <w:rsid w:val="14DA73CD"/>
    <w:rsid w:val="14DE1D5E"/>
    <w:rsid w:val="15035321"/>
    <w:rsid w:val="151B6B0E"/>
    <w:rsid w:val="153C7438"/>
    <w:rsid w:val="155B04E5"/>
    <w:rsid w:val="15762967"/>
    <w:rsid w:val="15C0420D"/>
    <w:rsid w:val="15C42D02"/>
    <w:rsid w:val="15EF0827"/>
    <w:rsid w:val="16310CFC"/>
    <w:rsid w:val="164E7445"/>
    <w:rsid w:val="16521418"/>
    <w:rsid w:val="16557DFE"/>
    <w:rsid w:val="1671648A"/>
    <w:rsid w:val="167B192A"/>
    <w:rsid w:val="16A14DF1"/>
    <w:rsid w:val="16BA737C"/>
    <w:rsid w:val="170535D2"/>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C02064"/>
    <w:rsid w:val="1AF776D6"/>
    <w:rsid w:val="1B0B2AA5"/>
    <w:rsid w:val="1B334486"/>
    <w:rsid w:val="1BCD48DA"/>
    <w:rsid w:val="1BDF6BC8"/>
    <w:rsid w:val="1C141C3C"/>
    <w:rsid w:val="1C2C3D72"/>
    <w:rsid w:val="1C535707"/>
    <w:rsid w:val="1C580E62"/>
    <w:rsid w:val="1C975E00"/>
    <w:rsid w:val="1CEE6A53"/>
    <w:rsid w:val="1D046172"/>
    <w:rsid w:val="1D484219"/>
    <w:rsid w:val="1D4F18C5"/>
    <w:rsid w:val="1D835251"/>
    <w:rsid w:val="1D9A1CE4"/>
    <w:rsid w:val="1DD67D6F"/>
    <w:rsid w:val="1E036392"/>
    <w:rsid w:val="1E0C3498"/>
    <w:rsid w:val="1EBA7FF0"/>
    <w:rsid w:val="1ED16069"/>
    <w:rsid w:val="1ED24185"/>
    <w:rsid w:val="1ED35C04"/>
    <w:rsid w:val="1ED54D5D"/>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386ADD"/>
    <w:rsid w:val="234C0C7F"/>
    <w:rsid w:val="23A67EEB"/>
    <w:rsid w:val="23F46FD7"/>
    <w:rsid w:val="24283899"/>
    <w:rsid w:val="24436E8F"/>
    <w:rsid w:val="248C4080"/>
    <w:rsid w:val="24C04FDC"/>
    <w:rsid w:val="24FD16C3"/>
    <w:rsid w:val="25073423"/>
    <w:rsid w:val="25790BDA"/>
    <w:rsid w:val="25F533FB"/>
    <w:rsid w:val="26331263"/>
    <w:rsid w:val="263F3713"/>
    <w:rsid w:val="265058AE"/>
    <w:rsid w:val="265F3B15"/>
    <w:rsid w:val="26747E2C"/>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BB4441"/>
    <w:rsid w:val="2CC338BC"/>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110C25"/>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0F36CE"/>
    <w:rsid w:val="36527A5E"/>
    <w:rsid w:val="36870F62"/>
    <w:rsid w:val="369B1CB2"/>
    <w:rsid w:val="36A75FFC"/>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19736B"/>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1C35B7"/>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200821"/>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B55914"/>
    <w:rsid w:val="45F31D67"/>
    <w:rsid w:val="45FF29D4"/>
    <w:rsid w:val="462A15BD"/>
    <w:rsid w:val="4633306D"/>
    <w:rsid w:val="46625636"/>
    <w:rsid w:val="46E2098A"/>
    <w:rsid w:val="470879FF"/>
    <w:rsid w:val="4712301E"/>
    <w:rsid w:val="477D22C4"/>
    <w:rsid w:val="47970F04"/>
    <w:rsid w:val="48D56225"/>
    <w:rsid w:val="493C0826"/>
    <w:rsid w:val="49492420"/>
    <w:rsid w:val="49D23684"/>
    <w:rsid w:val="49E41186"/>
    <w:rsid w:val="49F243D5"/>
    <w:rsid w:val="4A3F0AC3"/>
    <w:rsid w:val="4A6E0EB3"/>
    <w:rsid w:val="4AD1435D"/>
    <w:rsid w:val="4AFA2C7B"/>
    <w:rsid w:val="4B0435C5"/>
    <w:rsid w:val="4B133491"/>
    <w:rsid w:val="4B58271A"/>
    <w:rsid w:val="4B6B11A9"/>
    <w:rsid w:val="4B9C6B82"/>
    <w:rsid w:val="4BDE4024"/>
    <w:rsid w:val="4C1635B0"/>
    <w:rsid w:val="4C907F6D"/>
    <w:rsid w:val="4CA46E0E"/>
    <w:rsid w:val="4CAE35BE"/>
    <w:rsid w:val="4CFC2039"/>
    <w:rsid w:val="4D101EA3"/>
    <w:rsid w:val="4D111FCA"/>
    <w:rsid w:val="4D3E2370"/>
    <w:rsid w:val="4D6E449B"/>
    <w:rsid w:val="4F0A34DF"/>
    <w:rsid w:val="4F5F5C7E"/>
    <w:rsid w:val="4F7241B1"/>
    <w:rsid w:val="4FCD04DF"/>
    <w:rsid w:val="4FF7181A"/>
    <w:rsid w:val="4FFE309A"/>
    <w:rsid w:val="507D0BBC"/>
    <w:rsid w:val="507E6B2A"/>
    <w:rsid w:val="50F87728"/>
    <w:rsid w:val="51290B58"/>
    <w:rsid w:val="51381763"/>
    <w:rsid w:val="51842D6A"/>
    <w:rsid w:val="51960840"/>
    <w:rsid w:val="51A97EA3"/>
    <w:rsid w:val="51D7639A"/>
    <w:rsid w:val="51E2208C"/>
    <w:rsid w:val="5221572C"/>
    <w:rsid w:val="52265F38"/>
    <w:rsid w:val="52291B63"/>
    <w:rsid w:val="527E3C5D"/>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AE4B70"/>
    <w:rsid w:val="58F55AD6"/>
    <w:rsid w:val="5901172B"/>
    <w:rsid w:val="594F3C5E"/>
    <w:rsid w:val="59561F19"/>
    <w:rsid w:val="596B1981"/>
    <w:rsid w:val="59821BED"/>
    <w:rsid w:val="59CF4D9E"/>
    <w:rsid w:val="59DE4A58"/>
    <w:rsid w:val="59EE791A"/>
    <w:rsid w:val="5A56101C"/>
    <w:rsid w:val="5AB4383C"/>
    <w:rsid w:val="5AED719F"/>
    <w:rsid w:val="5B0A7A07"/>
    <w:rsid w:val="5B1433B1"/>
    <w:rsid w:val="5B353327"/>
    <w:rsid w:val="5B3C271A"/>
    <w:rsid w:val="5B3F384B"/>
    <w:rsid w:val="5B5F5E1B"/>
    <w:rsid w:val="5B685559"/>
    <w:rsid w:val="5B8F6EDB"/>
    <w:rsid w:val="5BC85F49"/>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566374"/>
    <w:rsid w:val="65835D1E"/>
    <w:rsid w:val="65BF660F"/>
    <w:rsid w:val="65C7404D"/>
    <w:rsid w:val="65F17436"/>
    <w:rsid w:val="664669D8"/>
    <w:rsid w:val="66BB8914"/>
    <w:rsid w:val="66C0483B"/>
    <w:rsid w:val="66CC410D"/>
    <w:rsid w:val="66D56346"/>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1E16E2"/>
    <w:rsid w:val="6B43739A"/>
    <w:rsid w:val="6BCE4EB6"/>
    <w:rsid w:val="6BE75F78"/>
    <w:rsid w:val="6BFFA4D9"/>
    <w:rsid w:val="6C196A9A"/>
    <w:rsid w:val="6C590980"/>
    <w:rsid w:val="6C75429C"/>
    <w:rsid w:val="6C7D23DE"/>
    <w:rsid w:val="6C8163CC"/>
    <w:rsid w:val="6C841A18"/>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AC169D"/>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2FB055A"/>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9B28DB"/>
    <w:rsid w:val="7BB3345A"/>
    <w:rsid w:val="7BBE09F0"/>
    <w:rsid w:val="7BCF7C7E"/>
    <w:rsid w:val="7BD61AD5"/>
    <w:rsid w:val="7BF9C739"/>
    <w:rsid w:val="7BFB259B"/>
    <w:rsid w:val="7BFF440A"/>
    <w:rsid w:val="7BFF8FB5"/>
    <w:rsid w:val="7C8549E9"/>
    <w:rsid w:val="7C95557C"/>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3b997fba-2859-4b20-b0aa-437149b2e421</errorID>
      <errorWord>（1）内设机构。县委政法委内设机构5个：办公室、县委维护社会稳定领导小组办公室（防范和处理邪教领导小组办公室）、政工科、县社会管理综合治理委员会办公室、县矛盾纠纷大调解中心，无二级预算单位。</errorWord>
      <group>L1_AI</group>
      <groupName>深度校对</groupName>
      <ability>L2_AI_Title</ability>
      <abilityName>标题检查</abilityName>
      <candidateList/>
      <explain>相同层级标题序号格式前后文不一致。前文二级标题下的子标题使用‘（一）’‘（二）’‘（三）’格式，此处三级标题使用‘（1）’格式，与前文同层级标题序号格式不一致</explain>
      <paraID>20FA589F</paraID>
      <start>0</start>
      <end>95</end>
      <status>ignored</status>
      <modifiedWord/>
      <trackRevisions>false</trackRevisions>
    </reviewItem>
    <reviewItem>
      <errorID>c67f0e7d-e94b-4c10-bfaf-c7fdc58a920d</errorID>
      <errorWord>法轮功</errorWord>
      <group>L1_Sensitive</group>
      <groupName>敏感问题</groupName>
      <ability>L2_Prohibited</ability>
      <abilityName>违禁内容</abilityName>
      <candidateList/>
      <explain>【违禁内容】句中涉及国家法律明令禁止的违禁内容，请注意甄别。</explain>
      <paraID>299224F7</paraID>
      <start>6</start>
      <end>9</end>
      <status>ignored</status>
      <modifiedWord/>
      <trackRevisions>false</trackRevisions>
    </reviewItem>
    <reviewItem>
      <errorID>7b3ea508-0228-44d8-99a8-a65799748d34</errorID>
      <errorWord>法轮功</errorWord>
      <group>L1_Sensitive</group>
      <groupName>敏感问题</groupName>
      <ability>L2_Prohibited</ability>
      <abilityName>违禁内容</abilityName>
      <candidateList/>
      <explain>【违禁内容】句中涉及国家法律明令禁止的违禁内容，请注意甄别。</explain>
      <paraID>299224F7</paraID>
      <start>113</start>
      <end>116</end>
      <status>ignored</status>
      <modifiedWord/>
      <trackRevisions>false</trackRevisions>
    </reviewItem>
    <reviewItem>
      <errorID>e05961ff-3c28-4840-946a-38e5a7b0a722</errorID>
      <errorWord>二、部门收支情况</errorWord>
      <group>L1_AI</group>
      <groupName>深度校对</groupName>
      <ability>L2_AI_Title</ability>
      <abilityName>标题检查</abilityName>
      <candidateList/>
      <explain>相邻标题序号不连续。前文一级标题为‘一、部门概况’，此处一级标题序号应按顺序为‘二、’，但原文未呈现序号连续性问题的起始点，仅从当前标题看，是序号连续的，但从整体规范看，若前文序号使用规范，此处应是序号规范延续；同时，后续多个一级标题如‘三、部门目标实现情况’等，若前文一级标题序号使用规范，也应是序号连续的，整体存在序号规范延续的潜在问题</explain>
      <paraID> 69C751C</paraID>
      <start>0</start>
      <end>8</end>
      <status>ignored</status>
      <modifiedWord/>
      <trackRevisions>false</trackRevisions>
    </reviewItem>
    <reviewItem>
      <errorID>41e25642-984b-4ab5-89dc-032b2896979e</errorID>
      <errorWord>法轮功</errorWord>
      <group>L1_Sensitive</group>
      <groupName>敏感问题</groupName>
      <ability>L2_Prohibited</ability>
      <abilityName>违禁内容</abilityName>
      <candidateList/>
      <explain>【违禁内容】句中涉及国家法律明令禁止的违禁内容，请注意甄别。</explain>
      <paraID>319CB878</paraID>
      <start>135</start>
      <end>138</end>
      <status>ignored</status>
      <modifiedWord/>
      <trackRevisions>false</trackRevisions>
    </reviewItem>
    <reviewItem>
      <errorID>e2e94d1a-5d4e-4192-a470-3226820b5320</errorID>
      <errorWord>自信”、坚决做到“两个维护”</errorWord>
      <group>L1_Word</group>
      <groupName>字词问题</groupName>
      <ability>L2_Typo</ability>
      <abilityName>字词错误</abilityName>
      <candidateList>
        <item>自信”、做到“两个维护”</item>
      </candidateList>
      <explain/>
      <paraID>66020E64</paraID>
      <start>146</start>
      <end>158</end>
      <status>modified</status>
      <modifiedWord>自信”、做到“两个维护”</modifiedWord>
      <trackRevisions>false</trackRevisions>
    </reviewItem>
    <reviewItem>
      <errorID>16336729-0fe2-4694-8eb9-ae42bf881cba</errorID>
      <errorWord>骨子里</errorWord>
      <group>L1_AI</group>
      <groupName>深度校对</groupName>
      <ability>L2_AI_Grammar</ability>
      <abilityName>语法纠错</abilityName>
      <candidateList>
        <item>干警骨子里</item>
      </candidateList>
      <explain/>
      <paraID>66020E64</paraID>
      <start>293</start>
      <end>298</end>
      <status>modified</status>
      <modifiedWord>干警骨子里</modifiedWord>
      <trackRevisions>false</trackRevisions>
    </reviewItem>
    <reviewItem>
      <errorID>c08d9947-29f5-4958-ab62-6e68bf67c9fb</errorID>
      <errorWord>血液</errorWord>
      <group>L1_AI</group>
      <groupName>深度校对</groupName>
      <ability>L2_AI_Grammar</ability>
      <abilityName>语法纠错</abilityName>
      <candidateList>
        <item>干警血液</item>
      </candidateList>
      <explain/>
      <paraID>66020E64</paraID>
      <start>303</start>
      <end>307</end>
      <status>modified</status>
      <modifiedWord>干警血液</modifiedWord>
      <trackRevisions>false</trackRevisions>
    </reviewItem>
    <reviewItem>
      <errorID>60a4b82c-7ad3-43da-b7c3-a3418067c5a8</errorID>
      <errorWord>行动</errorWord>
      <group>L1_AI</group>
      <groupName>深度校对</groupName>
      <ability>L2_AI_Grammar</ability>
      <abilityName>语法纠错</abilityName>
      <candidateList>
        <item>干警行动</item>
      </candidateList>
      <explain/>
      <paraID>66020E64</paraID>
      <start>314</start>
      <end>318</end>
      <status>modified</status>
      <modifiedWord>干警行动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c37994-4822-4400-ab8c-ed601d8a4800}">
  <ds:schemaRefs/>
</ds:datastoreItem>
</file>

<file path=docProps/app.xml><?xml version="1.0" encoding="utf-8"?>
<Properties xmlns="http://schemas.openxmlformats.org/officeDocument/2006/extended-properties" xmlns:vt="http://schemas.openxmlformats.org/officeDocument/2006/docPropsVTypes">
  <Company>Microsoft</Company>
  <Pages>21</Pages>
  <Words>9982</Words>
  <Characters>10600</Characters>
  <Lines>1</Lines>
  <Paragraphs>1</Paragraphs>
  <TotalTime>4</TotalTime>
  <ScaleCrop>false</ScaleCrop>
  <LinksUpToDate>false</LinksUpToDate>
  <CharactersWithSpaces>10633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