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6B4CD7">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default" w:ascii="Times New Roman" w:hAnsi="Times New Roman" w:eastAsia="仿宋" w:cs="Times New Roman"/>
          <w:color w:val="333333"/>
          <w:kern w:val="0"/>
          <w:sz w:val="32"/>
          <w:szCs w:val="32"/>
          <w:highlight w:val="none"/>
        </w:rPr>
      </w:pPr>
      <w:bookmarkStart w:id="0" w:name="_Toc29524"/>
      <w:bookmarkStart w:id="1" w:name="_Toc22314"/>
      <w:bookmarkStart w:id="2" w:name="_Toc14462_WPSOffice_Level1"/>
    </w:p>
    <w:p w14:paraId="54012919">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default" w:ascii="Times New Roman" w:hAnsi="Times New Roman" w:eastAsia="仿宋" w:cs="Times New Roman"/>
          <w:color w:val="333333"/>
          <w:kern w:val="0"/>
          <w:sz w:val="32"/>
          <w:szCs w:val="32"/>
          <w:highlight w:val="none"/>
        </w:rPr>
      </w:pPr>
    </w:p>
    <w:p w14:paraId="505F6CF0">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default" w:ascii="Times New Roman" w:hAnsi="Times New Roman" w:eastAsia="仿宋" w:cs="Times New Roman"/>
          <w:color w:val="333333"/>
          <w:kern w:val="0"/>
          <w:sz w:val="32"/>
          <w:szCs w:val="32"/>
          <w:highlight w:val="none"/>
        </w:rPr>
      </w:pPr>
    </w:p>
    <w:p w14:paraId="37A32439">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default" w:ascii="Times New Roman" w:hAnsi="Times New Roman" w:eastAsia="仿宋" w:cs="Times New Roman"/>
          <w:color w:val="333333"/>
          <w:kern w:val="0"/>
          <w:sz w:val="32"/>
          <w:szCs w:val="32"/>
          <w:highlight w:val="none"/>
        </w:rPr>
      </w:pPr>
    </w:p>
    <w:p w14:paraId="1B7AEB9B">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default" w:ascii="Times New Roman" w:hAnsi="Times New Roman" w:eastAsia="仿宋" w:cs="Times New Roman"/>
          <w:color w:val="333333"/>
          <w:kern w:val="0"/>
          <w:sz w:val="32"/>
          <w:szCs w:val="32"/>
          <w:highlight w:val="none"/>
        </w:rPr>
      </w:pPr>
    </w:p>
    <w:p w14:paraId="0CDF8642">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default" w:ascii="Times New Roman" w:hAnsi="Times New Roman" w:eastAsia="仿宋" w:cs="Times New Roman"/>
          <w:color w:val="333333"/>
          <w:kern w:val="0"/>
          <w:sz w:val="32"/>
          <w:szCs w:val="32"/>
          <w:highlight w:val="none"/>
        </w:rPr>
      </w:pPr>
    </w:p>
    <w:p w14:paraId="43FD4016">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default" w:ascii="Times New Roman" w:hAnsi="Times New Roman" w:eastAsia="仿宋" w:cs="Times New Roman"/>
          <w:color w:val="333333"/>
          <w:kern w:val="0"/>
          <w:sz w:val="32"/>
          <w:szCs w:val="32"/>
          <w:highlight w:val="none"/>
        </w:rPr>
      </w:pPr>
    </w:p>
    <w:p w14:paraId="76DD2394">
      <w:pPr>
        <w:spacing w:line="600" w:lineRule="exact"/>
        <w:ind w:firstLine="0" w:firstLineChars="0"/>
        <w:jc w:val="center"/>
        <w:rPr>
          <w:rFonts w:hint="default" w:ascii="Times New Roman" w:hAnsi="Times New Roman" w:cs="Times New Roman"/>
          <w:sz w:val="32"/>
          <w:szCs w:val="32"/>
          <w:highlight w:val="none"/>
        </w:rPr>
      </w:pPr>
      <w:r>
        <w:rPr>
          <w:rFonts w:hint="default" w:ascii="Times New Roman" w:hAnsi="Times New Roman" w:cs="Times New Roman"/>
          <w:sz w:val="32"/>
          <w:szCs w:val="32"/>
          <w:highlight w:val="none"/>
        </w:rPr>
        <w:t>泸财绩〔2025〕3</w:t>
      </w:r>
      <w:r>
        <w:rPr>
          <w:rFonts w:hint="default" w:ascii="Times New Roman" w:hAnsi="Times New Roman" w:cs="Times New Roman"/>
          <w:sz w:val="32"/>
          <w:szCs w:val="32"/>
          <w:highlight w:val="none"/>
          <w:lang w:val="en-US" w:eastAsia="zh-CN"/>
        </w:rPr>
        <w:t>5</w:t>
      </w:r>
      <w:r>
        <w:rPr>
          <w:rFonts w:hint="default" w:ascii="Times New Roman" w:hAnsi="Times New Roman" w:cs="Times New Roman"/>
          <w:sz w:val="32"/>
          <w:szCs w:val="32"/>
          <w:highlight w:val="none"/>
        </w:rPr>
        <w:t>号</w:t>
      </w:r>
    </w:p>
    <w:p w14:paraId="4B7FB3D8">
      <w:pPr>
        <w:keepNext w:val="0"/>
        <w:keepLines w:val="0"/>
        <w:pageBreakBefore w:val="0"/>
        <w:widowControl/>
        <w:kinsoku/>
        <w:wordWrap/>
        <w:overflowPunct/>
        <w:topLinePunct w:val="0"/>
        <w:autoSpaceDE/>
        <w:autoSpaceDN/>
        <w:bidi w:val="0"/>
        <w:spacing w:line="600" w:lineRule="exact"/>
        <w:ind w:left="0" w:firstLine="0" w:firstLineChars="0"/>
        <w:jc w:val="center"/>
        <w:rPr>
          <w:rFonts w:hint="default" w:ascii="Times New Roman" w:hAnsi="Times New Roman" w:eastAsia="仿宋" w:cs="Times New Roman"/>
          <w:color w:val="333333"/>
          <w:kern w:val="0"/>
          <w:sz w:val="32"/>
          <w:szCs w:val="32"/>
          <w:highlight w:val="none"/>
        </w:rPr>
      </w:pPr>
    </w:p>
    <w:p w14:paraId="05233231">
      <w:pPr>
        <w:keepNext w:val="0"/>
        <w:keepLines w:val="0"/>
        <w:pageBreakBefore w:val="0"/>
        <w:widowControl/>
        <w:kinsoku/>
        <w:wordWrap/>
        <w:overflowPunct/>
        <w:topLinePunct w:val="0"/>
        <w:autoSpaceDE/>
        <w:autoSpaceDN/>
        <w:bidi w:val="0"/>
        <w:spacing w:line="600" w:lineRule="exact"/>
        <w:ind w:left="0" w:firstLine="0" w:firstLineChars="0"/>
        <w:jc w:val="center"/>
        <w:rPr>
          <w:rFonts w:hint="default" w:ascii="Times New Roman" w:hAnsi="Times New Roman" w:eastAsia="仿宋" w:cs="Times New Roman"/>
          <w:color w:val="333333"/>
          <w:kern w:val="0"/>
          <w:sz w:val="32"/>
          <w:szCs w:val="32"/>
          <w:highlight w:val="none"/>
        </w:rPr>
      </w:pPr>
      <w:bookmarkStart w:id="154" w:name="_GoBack"/>
      <w:bookmarkEnd w:id="154"/>
    </w:p>
    <w:p w14:paraId="1DA9DDBB">
      <w:pPr>
        <w:keepNext w:val="0"/>
        <w:keepLines w:val="0"/>
        <w:pageBreakBefore w:val="0"/>
        <w:kinsoku/>
        <w:wordWrap/>
        <w:overflowPunct/>
        <w:topLinePunct w:val="0"/>
        <w:autoSpaceDE/>
        <w:autoSpaceDN/>
        <w:bidi w:val="0"/>
        <w:spacing w:line="600" w:lineRule="exact"/>
        <w:ind w:left="0" w:firstLine="0" w:firstLineChars="0"/>
        <w:jc w:val="center"/>
        <w:rPr>
          <w:rFonts w:hint="eastAsia" w:ascii="方正小标宋简体" w:hAnsi="方正小标宋简体" w:eastAsia="方正小标宋简体" w:cs="方正小标宋简体"/>
          <w:color w:val="auto"/>
          <w:sz w:val="44"/>
          <w:szCs w:val="44"/>
          <w:highlight w:val="none"/>
          <w:lang w:eastAsia="zh-CN"/>
        </w:rPr>
      </w:pPr>
      <w:bookmarkStart w:id="3" w:name="_Toc27398"/>
      <w:r>
        <w:rPr>
          <w:rFonts w:hint="eastAsia" w:ascii="方正小标宋简体" w:hAnsi="方正小标宋简体" w:eastAsia="方正小标宋简体" w:cs="方正小标宋简体"/>
          <w:color w:val="auto"/>
          <w:sz w:val="44"/>
          <w:szCs w:val="44"/>
          <w:highlight w:val="none"/>
          <w:lang w:eastAsia="zh-CN"/>
        </w:rPr>
        <w:t>泸定县地方志办公室</w:t>
      </w:r>
    </w:p>
    <w:p w14:paraId="014B69B0">
      <w:pPr>
        <w:keepNext w:val="0"/>
        <w:keepLines w:val="0"/>
        <w:pageBreakBefore w:val="0"/>
        <w:kinsoku/>
        <w:wordWrap/>
        <w:overflowPunct/>
        <w:topLinePunct w:val="0"/>
        <w:autoSpaceDE/>
        <w:autoSpaceDN/>
        <w:bidi w:val="0"/>
        <w:spacing w:line="600" w:lineRule="exact"/>
        <w:ind w:left="0" w:firstLine="0" w:firstLineChars="0"/>
        <w:jc w:val="center"/>
        <w:rPr>
          <w:rFonts w:hint="eastAsia" w:ascii="方正小标宋简体" w:hAnsi="方正小标宋简体" w:eastAsia="方正小标宋简体" w:cs="方正小标宋简体"/>
          <w:color w:val="auto"/>
          <w:sz w:val="32"/>
          <w:szCs w:val="32"/>
          <w:highlight w:val="none"/>
        </w:rPr>
      </w:pPr>
      <w:r>
        <w:rPr>
          <w:rFonts w:hint="eastAsia" w:ascii="方正小标宋简体" w:hAnsi="方正小标宋简体" w:eastAsia="方正小标宋简体" w:cs="方正小标宋简体"/>
          <w:color w:val="auto"/>
          <w:sz w:val="44"/>
          <w:szCs w:val="44"/>
          <w:highlight w:val="none"/>
          <w:lang w:eastAsia="zh"/>
        </w:rPr>
        <w:t>202</w:t>
      </w:r>
      <w:r>
        <w:rPr>
          <w:rFonts w:hint="eastAsia" w:ascii="方正小标宋简体" w:hAnsi="方正小标宋简体" w:eastAsia="方正小标宋简体" w:cs="方正小标宋简体"/>
          <w:color w:val="auto"/>
          <w:sz w:val="44"/>
          <w:szCs w:val="44"/>
          <w:highlight w:val="none"/>
          <w:lang w:val="en-US" w:eastAsia="zh-CN"/>
        </w:rPr>
        <w:t>4</w:t>
      </w:r>
      <w:r>
        <w:rPr>
          <w:rFonts w:hint="eastAsia" w:ascii="方正小标宋简体" w:hAnsi="方正小标宋简体" w:eastAsia="方正小标宋简体" w:cs="方正小标宋简体"/>
          <w:color w:val="auto"/>
          <w:sz w:val="44"/>
          <w:szCs w:val="44"/>
          <w:highlight w:val="none"/>
        </w:rPr>
        <w:t>年部门整体支出绩效评价报告</w:t>
      </w:r>
      <w:bookmarkEnd w:id="0"/>
      <w:bookmarkEnd w:id="1"/>
      <w:bookmarkEnd w:id="3"/>
    </w:p>
    <w:p w14:paraId="394EE5A3">
      <w:pPr>
        <w:pStyle w:val="18"/>
        <w:keepNext w:val="0"/>
        <w:keepLines w:val="0"/>
        <w:pageBreakBefore w:val="0"/>
        <w:kinsoku/>
        <w:wordWrap/>
        <w:overflowPunct/>
        <w:topLinePunct w:val="0"/>
        <w:autoSpaceDE/>
        <w:autoSpaceDN/>
        <w:bidi w:val="0"/>
        <w:spacing w:after="0" w:line="600" w:lineRule="exact"/>
        <w:ind w:left="0" w:firstLine="560"/>
        <w:rPr>
          <w:rFonts w:hint="default" w:ascii="Times New Roman" w:hAnsi="Times New Roman" w:eastAsia="仿宋" w:cs="Times New Roman"/>
          <w:color w:val="auto"/>
          <w:sz w:val="32"/>
          <w:szCs w:val="32"/>
          <w:highlight w:val="none"/>
          <w:lang w:val="fr-FR"/>
        </w:rPr>
      </w:pPr>
    </w:p>
    <w:p w14:paraId="28EF873F">
      <w:pPr>
        <w:keepNext w:val="0"/>
        <w:keepLines w:val="0"/>
        <w:pageBreakBefore w:val="0"/>
        <w:kinsoku/>
        <w:wordWrap/>
        <w:overflowPunct/>
        <w:topLinePunct w:val="0"/>
        <w:autoSpaceDE/>
        <w:autoSpaceDN/>
        <w:bidi w:val="0"/>
        <w:spacing w:line="600" w:lineRule="exact"/>
        <w:ind w:left="0" w:leftChars="0" w:right="0" w:rightChars="0" w:firstLine="0" w:firstLineChars="0"/>
        <w:rPr>
          <w:rFonts w:hint="default" w:ascii="Times New Roman" w:hAnsi="Times New Roman" w:eastAsia="方正仿宋_GB2312" w:cs="Times New Roman"/>
          <w:color w:val="auto"/>
          <w:sz w:val="32"/>
          <w:szCs w:val="32"/>
          <w:highlight w:val="none"/>
          <w:lang w:val="fr-FR" w:eastAsia="zh-CN"/>
        </w:rPr>
      </w:pPr>
      <w:bookmarkStart w:id="4" w:name="_Toc26210"/>
      <w:bookmarkStart w:id="5" w:name="_Toc8938"/>
      <w:bookmarkStart w:id="6" w:name="_Toc6252"/>
      <w:r>
        <w:rPr>
          <w:rFonts w:hint="default" w:ascii="Times New Roman" w:hAnsi="Times New Roman" w:eastAsia="方正仿宋_GB2312" w:cs="Times New Roman"/>
          <w:color w:val="auto"/>
          <w:sz w:val="32"/>
          <w:szCs w:val="32"/>
          <w:highlight w:val="none"/>
          <w:lang w:val="fr-FR" w:eastAsia="zh-CN"/>
        </w:rPr>
        <w:t>泸定县地方志办公室：</w:t>
      </w:r>
    </w:p>
    <w:p w14:paraId="50FB6A35">
      <w:pPr>
        <w:keepNext w:val="0"/>
        <w:keepLines w:val="0"/>
        <w:pageBreakBefore w:val="0"/>
        <w:kinsoku/>
        <w:wordWrap/>
        <w:overflowPunct/>
        <w:topLinePunct w:val="0"/>
        <w:autoSpaceDE/>
        <w:autoSpaceDN/>
        <w:bidi w:val="0"/>
        <w:spacing w:line="600" w:lineRule="exact"/>
        <w:ind w:left="0" w:leftChars="0" w:right="0" w:rightChars="0" w:firstLine="640" w:firstLineChars="200"/>
        <w:rPr>
          <w:rFonts w:hint="default" w:ascii="Times New Roman" w:hAnsi="Times New Roman" w:eastAsia="方正仿宋_GB2312" w:cs="Times New Roman"/>
          <w:color w:val="auto"/>
          <w:sz w:val="32"/>
          <w:szCs w:val="32"/>
          <w:highlight w:val="none"/>
          <w:lang w:val="fr-FR"/>
        </w:rPr>
      </w:pPr>
      <w:r>
        <w:rPr>
          <w:rFonts w:hint="default" w:ascii="Times New Roman" w:hAnsi="Times New Roman" w:eastAsia="方正仿宋_GB2312" w:cs="Times New Roman"/>
          <w:sz w:val="32"/>
          <w:szCs w:val="32"/>
          <w:highlight w:val="none"/>
        </w:rPr>
        <w:t>根据《泸定县财政局</w:t>
      </w:r>
      <w:r>
        <w:rPr>
          <w:rFonts w:hint="default" w:ascii="Times New Roman" w:hAnsi="Times New Roman" w:eastAsia="方正仿宋_GB2312" w:cs="Times New Roman"/>
          <w:sz w:val="32"/>
          <w:szCs w:val="32"/>
          <w:highlight w:val="none"/>
          <w:lang w:eastAsia="zh"/>
        </w:rPr>
        <w:t>关于开展202</w:t>
      </w:r>
      <w:r>
        <w:rPr>
          <w:rFonts w:hint="default" w:ascii="Times New Roman" w:hAnsi="Times New Roman" w:eastAsia="方正仿宋_GB2312" w:cs="Times New Roman"/>
          <w:sz w:val="32"/>
          <w:szCs w:val="32"/>
          <w:highlight w:val="none"/>
        </w:rPr>
        <w:t>5</w:t>
      </w:r>
      <w:r>
        <w:rPr>
          <w:rFonts w:hint="default" w:ascii="Times New Roman" w:hAnsi="Times New Roman" w:eastAsia="方正仿宋_GB2312" w:cs="Times New Roman"/>
          <w:sz w:val="32"/>
          <w:szCs w:val="32"/>
          <w:highlight w:val="none"/>
          <w:lang w:eastAsia="zh"/>
        </w:rPr>
        <w:t>年度部门整体绩效评价工作的通知</w:t>
      </w:r>
      <w:r>
        <w:rPr>
          <w:rFonts w:hint="default" w:ascii="Times New Roman" w:hAnsi="Times New Roman" w:eastAsia="方正仿宋_GB2312" w:cs="Times New Roman"/>
          <w:sz w:val="32"/>
          <w:szCs w:val="32"/>
          <w:highlight w:val="none"/>
        </w:rPr>
        <w:t>》（</w:t>
      </w:r>
      <w:r>
        <w:rPr>
          <w:rFonts w:hint="default" w:ascii="Times New Roman" w:hAnsi="Times New Roman" w:eastAsia="方正仿宋_GB2312" w:cs="Times New Roman"/>
          <w:sz w:val="32"/>
          <w:szCs w:val="32"/>
          <w:highlight w:val="none"/>
          <w:lang w:eastAsia="zh"/>
        </w:rPr>
        <w:t>泸财〔202</w:t>
      </w:r>
      <w:r>
        <w:rPr>
          <w:rFonts w:hint="default" w:ascii="Times New Roman" w:hAnsi="Times New Roman" w:eastAsia="方正仿宋_GB2312" w:cs="Times New Roman"/>
          <w:sz w:val="32"/>
          <w:szCs w:val="32"/>
          <w:highlight w:val="none"/>
        </w:rPr>
        <w:t>5</w:t>
      </w:r>
      <w:r>
        <w:rPr>
          <w:rFonts w:hint="default" w:ascii="Times New Roman" w:hAnsi="Times New Roman" w:eastAsia="方正仿宋_GB2312" w:cs="Times New Roman"/>
          <w:sz w:val="32"/>
          <w:szCs w:val="32"/>
          <w:highlight w:val="none"/>
          <w:lang w:eastAsia="zh"/>
        </w:rPr>
        <w:t>〕</w:t>
      </w:r>
      <w:r>
        <w:rPr>
          <w:rFonts w:hint="default" w:ascii="Times New Roman" w:hAnsi="Times New Roman" w:eastAsia="方正仿宋_GB2312" w:cs="Times New Roman"/>
          <w:sz w:val="32"/>
          <w:szCs w:val="32"/>
          <w:highlight w:val="none"/>
        </w:rPr>
        <w:t>67</w:t>
      </w:r>
      <w:r>
        <w:rPr>
          <w:rFonts w:hint="default" w:ascii="Times New Roman" w:hAnsi="Times New Roman" w:eastAsia="方正仿宋_GB2312" w:cs="Times New Roman"/>
          <w:sz w:val="32"/>
          <w:szCs w:val="32"/>
          <w:highlight w:val="none"/>
          <w:lang w:eastAsia="zh"/>
        </w:rPr>
        <w:t>号</w:t>
      </w:r>
      <w:r>
        <w:rPr>
          <w:rFonts w:hint="default" w:ascii="Times New Roman" w:hAnsi="Times New Roman" w:eastAsia="方正仿宋_GB2312" w:cs="Times New Roman"/>
          <w:sz w:val="32"/>
          <w:szCs w:val="32"/>
          <w:highlight w:val="none"/>
        </w:rPr>
        <w:t>）要求，由我局工作人员和第三方机构专业人员组成绩效评价组，</w:t>
      </w:r>
      <w:r>
        <w:rPr>
          <w:rFonts w:hint="default" w:ascii="Times New Roman" w:hAnsi="Times New Roman" w:eastAsia="方正仿宋_GB2312" w:cs="Times New Roman"/>
          <w:color w:val="auto"/>
          <w:sz w:val="32"/>
          <w:szCs w:val="32"/>
          <w:highlight w:val="none"/>
          <w:lang w:val="fr-FR"/>
        </w:rPr>
        <w:t>对</w:t>
      </w:r>
      <w:r>
        <w:rPr>
          <w:rFonts w:hint="default" w:ascii="Times New Roman" w:hAnsi="Times New Roman" w:eastAsia="方正仿宋_GB2312" w:cs="Times New Roman"/>
          <w:color w:val="auto"/>
          <w:sz w:val="32"/>
          <w:szCs w:val="32"/>
          <w:highlight w:val="none"/>
          <w:lang w:val="fr-FR" w:eastAsia="zh-CN"/>
        </w:rPr>
        <w:t>泸定县地方志办公室</w:t>
      </w:r>
      <w:r>
        <w:rPr>
          <w:rFonts w:hint="default" w:ascii="Times New Roman" w:hAnsi="Times New Roman" w:eastAsia="方正仿宋_GB2312" w:cs="Times New Roman"/>
          <w:color w:val="auto"/>
          <w:sz w:val="32"/>
          <w:szCs w:val="32"/>
          <w:highlight w:val="none"/>
          <w:lang w:eastAsia="zh"/>
        </w:rPr>
        <w:t>202</w:t>
      </w:r>
      <w:r>
        <w:rPr>
          <w:rFonts w:hint="default" w:ascii="Times New Roman" w:hAnsi="Times New Roman" w:eastAsia="方正仿宋_GB2312" w:cs="Times New Roman"/>
          <w:color w:val="auto"/>
          <w:sz w:val="32"/>
          <w:szCs w:val="32"/>
          <w:highlight w:val="none"/>
          <w:lang w:val="en-US" w:eastAsia="zh-CN"/>
        </w:rPr>
        <w:t>4</w:t>
      </w:r>
      <w:r>
        <w:rPr>
          <w:rFonts w:hint="default" w:ascii="Times New Roman" w:hAnsi="Times New Roman" w:eastAsia="方正仿宋_GB2312" w:cs="Times New Roman"/>
          <w:color w:val="auto"/>
          <w:sz w:val="32"/>
          <w:szCs w:val="32"/>
          <w:highlight w:val="none"/>
        </w:rPr>
        <w:t>年部门整体支出进行</w:t>
      </w:r>
      <w:r>
        <w:rPr>
          <w:rFonts w:hint="default" w:ascii="Times New Roman" w:hAnsi="Times New Roman" w:eastAsia="方正仿宋_GB2312" w:cs="Times New Roman"/>
          <w:color w:val="auto"/>
          <w:sz w:val="32"/>
          <w:szCs w:val="32"/>
          <w:highlight w:val="none"/>
          <w:lang w:val="fr-FR"/>
        </w:rPr>
        <w:t>绩效评价。</w:t>
      </w:r>
      <w:r>
        <w:rPr>
          <w:rFonts w:hint="default" w:ascii="Times New Roman" w:hAnsi="Times New Roman" w:eastAsia="方正仿宋_GB2312" w:cs="Times New Roman"/>
          <w:color w:val="auto"/>
          <w:sz w:val="32"/>
          <w:szCs w:val="32"/>
          <w:highlight w:val="none"/>
          <w:lang w:val="fr-FR" w:eastAsia="zh-CN"/>
        </w:rPr>
        <w:t>泸定县地方志办公室</w:t>
      </w:r>
      <w:r>
        <w:rPr>
          <w:rFonts w:hint="default" w:ascii="Times New Roman" w:hAnsi="Times New Roman" w:eastAsia="方正仿宋_GB2312" w:cs="Times New Roman"/>
          <w:color w:val="auto"/>
          <w:sz w:val="32"/>
          <w:szCs w:val="32"/>
          <w:highlight w:val="none"/>
          <w:lang w:val="fr-FR"/>
        </w:rPr>
        <w:t>对其提供的绩效评价相关资料的真实性、合法性和完整性负责；我们的责任是依据《中共中央 国务院关于全面实施预算绩效管理的意见》（中发〔2018〕34号）、《中共四川省委 四川省人民政府关于全面实施预算绩效管理的实施意见》（川委发〔201</w:t>
      </w:r>
      <w:r>
        <w:rPr>
          <w:rFonts w:hint="default" w:ascii="Times New Roman" w:hAnsi="Times New Roman" w:eastAsia="方正仿宋_GB2312" w:cs="Times New Roman"/>
          <w:color w:val="auto"/>
          <w:sz w:val="32"/>
          <w:szCs w:val="32"/>
          <w:highlight w:val="none"/>
        </w:rPr>
        <w:t>9</w:t>
      </w:r>
      <w:r>
        <w:rPr>
          <w:rFonts w:hint="default" w:ascii="Times New Roman" w:hAnsi="Times New Roman" w:eastAsia="方正仿宋_GB2312" w:cs="Times New Roman"/>
          <w:color w:val="auto"/>
          <w:sz w:val="32"/>
          <w:szCs w:val="32"/>
          <w:highlight w:val="none"/>
          <w:lang w:val="fr-FR"/>
        </w:rPr>
        <w:t>〕8号）、《中共甘孜州委办公室 甘孜州人民政府办公室关于印发</w:t>
      </w:r>
      <w:r>
        <w:rPr>
          <w:rFonts w:hint="default" w:ascii="Times New Roman" w:hAnsi="Times New Roman" w:eastAsia="方正仿宋_GB2312" w:cs="Times New Roman"/>
          <w:color w:val="auto"/>
          <w:sz w:val="32"/>
          <w:szCs w:val="32"/>
          <w:highlight w:val="none"/>
        </w:rPr>
        <w:t>〈</w:t>
      </w:r>
      <w:r>
        <w:rPr>
          <w:rFonts w:hint="default" w:ascii="Times New Roman" w:hAnsi="Times New Roman" w:eastAsia="方正仿宋_GB2312" w:cs="Times New Roman"/>
          <w:color w:val="auto"/>
          <w:sz w:val="32"/>
          <w:szCs w:val="32"/>
          <w:highlight w:val="none"/>
          <w:lang w:val="fr-FR"/>
        </w:rPr>
        <w:t>甘孜州全面实施预算绩效管理工作实施方案</w:t>
      </w:r>
      <w:r>
        <w:rPr>
          <w:rFonts w:hint="default" w:ascii="Times New Roman" w:hAnsi="Times New Roman" w:eastAsia="方正仿宋_GB2312" w:cs="Times New Roman"/>
          <w:color w:val="auto"/>
          <w:sz w:val="32"/>
          <w:szCs w:val="32"/>
          <w:highlight w:val="none"/>
        </w:rPr>
        <w:t>〉</w:t>
      </w:r>
      <w:r>
        <w:rPr>
          <w:rFonts w:hint="default" w:ascii="Times New Roman" w:hAnsi="Times New Roman" w:eastAsia="方正仿宋_GB2312" w:cs="Times New Roman"/>
          <w:color w:val="auto"/>
          <w:sz w:val="32"/>
          <w:szCs w:val="32"/>
          <w:highlight w:val="none"/>
          <w:lang w:val="fr-FR"/>
        </w:rPr>
        <w:t>的通知》（甘委办〔201</w:t>
      </w:r>
      <w:r>
        <w:rPr>
          <w:rFonts w:hint="default" w:ascii="Times New Roman" w:hAnsi="Times New Roman" w:eastAsia="方正仿宋_GB2312" w:cs="Times New Roman"/>
          <w:color w:val="auto"/>
          <w:sz w:val="32"/>
          <w:szCs w:val="32"/>
          <w:highlight w:val="none"/>
        </w:rPr>
        <w:t>9</w:t>
      </w:r>
      <w:r>
        <w:rPr>
          <w:rFonts w:hint="default" w:ascii="Times New Roman" w:hAnsi="Times New Roman" w:eastAsia="方正仿宋_GB2312" w:cs="Times New Roman"/>
          <w:color w:val="auto"/>
          <w:sz w:val="32"/>
          <w:szCs w:val="32"/>
          <w:highlight w:val="none"/>
          <w:lang w:val="fr-FR"/>
        </w:rPr>
        <w:t>〕120号）</w:t>
      </w:r>
      <w:r>
        <w:rPr>
          <w:rFonts w:hint="default" w:ascii="Times New Roman" w:hAnsi="Times New Roman" w:eastAsia="方正仿宋_GB2312" w:cs="Times New Roman"/>
          <w:color w:val="auto"/>
          <w:sz w:val="32"/>
          <w:szCs w:val="32"/>
          <w:highlight w:val="none"/>
          <w:lang w:val="en-US" w:eastAsia="zh-CN"/>
        </w:rPr>
        <w:t>文件的</w:t>
      </w:r>
      <w:r>
        <w:rPr>
          <w:rFonts w:hint="default" w:ascii="Times New Roman" w:hAnsi="Times New Roman" w:eastAsia="方正仿宋_GB2312" w:cs="Times New Roman"/>
          <w:color w:val="auto"/>
          <w:sz w:val="32"/>
          <w:szCs w:val="32"/>
          <w:highlight w:val="none"/>
          <w:lang w:val="fr-FR"/>
        </w:rPr>
        <w:t>要求，结合</w:t>
      </w:r>
      <w:r>
        <w:rPr>
          <w:rFonts w:hint="default" w:ascii="Times New Roman" w:hAnsi="Times New Roman" w:eastAsia="方正仿宋_GB2312" w:cs="Times New Roman"/>
          <w:color w:val="auto"/>
          <w:sz w:val="32"/>
          <w:szCs w:val="32"/>
          <w:highlight w:val="none"/>
          <w:lang w:val="fr-FR" w:eastAsia="zh-CN"/>
        </w:rPr>
        <w:t>泸定县地方志办公室</w:t>
      </w:r>
      <w:r>
        <w:rPr>
          <w:rFonts w:hint="default" w:ascii="Times New Roman" w:hAnsi="Times New Roman" w:eastAsia="方正仿宋_GB2312" w:cs="Times New Roman"/>
          <w:color w:val="auto"/>
          <w:sz w:val="32"/>
          <w:szCs w:val="32"/>
          <w:highlight w:val="none"/>
          <w:lang w:val="fr-FR"/>
        </w:rPr>
        <w:t>的实际情况，对</w:t>
      </w:r>
      <w:r>
        <w:rPr>
          <w:rFonts w:hint="default" w:ascii="Times New Roman" w:hAnsi="Times New Roman" w:eastAsia="方正仿宋_GB2312" w:cs="Times New Roman"/>
          <w:color w:val="auto"/>
          <w:sz w:val="32"/>
          <w:szCs w:val="32"/>
          <w:highlight w:val="none"/>
          <w:lang w:eastAsia="zh"/>
        </w:rPr>
        <w:t>202</w:t>
      </w:r>
      <w:r>
        <w:rPr>
          <w:rFonts w:hint="default" w:ascii="Times New Roman" w:hAnsi="Times New Roman" w:eastAsia="方正仿宋_GB2312" w:cs="Times New Roman"/>
          <w:color w:val="auto"/>
          <w:sz w:val="32"/>
          <w:szCs w:val="32"/>
          <w:highlight w:val="none"/>
          <w:lang w:val="en-US" w:eastAsia="zh-CN"/>
        </w:rPr>
        <w:t>4</w:t>
      </w:r>
      <w:r>
        <w:rPr>
          <w:rFonts w:hint="default" w:ascii="Times New Roman" w:hAnsi="Times New Roman" w:eastAsia="方正仿宋_GB2312" w:cs="Times New Roman"/>
          <w:color w:val="auto"/>
          <w:sz w:val="32"/>
          <w:szCs w:val="32"/>
          <w:highlight w:val="none"/>
        </w:rPr>
        <w:t>年部门整体支出</w:t>
      </w:r>
      <w:r>
        <w:rPr>
          <w:rFonts w:hint="default" w:ascii="Times New Roman" w:hAnsi="Times New Roman" w:eastAsia="方正仿宋_GB2312" w:cs="Times New Roman"/>
          <w:color w:val="auto"/>
          <w:sz w:val="32"/>
          <w:szCs w:val="32"/>
          <w:highlight w:val="none"/>
          <w:lang w:val="fr-FR"/>
        </w:rPr>
        <w:t>进行绩效评价，并出具绩效评价报告，现将相关情况报告如下：</w:t>
      </w:r>
      <w:bookmarkEnd w:id="4"/>
      <w:bookmarkEnd w:id="5"/>
      <w:bookmarkEnd w:id="6"/>
      <w:bookmarkStart w:id="7" w:name="_Toc12185"/>
      <w:bookmarkStart w:id="8" w:name="_Toc8555"/>
      <w:bookmarkStart w:id="9" w:name="_Toc109483833"/>
    </w:p>
    <w:p w14:paraId="1CE7ED0B">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default" w:ascii="Times New Roman" w:hAnsi="Times New Roman" w:eastAsia="方正黑体简体" w:cs="Times New Roman"/>
          <w:color w:val="auto"/>
          <w:kern w:val="0"/>
          <w:sz w:val="32"/>
          <w:szCs w:val="32"/>
          <w:highlight w:val="none"/>
          <w:shd w:val="clear" w:color="auto" w:fill="FFFFFF"/>
          <w:lang w:eastAsia="zh-CN"/>
        </w:rPr>
      </w:pPr>
      <w:bookmarkStart w:id="10" w:name="_Toc26009"/>
      <w:bookmarkStart w:id="11" w:name="_Toc799907804"/>
      <w:bookmarkStart w:id="12" w:name="_Toc12546"/>
      <w:bookmarkStart w:id="13" w:name="_Toc10147"/>
      <w:bookmarkStart w:id="14" w:name="_Toc18579"/>
      <w:bookmarkStart w:id="15" w:name="_Toc15220"/>
      <w:bookmarkStart w:id="16" w:name="_Toc27571"/>
      <w:bookmarkStart w:id="17" w:name="_Toc4351"/>
      <w:r>
        <w:rPr>
          <w:rFonts w:hint="default" w:ascii="Times New Roman" w:hAnsi="Times New Roman" w:eastAsia="方正黑体简体" w:cs="Times New Roman"/>
          <w:color w:val="auto"/>
          <w:kern w:val="0"/>
          <w:sz w:val="32"/>
          <w:szCs w:val="32"/>
          <w:highlight w:val="none"/>
          <w:shd w:val="clear" w:color="auto" w:fill="FFFFFF"/>
        </w:rPr>
        <w:t>一、</w:t>
      </w:r>
      <w:bookmarkEnd w:id="7"/>
      <w:bookmarkEnd w:id="8"/>
      <w:r>
        <w:rPr>
          <w:rFonts w:hint="default" w:ascii="Times New Roman" w:hAnsi="Times New Roman" w:eastAsia="方正黑体简体" w:cs="Times New Roman"/>
          <w:color w:val="auto"/>
          <w:kern w:val="0"/>
          <w:sz w:val="32"/>
          <w:szCs w:val="32"/>
          <w:highlight w:val="none"/>
          <w:shd w:val="clear" w:color="auto" w:fill="FFFFFF"/>
        </w:rPr>
        <w:t>部门</w:t>
      </w:r>
      <w:bookmarkEnd w:id="9"/>
      <w:bookmarkEnd w:id="10"/>
      <w:bookmarkEnd w:id="11"/>
      <w:bookmarkStart w:id="18" w:name="_Toc16549"/>
      <w:bookmarkStart w:id="19" w:name="_Toc30550"/>
      <w:bookmarkStart w:id="20" w:name="_Toc109483834"/>
      <w:r>
        <w:rPr>
          <w:rFonts w:hint="default" w:ascii="Times New Roman" w:hAnsi="Times New Roman" w:eastAsia="方正黑体简体" w:cs="Times New Roman"/>
          <w:color w:val="auto"/>
          <w:kern w:val="0"/>
          <w:sz w:val="32"/>
          <w:szCs w:val="32"/>
          <w:highlight w:val="none"/>
          <w:shd w:val="clear" w:color="auto" w:fill="FFFFFF"/>
          <w:lang w:val="en-US" w:eastAsia="zh-CN"/>
        </w:rPr>
        <w:t>概况</w:t>
      </w:r>
      <w:bookmarkEnd w:id="12"/>
      <w:bookmarkEnd w:id="13"/>
      <w:bookmarkEnd w:id="14"/>
      <w:bookmarkEnd w:id="15"/>
      <w:bookmarkEnd w:id="16"/>
      <w:bookmarkEnd w:id="17"/>
    </w:p>
    <w:p w14:paraId="20C60406">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default" w:ascii="Times New Roman" w:hAnsi="Times New Roman" w:eastAsia="方正楷体简体" w:cs="Times New Roman"/>
          <w:color w:val="auto"/>
          <w:kern w:val="2"/>
          <w:sz w:val="32"/>
          <w:szCs w:val="32"/>
          <w:highlight w:val="none"/>
          <w:shd w:val="clear"/>
          <w:lang w:val="zh-CN" w:eastAsia="zh-CN"/>
        </w:rPr>
      </w:pPr>
      <w:bookmarkStart w:id="21" w:name="_Toc419097264"/>
      <w:bookmarkStart w:id="22" w:name="_Toc7513"/>
      <w:bookmarkStart w:id="23" w:name="_Toc19098"/>
      <w:bookmarkStart w:id="24" w:name="_Toc20865"/>
      <w:bookmarkStart w:id="25" w:name="_Toc2337"/>
      <w:bookmarkStart w:id="26" w:name="_Toc24161"/>
      <w:bookmarkStart w:id="27" w:name="_Toc18535"/>
      <w:bookmarkStart w:id="28" w:name="_Toc11769"/>
      <w:r>
        <w:rPr>
          <w:rFonts w:hint="default" w:ascii="Times New Roman" w:hAnsi="Times New Roman" w:eastAsia="方正楷体简体" w:cs="Times New Roman"/>
          <w:color w:val="auto"/>
          <w:kern w:val="2"/>
          <w:sz w:val="32"/>
          <w:szCs w:val="32"/>
          <w:highlight w:val="none"/>
          <w:shd w:val="clear"/>
          <w:lang w:val="zh-CN"/>
        </w:rPr>
        <w:t>（一）</w:t>
      </w:r>
      <w:bookmarkEnd w:id="18"/>
      <w:bookmarkEnd w:id="19"/>
      <w:bookmarkEnd w:id="20"/>
      <w:bookmarkEnd w:id="21"/>
      <w:bookmarkEnd w:id="22"/>
      <w:r>
        <w:rPr>
          <w:rFonts w:hint="default" w:ascii="Times New Roman" w:hAnsi="Times New Roman" w:eastAsia="方正楷体简体" w:cs="Times New Roman"/>
          <w:color w:val="auto"/>
          <w:kern w:val="2"/>
          <w:sz w:val="32"/>
          <w:szCs w:val="32"/>
          <w:highlight w:val="none"/>
          <w:shd w:val="clear"/>
          <w:lang w:val="zh-CN" w:eastAsia="zh-CN"/>
        </w:rPr>
        <w:t>部门基本情况</w:t>
      </w:r>
      <w:bookmarkEnd w:id="23"/>
      <w:bookmarkEnd w:id="24"/>
      <w:bookmarkEnd w:id="25"/>
      <w:bookmarkEnd w:id="26"/>
      <w:bookmarkEnd w:id="27"/>
      <w:bookmarkEnd w:id="28"/>
    </w:p>
    <w:p w14:paraId="05FA19E9">
      <w:pPr>
        <w:keepNext w:val="0"/>
        <w:keepLines w:val="0"/>
        <w:pageBreakBefore w:val="0"/>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bookmarkStart w:id="29" w:name="_Toc109483835"/>
      <w:r>
        <w:rPr>
          <w:rFonts w:hint="default" w:ascii="Times New Roman" w:hAnsi="Times New Roman" w:eastAsia="方正仿宋_GB2312" w:cs="Times New Roman"/>
          <w:color w:val="auto"/>
          <w:sz w:val="32"/>
          <w:szCs w:val="32"/>
          <w:highlight w:val="none"/>
          <w:lang w:val="en-US" w:eastAsia="zh-CN"/>
        </w:rPr>
        <w:t xml:space="preserve">泸定县地方志办公室（以下简称县地志办），属财政补助（收支统管、全额保障）的一级预算单位，机构性质：群众团体；单位负责人：强秋明；统一社会信用代码：135133220089812293；单位所在地：四川省甘孜藏族自治州泸定县泸桥镇瑞金路359号。 </w:t>
      </w:r>
    </w:p>
    <w:p w14:paraId="5FA54FAF">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default" w:ascii="Times New Roman" w:hAnsi="Times New Roman" w:eastAsia="方正楷体简体" w:cs="Times New Roman"/>
          <w:color w:val="auto"/>
          <w:kern w:val="2"/>
          <w:sz w:val="32"/>
          <w:szCs w:val="32"/>
          <w:highlight w:val="none"/>
          <w:shd w:val="clear"/>
          <w:lang w:val="zh-CN" w:eastAsia="zh"/>
        </w:rPr>
      </w:pPr>
      <w:bookmarkStart w:id="30" w:name="_Toc17750"/>
      <w:bookmarkStart w:id="31" w:name="_Toc31223"/>
      <w:bookmarkStart w:id="32" w:name="_Toc1278"/>
      <w:bookmarkStart w:id="33" w:name="_Toc16904"/>
      <w:bookmarkStart w:id="34" w:name="_Toc28538"/>
      <w:bookmarkStart w:id="35" w:name="_Toc26703"/>
      <w:r>
        <w:rPr>
          <w:rFonts w:hint="default" w:ascii="Times New Roman" w:hAnsi="Times New Roman" w:eastAsia="方正楷体简体" w:cs="Times New Roman"/>
          <w:color w:val="auto"/>
          <w:kern w:val="2"/>
          <w:sz w:val="32"/>
          <w:szCs w:val="32"/>
          <w:highlight w:val="none"/>
          <w:shd w:val="clear"/>
          <w:lang w:val="zh-CN" w:eastAsia="zh-CN"/>
        </w:rPr>
        <w:t>（二）部门</w:t>
      </w:r>
      <w:bookmarkEnd w:id="30"/>
      <w:bookmarkEnd w:id="31"/>
      <w:bookmarkEnd w:id="32"/>
      <w:r>
        <w:rPr>
          <w:rFonts w:hint="default" w:ascii="Times New Roman" w:hAnsi="Times New Roman" w:eastAsia="方正楷体简体" w:cs="Times New Roman"/>
          <w:color w:val="auto"/>
          <w:kern w:val="2"/>
          <w:sz w:val="32"/>
          <w:szCs w:val="32"/>
          <w:highlight w:val="none"/>
          <w:shd w:val="clear"/>
          <w:lang w:val="zh-CN" w:eastAsia="zh"/>
        </w:rPr>
        <w:t>内设机构及人员概况</w:t>
      </w:r>
      <w:bookmarkEnd w:id="33"/>
      <w:bookmarkEnd w:id="34"/>
      <w:bookmarkEnd w:id="35"/>
    </w:p>
    <w:p w14:paraId="20FA589F">
      <w:pPr>
        <w:keepNext w:val="0"/>
        <w:keepLines w:val="0"/>
        <w:pageBreakBefore w:val="0"/>
        <w:kinsoku/>
        <w:wordWrap/>
        <w:overflowPunct/>
        <w:topLinePunct w:val="0"/>
        <w:autoSpaceDE/>
        <w:autoSpaceDN/>
        <w:bidi w:val="0"/>
        <w:spacing w:line="600" w:lineRule="exact"/>
        <w:ind w:left="0" w:leftChars="0" w:right="0" w:rightChars="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（1）内设机构。县地志办内设2个机构</w:t>
      </w:r>
      <w:r>
        <w:rPr>
          <w:rFonts w:hint="default" w:ascii="Times New Roman" w:hAnsi="Times New Roman" w:eastAsia="方正仿宋_GB2312" w:cs="Times New Roman"/>
          <w:bCs w:val="0"/>
          <w:color w:val="auto"/>
          <w:sz w:val="32"/>
          <w:szCs w:val="32"/>
          <w:highlight w:val="none"/>
          <w:lang w:eastAsia="zh-CN"/>
        </w:rPr>
        <w:t>：综合股、编辑股。</w:t>
      </w:r>
      <w:r>
        <w:rPr>
          <w:rFonts w:hint="default" w:ascii="Times New Roman" w:hAnsi="Times New Roman" w:eastAsia="方正仿宋_GB2312" w:cs="Times New Roman"/>
          <w:color w:val="auto"/>
          <w:sz w:val="32"/>
          <w:szCs w:val="32"/>
          <w:highlight w:val="none"/>
          <w:lang w:val="en-US" w:eastAsia="zh-CN"/>
        </w:rPr>
        <w:t>无二级预算单位。</w:t>
      </w:r>
    </w:p>
    <w:p w14:paraId="79977149">
      <w:pPr>
        <w:keepNext w:val="0"/>
        <w:keepLines w:val="0"/>
        <w:pageBreakBefore w:val="0"/>
        <w:kinsoku/>
        <w:wordWrap/>
        <w:overflowPunct/>
        <w:topLinePunct w:val="0"/>
        <w:autoSpaceDE/>
        <w:autoSpaceDN/>
        <w:bidi w:val="0"/>
        <w:spacing w:line="600" w:lineRule="exact"/>
        <w:ind w:left="0" w:leftChars="0" w:right="0" w:rightChars="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（2）人员概况。县地志办事业编制7名（管理人员6名、工勤人员1名）。领导职数设主任1名。截至2024年末，年末在职实有6人（含工勤人员1人）。</w:t>
      </w:r>
    </w:p>
    <w:p w14:paraId="2171EDF9">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default" w:ascii="Times New Roman" w:hAnsi="Times New Roman" w:eastAsia="方正楷体简体" w:cs="Times New Roman"/>
          <w:color w:val="auto"/>
          <w:kern w:val="2"/>
          <w:sz w:val="32"/>
          <w:szCs w:val="32"/>
          <w:highlight w:val="none"/>
          <w:shd w:val="clear"/>
          <w:lang w:val="zh-CN" w:eastAsia="zh-CN"/>
        </w:rPr>
      </w:pPr>
      <w:bookmarkStart w:id="36" w:name="_Toc568184988"/>
      <w:bookmarkStart w:id="37" w:name="_Toc16978"/>
      <w:bookmarkStart w:id="38" w:name="_Toc12241"/>
      <w:bookmarkStart w:id="39" w:name="_Toc22604"/>
      <w:bookmarkStart w:id="40" w:name="_Toc21223"/>
      <w:bookmarkStart w:id="41" w:name="_Toc16740"/>
      <w:r>
        <w:rPr>
          <w:rFonts w:hint="default" w:ascii="Times New Roman" w:hAnsi="Times New Roman" w:eastAsia="方正楷体简体" w:cs="Times New Roman"/>
          <w:color w:val="auto"/>
          <w:kern w:val="2"/>
          <w:sz w:val="32"/>
          <w:szCs w:val="32"/>
          <w:highlight w:val="none"/>
          <w:shd w:val="clear"/>
          <w:lang w:val="zh-CN"/>
        </w:rPr>
        <w:t>（</w:t>
      </w:r>
      <w:r>
        <w:rPr>
          <w:rFonts w:hint="default" w:ascii="Times New Roman" w:hAnsi="Times New Roman" w:eastAsia="方正楷体简体" w:cs="Times New Roman"/>
          <w:color w:val="auto"/>
          <w:kern w:val="2"/>
          <w:sz w:val="32"/>
          <w:szCs w:val="32"/>
          <w:highlight w:val="none"/>
          <w:shd w:val="clear"/>
          <w:lang w:val="zh-CN" w:eastAsia="zh-CN"/>
        </w:rPr>
        <w:t>三</w:t>
      </w:r>
      <w:r>
        <w:rPr>
          <w:rFonts w:hint="default" w:ascii="Times New Roman" w:hAnsi="Times New Roman" w:eastAsia="方正楷体简体" w:cs="Times New Roman"/>
          <w:color w:val="auto"/>
          <w:kern w:val="2"/>
          <w:sz w:val="32"/>
          <w:szCs w:val="32"/>
          <w:highlight w:val="none"/>
          <w:shd w:val="clear"/>
          <w:lang w:val="zh-CN"/>
        </w:rPr>
        <w:t>）</w:t>
      </w:r>
      <w:bookmarkEnd w:id="29"/>
      <w:bookmarkEnd w:id="36"/>
      <w:bookmarkEnd w:id="37"/>
      <w:r>
        <w:rPr>
          <w:rFonts w:hint="default" w:ascii="Times New Roman" w:hAnsi="Times New Roman" w:eastAsia="方正楷体简体" w:cs="Times New Roman"/>
          <w:color w:val="auto"/>
          <w:kern w:val="2"/>
          <w:sz w:val="32"/>
          <w:szCs w:val="32"/>
          <w:highlight w:val="none"/>
          <w:shd w:val="clear"/>
          <w:lang w:val="zh-CN" w:eastAsia="zh-CN"/>
        </w:rPr>
        <w:t>部门职能职责</w:t>
      </w:r>
      <w:bookmarkEnd w:id="38"/>
      <w:bookmarkEnd w:id="39"/>
      <w:bookmarkEnd w:id="40"/>
      <w:bookmarkEnd w:id="41"/>
    </w:p>
    <w:p w14:paraId="10DEF07B">
      <w:pPr>
        <w:keepNext w:val="0"/>
        <w:keepLines w:val="0"/>
        <w:pageBreakBefore w:val="0"/>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bookmarkStart w:id="42" w:name="_Toc33"/>
      <w:bookmarkStart w:id="43" w:name="_Toc109483836"/>
      <w:r>
        <w:rPr>
          <w:rFonts w:hint="default" w:ascii="Times New Roman" w:hAnsi="Times New Roman" w:eastAsia="方正仿宋_GB2312" w:cs="Times New Roman"/>
          <w:color w:val="auto"/>
          <w:sz w:val="32"/>
          <w:szCs w:val="32"/>
          <w:highlight w:val="none"/>
          <w:lang w:val="en-US" w:eastAsia="zh-CN"/>
        </w:rPr>
        <w:t>县地志办的主要职责是：</w:t>
      </w:r>
    </w:p>
    <w:p w14:paraId="6DFE147C">
      <w:pPr>
        <w:keepNext w:val="0"/>
        <w:keepLines w:val="0"/>
        <w:pageBreakBefore w:val="0"/>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1.负责组织起草、审核以县政府、县地志办名义发布的公文、文稿。承办州政府、州地志办及各级各部门发送县政府的文电。指导全县行政机关公文处理工作。</w:t>
      </w:r>
    </w:p>
    <w:p w14:paraId="437A326F">
      <w:pPr>
        <w:keepNext w:val="0"/>
        <w:keepLines w:val="0"/>
        <w:pageBreakBefore w:val="0"/>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2.负责县政府会议会务工作。协助县政府领导落实会议决定事项。</w:t>
      </w:r>
    </w:p>
    <w:p w14:paraId="5B9974E2">
      <w:pPr>
        <w:keepNext w:val="0"/>
        <w:keepLines w:val="0"/>
        <w:pageBreakBefore w:val="0"/>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3.承办县政府部门和乡镇人民政府请示县政府的事项，提出意见报县政府领导审批。</w:t>
      </w:r>
    </w:p>
    <w:p w14:paraId="2C8F0930">
      <w:pPr>
        <w:keepNext w:val="0"/>
        <w:keepLines w:val="0"/>
        <w:pageBreakBefore w:val="0"/>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4.督查反馈县政府决定事项及县政府领导批示指示贯彻落实情况。</w:t>
      </w:r>
    </w:p>
    <w:p w14:paraId="207791B2">
      <w:pPr>
        <w:keepNext w:val="0"/>
        <w:keepLines w:val="0"/>
        <w:pageBreakBefore w:val="0"/>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5.协助县政府领导处理政务、事务。</w:t>
      </w:r>
    </w:p>
    <w:p w14:paraId="151CAF28">
      <w:pPr>
        <w:keepNext w:val="0"/>
        <w:keepLines w:val="0"/>
        <w:pageBreakBefore w:val="0"/>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6.指导、监督全县政府信息公开和机关行政效能建设工作，指导和监督全县政府系统电子政务工作及县政府信息化建设。</w:t>
      </w:r>
    </w:p>
    <w:p w14:paraId="3CAEBC9E">
      <w:pPr>
        <w:keepNext w:val="0"/>
        <w:keepLines w:val="0"/>
        <w:pageBreakBefore w:val="0"/>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7.组织办理涉及县政府工作的人大代表议案、批评、建议和政协委员提案、社情民意等有关工作。</w:t>
      </w:r>
    </w:p>
    <w:p w14:paraId="69012A67">
      <w:pPr>
        <w:keepNext w:val="0"/>
        <w:keepLines w:val="0"/>
        <w:pageBreakBefore w:val="0"/>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8.围绕县政府中心工作和县政府领导指示，组织专题调查研究，反映情况，提出政策性建议。</w:t>
      </w:r>
    </w:p>
    <w:p w14:paraId="736BAF75">
      <w:pPr>
        <w:keepNext w:val="0"/>
        <w:keepLines w:val="0"/>
        <w:pageBreakBefore w:val="0"/>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9.负责县政府值班工作，指导乡镇人民政府和县政府部门值班工作，及时报告重要情况。</w:t>
      </w:r>
    </w:p>
    <w:p w14:paraId="115730AA">
      <w:pPr>
        <w:keepNext w:val="0"/>
        <w:keepLines w:val="0"/>
        <w:pageBreakBefore w:val="0"/>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10.办理县委和县政府交办的其他事项。</w:t>
      </w:r>
    </w:p>
    <w:p w14:paraId="069C751C">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default" w:ascii="Times New Roman" w:hAnsi="Times New Roman" w:eastAsia="方正黑体简体" w:cs="Times New Roman"/>
          <w:color w:val="auto"/>
          <w:kern w:val="0"/>
          <w:sz w:val="32"/>
          <w:szCs w:val="32"/>
          <w:highlight w:val="none"/>
          <w:shd w:val="clear" w:color="auto" w:fill="FFFFFF"/>
          <w:lang w:val="zh-CN"/>
        </w:rPr>
      </w:pPr>
      <w:bookmarkStart w:id="44" w:name="_Toc5982"/>
      <w:bookmarkStart w:id="45" w:name="_Toc16871"/>
      <w:bookmarkStart w:id="46" w:name="_Toc1218480988"/>
      <w:bookmarkStart w:id="47" w:name="_Toc13707"/>
      <w:bookmarkStart w:id="48" w:name="_Toc14896"/>
      <w:bookmarkStart w:id="49" w:name="_Toc22594"/>
      <w:bookmarkStart w:id="50" w:name="_Toc15163"/>
      <w:bookmarkStart w:id="51" w:name="_Toc26564"/>
      <w:r>
        <w:rPr>
          <w:rFonts w:hint="default" w:ascii="Times New Roman" w:hAnsi="Times New Roman" w:eastAsia="方正黑体简体" w:cs="Times New Roman"/>
          <w:color w:val="auto"/>
          <w:kern w:val="0"/>
          <w:sz w:val="32"/>
          <w:szCs w:val="32"/>
          <w:highlight w:val="none"/>
          <w:shd w:val="clear" w:color="auto" w:fill="FFFFFF"/>
          <w:lang w:val="zh-CN"/>
        </w:rPr>
        <w:t>二、</w:t>
      </w:r>
      <w:r>
        <w:rPr>
          <w:rFonts w:hint="default" w:ascii="Times New Roman" w:hAnsi="Times New Roman" w:eastAsia="方正黑体简体" w:cs="Times New Roman"/>
          <w:color w:val="auto"/>
          <w:kern w:val="0"/>
          <w:sz w:val="32"/>
          <w:szCs w:val="32"/>
          <w:highlight w:val="none"/>
          <w:shd w:val="clear" w:color="auto" w:fill="FFFFFF"/>
          <w:lang w:val="en-US" w:eastAsia="zh-CN"/>
        </w:rPr>
        <w:t>部门收支</w:t>
      </w:r>
      <w:r>
        <w:rPr>
          <w:rFonts w:hint="default" w:ascii="Times New Roman" w:hAnsi="Times New Roman" w:eastAsia="方正黑体简体" w:cs="Times New Roman"/>
          <w:color w:val="auto"/>
          <w:kern w:val="0"/>
          <w:sz w:val="32"/>
          <w:szCs w:val="32"/>
          <w:highlight w:val="none"/>
          <w:shd w:val="clear" w:color="auto" w:fill="FFFFFF"/>
          <w:lang w:val="zh-CN"/>
        </w:rPr>
        <w:t>情况</w:t>
      </w:r>
      <w:bookmarkEnd w:id="42"/>
      <w:bookmarkEnd w:id="43"/>
      <w:bookmarkEnd w:id="44"/>
      <w:bookmarkEnd w:id="45"/>
      <w:bookmarkEnd w:id="46"/>
      <w:bookmarkEnd w:id="47"/>
      <w:bookmarkEnd w:id="48"/>
      <w:bookmarkEnd w:id="49"/>
      <w:bookmarkEnd w:id="50"/>
      <w:bookmarkEnd w:id="51"/>
      <w:bookmarkStart w:id="52" w:name="_Toc109483837"/>
      <w:bookmarkStart w:id="53" w:name="_Toc2659"/>
    </w:p>
    <w:bookmarkEnd w:id="52"/>
    <w:bookmarkEnd w:id="53"/>
    <w:p w14:paraId="24BA0DDE">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default" w:ascii="Times New Roman" w:hAnsi="Times New Roman" w:eastAsia="方正楷体简体" w:cs="Times New Roman"/>
          <w:color w:val="auto"/>
          <w:kern w:val="2"/>
          <w:sz w:val="32"/>
          <w:szCs w:val="32"/>
          <w:highlight w:val="none"/>
          <w:shd w:val="clear"/>
          <w:lang w:val="zh-CN"/>
        </w:rPr>
      </w:pPr>
      <w:bookmarkStart w:id="54" w:name="_Toc1949541301"/>
      <w:bookmarkStart w:id="55" w:name="_Toc15898"/>
      <w:bookmarkStart w:id="56" w:name="_Toc32369"/>
      <w:bookmarkStart w:id="57" w:name="_Toc25866"/>
      <w:bookmarkStart w:id="58" w:name="_Toc11105"/>
      <w:bookmarkStart w:id="59" w:name="_Toc21428"/>
      <w:bookmarkStart w:id="60" w:name="_Toc2374"/>
      <w:bookmarkStart w:id="61" w:name="_Toc29180"/>
      <w:r>
        <w:rPr>
          <w:rFonts w:hint="default" w:ascii="Times New Roman" w:hAnsi="Times New Roman" w:eastAsia="方正楷体简体" w:cs="Times New Roman"/>
          <w:color w:val="auto"/>
          <w:kern w:val="2"/>
          <w:sz w:val="32"/>
          <w:szCs w:val="32"/>
          <w:highlight w:val="none"/>
          <w:shd w:val="clear"/>
          <w:lang w:val="zh-CN"/>
        </w:rPr>
        <w:t>（</w:t>
      </w:r>
      <w:r>
        <w:rPr>
          <w:rFonts w:hint="default" w:ascii="Times New Roman" w:hAnsi="Times New Roman" w:eastAsia="方正楷体简体" w:cs="Times New Roman"/>
          <w:color w:val="auto"/>
          <w:kern w:val="2"/>
          <w:sz w:val="32"/>
          <w:szCs w:val="32"/>
          <w:highlight w:val="none"/>
          <w:shd w:val="clear"/>
          <w:lang w:val="fr-FR"/>
        </w:rPr>
        <w:t>一</w:t>
      </w:r>
      <w:r>
        <w:rPr>
          <w:rFonts w:hint="default" w:ascii="Times New Roman" w:hAnsi="Times New Roman" w:eastAsia="方正楷体简体" w:cs="Times New Roman"/>
          <w:color w:val="auto"/>
          <w:kern w:val="2"/>
          <w:sz w:val="32"/>
          <w:szCs w:val="32"/>
          <w:highlight w:val="none"/>
          <w:shd w:val="clear"/>
          <w:lang w:val="zh-CN"/>
        </w:rPr>
        <w:t>）收入情况</w:t>
      </w:r>
      <w:bookmarkEnd w:id="54"/>
      <w:bookmarkEnd w:id="55"/>
      <w:bookmarkEnd w:id="56"/>
      <w:bookmarkEnd w:id="57"/>
      <w:bookmarkEnd w:id="58"/>
      <w:bookmarkEnd w:id="59"/>
      <w:bookmarkEnd w:id="60"/>
      <w:bookmarkEnd w:id="61"/>
      <w:bookmarkStart w:id="62" w:name="_Toc19132"/>
    </w:p>
    <w:bookmarkEnd w:id="62"/>
    <w:p w14:paraId="412DDDD9">
      <w:pPr>
        <w:keepNext w:val="0"/>
        <w:keepLines w:val="0"/>
        <w:pageBreakBefore w:val="0"/>
        <w:widowControl/>
        <w:kinsoku/>
        <w:wordWrap/>
        <w:overflowPunct/>
        <w:topLinePunct w:val="0"/>
        <w:autoSpaceDE/>
        <w:autoSpaceDN/>
        <w:bidi w:val="0"/>
        <w:adjustRightInd/>
        <w:snapToGrid/>
        <w:spacing w:line="600" w:lineRule="exact"/>
        <w:ind w:firstLine="560"/>
        <w:textAlignment w:val="auto"/>
        <w:outlineLvl w:val="9"/>
        <w:rPr>
          <w:rFonts w:hint="default" w:ascii="Times New Roman" w:hAnsi="Times New Roman" w:eastAsia="方正仿宋_GB2312" w:cs="Times New Roman"/>
          <w:bCs w:val="0"/>
          <w:color w:val="auto"/>
          <w:sz w:val="32"/>
          <w:szCs w:val="32"/>
          <w:highlight w:val="none"/>
          <w:lang w:val="en-US" w:eastAsia="zh-CN"/>
        </w:rPr>
      </w:pPr>
      <w:bookmarkStart w:id="63" w:name="_Toc19326"/>
      <w:bookmarkStart w:id="64" w:name="_Toc21171"/>
      <w:bookmarkStart w:id="65" w:name="_Toc27782"/>
      <w:bookmarkStart w:id="66" w:name="_Toc349786989"/>
      <w:bookmarkStart w:id="67" w:name="_Toc27073"/>
      <w:bookmarkStart w:id="68" w:name="_Toc17751"/>
      <w:bookmarkStart w:id="69" w:name="_Toc109483838"/>
      <w:r>
        <w:rPr>
          <w:rFonts w:hint="default" w:ascii="Times New Roman" w:hAnsi="Times New Roman" w:eastAsia="方正仿宋_GB2312" w:cs="Times New Roman"/>
          <w:bCs w:val="0"/>
          <w:color w:val="auto"/>
          <w:sz w:val="32"/>
          <w:szCs w:val="32"/>
          <w:highlight w:val="none"/>
          <w:lang w:val="en-US" w:eastAsia="zh-CN"/>
        </w:rPr>
        <w:t>年初预算反映，县地志办2024年预算收入合计174.25万元，上年结转结余0.00万元，无预算调整。本年收入71.13万元，全部为一般公共预算财政拨款收入。</w:t>
      </w:r>
    </w:p>
    <w:p w14:paraId="001FEF04">
      <w:pPr>
        <w:keepNext w:val="0"/>
        <w:keepLines w:val="0"/>
        <w:pageBreakBefore w:val="0"/>
        <w:widowControl/>
        <w:kinsoku/>
        <w:wordWrap/>
        <w:overflowPunct/>
        <w:topLinePunct w:val="0"/>
        <w:autoSpaceDE/>
        <w:autoSpaceDN/>
        <w:bidi w:val="0"/>
        <w:adjustRightInd/>
        <w:snapToGrid/>
        <w:spacing w:line="600" w:lineRule="exact"/>
        <w:ind w:left="0" w:leftChars="0" w:right="0" w:rightChars="0" w:firstLine="560"/>
        <w:textAlignment w:val="auto"/>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bCs w:val="0"/>
          <w:color w:val="auto"/>
          <w:sz w:val="32"/>
          <w:szCs w:val="32"/>
          <w:highlight w:val="none"/>
          <w:lang w:val="en-US" w:eastAsia="zh-CN"/>
        </w:rPr>
        <w:t>决算报表反映，县地志办2024年决算收入合计192.12万元，全部为一般公共预算财政拨款收入，无年初结转和结余</w:t>
      </w:r>
      <w:r>
        <w:rPr>
          <w:rFonts w:hint="default" w:ascii="Times New Roman" w:hAnsi="Times New Roman" w:eastAsia="方正仿宋_GB2312" w:cs="Times New Roman"/>
          <w:color w:val="auto"/>
          <w:sz w:val="32"/>
          <w:szCs w:val="32"/>
          <w:highlight w:val="none"/>
          <w:lang w:val="en-US" w:eastAsia="zh-CN"/>
        </w:rPr>
        <w:t>。</w:t>
      </w:r>
    </w:p>
    <w:p w14:paraId="53A3587D">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default" w:ascii="Times New Roman" w:hAnsi="Times New Roman" w:eastAsia="方正楷体简体" w:cs="Times New Roman"/>
          <w:color w:val="auto"/>
          <w:kern w:val="2"/>
          <w:sz w:val="32"/>
          <w:szCs w:val="32"/>
          <w:highlight w:val="none"/>
          <w:shd w:val="clear"/>
          <w:lang w:val="zh-CN"/>
        </w:rPr>
      </w:pPr>
      <w:bookmarkStart w:id="70" w:name="_Toc30600"/>
      <w:bookmarkStart w:id="71" w:name="_Toc15130"/>
      <w:bookmarkStart w:id="72" w:name="_Toc16309"/>
      <w:r>
        <w:rPr>
          <w:rFonts w:hint="default" w:ascii="Times New Roman" w:hAnsi="Times New Roman" w:eastAsia="方正楷体简体" w:cs="Times New Roman"/>
          <w:color w:val="auto"/>
          <w:kern w:val="2"/>
          <w:sz w:val="32"/>
          <w:szCs w:val="32"/>
          <w:highlight w:val="none"/>
          <w:shd w:val="clear"/>
          <w:lang w:val="zh-CN"/>
        </w:rPr>
        <w:t>（二）支出情况</w:t>
      </w:r>
      <w:bookmarkEnd w:id="63"/>
      <w:bookmarkEnd w:id="64"/>
      <w:bookmarkEnd w:id="65"/>
      <w:bookmarkEnd w:id="66"/>
      <w:bookmarkEnd w:id="67"/>
      <w:bookmarkEnd w:id="68"/>
      <w:bookmarkEnd w:id="69"/>
      <w:bookmarkEnd w:id="70"/>
      <w:bookmarkEnd w:id="71"/>
      <w:bookmarkEnd w:id="72"/>
    </w:p>
    <w:p w14:paraId="190EFD14">
      <w:pPr>
        <w:widowControl/>
        <w:spacing w:line="600" w:lineRule="exact"/>
        <w:ind w:firstLine="560"/>
        <w:outlineLvl w:val="9"/>
        <w:rPr>
          <w:rFonts w:hint="default" w:ascii="Times New Roman" w:hAnsi="Times New Roman" w:eastAsia="方正仿宋_GB2312" w:cs="Times New Roman"/>
          <w:color w:val="auto"/>
          <w:sz w:val="32"/>
          <w:szCs w:val="32"/>
          <w:highlight w:val="none"/>
        </w:rPr>
      </w:pPr>
      <w:bookmarkStart w:id="73" w:name="_Toc24721"/>
      <w:bookmarkStart w:id="74" w:name="_Toc10837"/>
      <w:bookmarkStart w:id="75" w:name="_Toc18390"/>
      <w:bookmarkStart w:id="76" w:name="_Toc809"/>
      <w:bookmarkStart w:id="77" w:name="_Toc1457008154"/>
      <w:bookmarkStart w:id="78" w:name="_Toc109483839"/>
      <w:bookmarkStart w:id="79" w:name="_Toc13841"/>
      <w:r>
        <w:rPr>
          <w:rFonts w:hint="default" w:ascii="Times New Roman" w:hAnsi="Times New Roman" w:eastAsia="方正仿宋_GB2312" w:cs="Times New Roman"/>
          <w:bCs w:val="0"/>
          <w:color w:val="auto"/>
          <w:sz w:val="32"/>
          <w:szCs w:val="32"/>
          <w:highlight w:val="none"/>
          <w:lang w:val="en-US" w:eastAsia="zh-CN"/>
        </w:rPr>
        <w:t>年初预算反映</w:t>
      </w:r>
      <w:r>
        <w:rPr>
          <w:rFonts w:hint="default" w:ascii="Times New Roman" w:hAnsi="Times New Roman" w:eastAsia="方正仿宋_GB2312" w:cs="Times New Roman"/>
          <w:color w:val="auto"/>
          <w:sz w:val="32"/>
          <w:szCs w:val="32"/>
          <w:highlight w:val="none"/>
        </w:rPr>
        <w:t>，</w:t>
      </w:r>
      <w:r>
        <w:rPr>
          <w:rFonts w:hint="default" w:ascii="Times New Roman" w:hAnsi="Times New Roman" w:eastAsia="方正仿宋_GB2312" w:cs="Times New Roman"/>
          <w:color w:val="auto"/>
          <w:sz w:val="32"/>
          <w:szCs w:val="32"/>
          <w:highlight w:val="none"/>
          <w:lang w:eastAsia="zh-CN"/>
        </w:rPr>
        <w:t>县地志办</w:t>
      </w:r>
      <w:r>
        <w:rPr>
          <w:rFonts w:hint="default" w:ascii="Times New Roman" w:hAnsi="Times New Roman" w:eastAsia="方正仿宋_GB2312" w:cs="Times New Roman"/>
          <w:color w:val="auto"/>
          <w:sz w:val="32"/>
          <w:szCs w:val="32"/>
          <w:highlight w:val="none"/>
        </w:rPr>
        <w:t>202</w:t>
      </w:r>
      <w:r>
        <w:rPr>
          <w:rFonts w:hint="default" w:ascii="Times New Roman" w:hAnsi="Times New Roman" w:eastAsia="方正仿宋_GB2312" w:cs="Times New Roman"/>
          <w:color w:val="auto"/>
          <w:sz w:val="32"/>
          <w:szCs w:val="32"/>
          <w:highlight w:val="none"/>
          <w:lang w:val="en-US" w:eastAsia="zh-CN"/>
        </w:rPr>
        <w:t>4</w:t>
      </w:r>
      <w:r>
        <w:rPr>
          <w:rFonts w:hint="default" w:ascii="Times New Roman" w:hAnsi="Times New Roman" w:eastAsia="方正仿宋_GB2312" w:cs="Times New Roman"/>
          <w:color w:val="auto"/>
          <w:sz w:val="32"/>
          <w:szCs w:val="32"/>
          <w:highlight w:val="none"/>
        </w:rPr>
        <w:t>年预算支出合计</w:t>
      </w:r>
      <w:r>
        <w:rPr>
          <w:rFonts w:hint="default" w:ascii="Times New Roman" w:hAnsi="Times New Roman" w:eastAsia="方正仿宋_GB2312" w:cs="Times New Roman"/>
          <w:bCs w:val="0"/>
          <w:color w:val="auto"/>
          <w:sz w:val="32"/>
          <w:szCs w:val="32"/>
          <w:highlight w:val="none"/>
          <w:lang w:val="en-US" w:eastAsia="zh-CN"/>
        </w:rPr>
        <w:t>174.25</w:t>
      </w:r>
      <w:r>
        <w:rPr>
          <w:rFonts w:hint="default" w:ascii="Times New Roman" w:hAnsi="Times New Roman" w:eastAsia="方正仿宋_GB2312" w:cs="Times New Roman"/>
          <w:color w:val="auto"/>
          <w:sz w:val="32"/>
          <w:szCs w:val="32"/>
          <w:highlight w:val="none"/>
        </w:rPr>
        <w:t>万元，无年末结转和结余。本年支出中：基本支出</w:t>
      </w:r>
      <w:r>
        <w:rPr>
          <w:rFonts w:hint="default" w:ascii="Times New Roman" w:hAnsi="Times New Roman" w:eastAsia="方正仿宋_GB2312" w:cs="Times New Roman"/>
          <w:color w:val="auto"/>
          <w:sz w:val="32"/>
          <w:szCs w:val="32"/>
          <w:highlight w:val="none"/>
          <w:lang w:eastAsia="zh-CN"/>
        </w:rPr>
        <w:t>146.25</w:t>
      </w:r>
      <w:r>
        <w:rPr>
          <w:rFonts w:hint="default" w:ascii="Times New Roman" w:hAnsi="Times New Roman" w:eastAsia="方正仿宋_GB2312" w:cs="Times New Roman"/>
          <w:color w:val="auto"/>
          <w:sz w:val="32"/>
          <w:szCs w:val="32"/>
          <w:highlight w:val="none"/>
        </w:rPr>
        <w:t>万元</w:t>
      </w:r>
      <w:r>
        <w:rPr>
          <w:rFonts w:hint="default" w:ascii="Times New Roman" w:hAnsi="Times New Roman" w:eastAsia="方正仿宋_GB2312" w:cs="Times New Roman"/>
          <w:color w:val="auto"/>
          <w:sz w:val="32"/>
          <w:szCs w:val="32"/>
          <w:highlight w:val="none"/>
          <w:lang w:eastAsia="zh-CN"/>
        </w:rPr>
        <w:t>（</w:t>
      </w:r>
      <w:r>
        <w:rPr>
          <w:rFonts w:hint="default" w:ascii="Times New Roman" w:hAnsi="Times New Roman" w:eastAsia="方正仿宋_GB2312" w:cs="Times New Roman"/>
          <w:color w:val="auto"/>
          <w:sz w:val="32"/>
          <w:szCs w:val="32"/>
          <w:highlight w:val="none"/>
          <w:lang w:val="en-US" w:eastAsia="zh-CN"/>
        </w:rPr>
        <w:t>人员经费</w:t>
      </w:r>
      <w:r>
        <w:rPr>
          <w:rFonts w:hint="default" w:ascii="Times New Roman" w:hAnsi="Times New Roman" w:eastAsia="方正仿宋_GB2312" w:cs="Times New Roman"/>
          <w:color w:val="auto"/>
          <w:sz w:val="32"/>
          <w:szCs w:val="32"/>
          <w:highlight w:val="none"/>
          <w:lang w:eastAsia="zh-CN"/>
        </w:rPr>
        <w:t>136.65</w:t>
      </w:r>
      <w:r>
        <w:rPr>
          <w:rFonts w:hint="default" w:ascii="Times New Roman" w:hAnsi="Times New Roman" w:eastAsia="方正仿宋_GB2312" w:cs="Times New Roman"/>
          <w:color w:val="auto"/>
          <w:sz w:val="32"/>
          <w:szCs w:val="32"/>
          <w:highlight w:val="none"/>
          <w:lang w:val="en-US" w:eastAsia="zh-CN"/>
        </w:rPr>
        <w:t>万元、公用经费9.60万元</w:t>
      </w:r>
      <w:r>
        <w:rPr>
          <w:rFonts w:hint="default" w:ascii="Times New Roman" w:hAnsi="Times New Roman" w:eastAsia="方正仿宋_GB2312" w:cs="Times New Roman"/>
          <w:color w:val="auto"/>
          <w:sz w:val="32"/>
          <w:szCs w:val="32"/>
          <w:highlight w:val="none"/>
          <w:lang w:eastAsia="zh-CN"/>
        </w:rPr>
        <w:t>）</w:t>
      </w:r>
      <w:r>
        <w:rPr>
          <w:rFonts w:hint="default" w:ascii="Times New Roman" w:hAnsi="Times New Roman" w:eastAsia="方正仿宋_GB2312" w:cs="Times New Roman"/>
          <w:color w:val="auto"/>
          <w:sz w:val="32"/>
          <w:szCs w:val="32"/>
          <w:highlight w:val="none"/>
        </w:rPr>
        <w:t>，项目支出</w:t>
      </w:r>
      <w:r>
        <w:rPr>
          <w:rFonts w:hint="default" w:ascii="Times New Roman" w:hAnsi="Times New Roman" w:eastAsia="方正仿宋_GB2312" w:cs="Times New Roman"/>
          <w:color w:val="auto"/>
          <w:sz w:val="32"/>
          <w:szCs w:val="32"/>
          <w:highlight w:val="none"/>
          <w:lang w:val="en-US" w:eastAsia="zh-CN"/>
        </w:rPr>
        <w:t>28</w:t>
      </w:r>
      <w:r>
        <w:rPr>
          <w:rFonts w:hint="default" w:ascii="Times New Roman" w:hAnsi="Times New Roman" w:eastAsia="方正仿宋_GB2312" w:cs="Times New Roman"/>
          <w:color w:val="auto"/>
          <w:sz w:val="32"/>
          <w:szCs w:val="32"/>
          <w:highlight w:val="none"/>
        </w:rPr>
        <w:t>万元。</w:t>
      </w:r>
    </w:p>
    <w:p w14:paraId="70A2FEF6">
      <w:pPr>
        <w:widowControl/>
        <w:spacing w:line="600" w:lineRule="exact"/>
        <w:ind w:firstLine="560"/>
        <w:outlineLvl w:val="9"/>
        <w:rPr>
          <w:rFonts w:hint="default" w:ascii="Times New Roman" w:hAnsi="Times New Roman" w:eastAsia="方正仿宋_GB2312" w:cs="Times New Roman"/>
          <w:color w:val="auto"/>
          <w:sz w:val="32"/>
          <w:szCs w:val="32"/>
          <w:highlight w:val="none"/>
        </w:rPr>
      </w:pPr>
      <w:r>
        <w:rPr>
          <w:rFonts w:hint="default" w:ascii="Times New Roman" w:hAnsi="Times New Roman" w:eastAsia="方正仿宋_GB2312" w:cs="Times New Roman"/>
          <w:color w:val="auto"/>
          <w:sz w:val="32"/>
          <w:szCs w:val="32"/>
          <w:highlight w:val="none"/>
        </w:rPr>
        <w:t>决算报表反映，</w:t>
      </w:r>
      <w:r>
        <w:rPr>
          <w:rFonts w:hint="default" w:ascii="Times New Roman" w:hAnsi="Times New Roman" w:eastAsia="方正仿宋_GB2312" w:cs="Times New Roman"/>
          <w:color w:val="auto"/>
          <w:sz w:val="32"/>
          <w:szCs w:val="32"/>
          <w:highlight w:val="none"/>
          <w:lang w:eastAsia="zh-CN"/>
        </w:rPr>
        <w:t>县地志办</w:t>
      </w:r>
      <w:r>
        <w:rPr>
          <w:rFonts w:hint="default" w:ascii="Times New Roman" w:hAnsi="Times New Roman" w:eastAsia="方正仿宋_GB2312" w:cs="Times New Roman"/>
          <w:color w:val="auto"/>
          <w:sz w:val="32"/>
          <w:szCs w:val="32"/>
          <w:highlight w:val="none"/>
        </w:rPr>
        <w:t>202</w:t>
      </w:r>
      <w:r>
        <w:rPr>
          <w:rFonts w:hint="default" w:ascii="Times New Roman" w:hAnsi="Times New Roman" w:eastAsia="方正仿宋_GB2312" w:cs="Times New Roman"/>
          <w:color w:val="auto"/>
          <w:sz w:val="32"/>
          <w:szCs w:val="32"/>
          <w:highlight w:val="none"/>
          <w:lang w:val="en-US" w:eastAsia="zh-CN"/>
        </w:rPr>
        <w:t>4</w:t>
      </w:r>
      <w:r>
        <w:rPr>
          <w:rFonts w:hint="default" w:ascii="Times New Roman" w:hAnsi="Times New Roman" w:eastAsia="方正仿宋_GB2312" w:cs="Times New Roman"/>
          <w:color w:val="auto"/>
          <w:sz w:val="32"/>
          <w:szCs w:val="32"/>
          <w:highlight w:val="none"/>
        </w:rPr>
        <w:t>年决算支出合计</w:t>
      </w:r>
      <w:r>
        <w:rPr>
          <w:rFonts w:hint="default" w:ascii="Times New Roman" w:hAnsi="Times New Roman" w:eastAsia="方正仿宋_GB2312" w:cs="Times New Roman"/>
          <w:bCs w:val="0"/>
          <w:color w:val="auto"/>
          <w:sz w:val="32"/>
          <w:szCs w:val="32"/>
          <w:highlight w:val="none"/>
          <w:lang w:val="en-US" w:eastAsia="zh-CN"/>
        </w:rPr>
        <w:t>192.12</w:t>
      </w:r>
      <w:r>
        <w:rPr>
          <w:rFonts w:hint="default" w:ascii="Times New Roman" w:hAnsi="Times New Roman" w:eastAsia="方正仿宋_GB2312" w:cs="Times New Roman"/>
          <w:color w:val="auto"/>
          <w:sz w:val="32"/>
          <w:szCs w:val="32"/>
          <w:highlight w:val="none"/>
        </w:rPr>
        <w:t>万元，均为本年支出，</w:t>
      </w:r>
      <w:r>
        <w:rPr>
          <w:rFonts w:hint="default" w:ascii="Times New Roman" w:hAnsi="Times New Roman" w:eastAsia="方正仿宋_GB2312" w:cs="Times New Roman"/>
          <w:color w:val="auto"/>
          <w:sz w:val="32"/>
          <w:szCs w:val="32"/>
          <w:highlight w:val="none"/>
          <w:lang w:val="en-US" w:eastAsia="zh-CN"/>
        </w:rPr>
        <w:t>无</w:t>
      </w:r>
      <w:r>
        <w:rPr>
          <w:rFonts w:hint="default" w:ascii="Times New Roman" w:hAnsi="Times New Roman" w:eastAsia="方正仿宋_GB2312" w:cs="Times New Roman"/>
          <w:color w:val="auto"/>
          <w:sz w:val="32"/>
          <w:szCs w:val="32"/>
          <w:highlight w:val="none"/>
        </w:rPr>
        <w:t>年末结转和结余。本年支出中：基本支出</w:t>
      </w:r>
      <w:r>
        <w:rPr>
          <w:rFonts w:hint="default" w:ascii="Times New Roman" w:hAnsi="Times New Roman" w:eastAsia="方正仿宋_GB2312" w:cs="Times New Roman"/>
          <w:color w:val="auto"/>
          <w:sz w:val="32"/>
          <w:szCs w:val="32"/>
          <w:highlight w:val="none"/>
          <w:lang w:val="en-US" w:eastAsia="zh-CN"/>
        </w:rPr>
        <w:t>164.12</w:t>
      </w:r>
      <w:r>
        <w:rPr>
          <w:rFonts w:hint="default" w:ascii="Times New Roman" w:hAnsi="Times New Roman" w:eastAsia="方正仿宋_GB2312" w:cs="Times New Roman"/>
          <w:color w:val="auto"/>
          <w:sz w:val="32"/>
          <w:szCs w:val="32"/>
          <w:highlight w:val="none"/>
        </w:rPr>
        <w:t>万元（人员经费</w:t>
      </w:r>
      <w:r>
        <w:rPr>
          <w:rFonts w:hint="default" w:ascii="Times New Roman" w:hAnsi="Times New Roman" w:eastAsia="方正仿宋_GB2312" w:cs="Times New Roman"/>
          <w:color w:val="auto"/>
          <w:sz w:val="32"/>
          <w:szCs w:val="32"/>
          <w:highlight w:val="none"/>
          <w:lang w:val="en-US" w:eastAsia="zh-CN"/>
        </w:rPr>
        <w:t>155.30</w:t>
      </w:r>
      <w:r>
        <w:rPr>
          <w:rFonts w:hint="default" w:ascii="Times New Roman" w:hAnsi="Times New Roman" w:eastAsia="方正仿宋_GB2312" w:cs="Times New Roman"/>
          <w:color w:val="auto"/>
          <w:sz w:val="32"/>
          <w:szCs w:val="32"/>
          <w:highlight w:val="none"/>
        </w:rPr>
        <w:t>万元、公用经费</w:t>
      </w:r>
      <w:r>
        <w:rPr>
          <w:rFonts w:hint="default" w:ascii="Times New Roman" w:hAnsi="Times New Roman" w:eastAsia="方正仿宋_GB2312" w:cs="Times New Roman"/>
          <w:color w:val="auto"/>
          <w:sz w:val="32"/>
          <w:szCs w:val="32"/>
          <w:highlight w:val="none"/>
          <w:lang w:val="en-US" w:eastAsia="zh-CN"/>
        </w:rPr>
        <w:t>8.83</w:t>
      </w:r>
      <w:r>
        <w:rPr>
          <w:rFonts w:hint="default" w:ascii="Times New Roman" w:hAnsi="Times New Roman" w:eastAsia="方正仿宋_GB2312" w:cs="Times New Roman"/>
          <w:color w:val="auto"/>
          <w:sz w:val="32"/>
          <w:szCs w:val="32"/>
          <w:highlight w:val="none"/>
        </w:rPr>
        <w:t>万元），项目支出</w:t>
      </w:r>
      <w:r>
        <w:rPr>
          <w:rFonts w:hint="default" w:ascii="Times New Roman" w:hAnsi="Times New Roman" w:eastAsia="方正仿宋_GB2312" w:cs="Times New Roman"/>
          <w:color w:val="auto"/>
          <w:sz w:val="32"/>
          <w:szCs w:val="32"/>
          <w:highlight w:val="none"/>
          <w:lang w:val="en-US" w:eastAsia="zh-CN"/>
        </w:rPr>
        <w:t>28</w:t>
      </w:r>
      <w:r>
        <w:rPr>
          <w:rFonts w:hint="default" w:ascii="Times New Roman" w:hAnsi="Times New Roman" w:eastAsia="方正仿宋_GB2312" w:cs="Times New Roman"/>
          <w:color w:val="auto"/>
          <w:sz w:val="32"/>
          <w:szCs w:val="32"/>
          <w:highlight w:val="none"/>
        </w:rPr>
        <w:t>万元。</w:t>
      </w:r>
    </w:p>
    <w:p w14:paraId="03B600DB">
      <w:pPr>
        <w:spacing w:line="360" w:lineRule="auto"/>
        <w:ind w:firstLine="640"/>
        <w:rPr>
          <w:rFonts w:hint="default" w:ascii="Times New Roman" w:hAnsi="Times New Roman" w:eastAsia="方正楷体简体" w:cs="Times New Roman"/>
          <w:color w:val="auto"/>
          <w:sz w:val="32"/>
          <w:szCs w:val="32"/>
          <w:highlight w:val="none"/>
          <w:lang w:val="zh-CN" w:eastAsia="zh-CN"/>
        </w:rPr>
      </w:pPr>
      <w:r>
        <w:rPr>
          <w:rFonts w:hint="default" w:ascii="Times New Roman" w:hAnsi="Times New Roman" w:eastAsia="方正楷体简体" w:cs="Times New Roman"/>
          <w:color w:val="auto"/>
          <w:sz w:val="32"/>
          <w:szCs w:val="32"/>
          <w:highlight w:val="none"/>
          <w:lang w:val="zh-CN" w:eastAsia="zh-CN"/>
        </w:rPr>
        <w:t>（三）结余分配和结转结余情况</w:t>
      </w:r>
    </w:p>
    <w:p w14:paraId="28891199">
      <w:pPr>
        <w:widowControl/>
        <w:spacing w:line="600" w:lineRule="exact"/>
        <w:ind w:firstLine="560"/>
        <w:outlineLvl w:val="9"/>
        <w:rPr>
          <w:rFonts w:hint="default" w:ascii="Times New Roman" w:hAnsi="Times New Roman" w:eastAsia="方正仿宋_GB2312" w:cs="Times New Roman"/>
          <w:color w:val="auto"/>
          <w:kern w:val="2"/>
          <w:sz w:val="32"/>
          <w:szCs w:val="32"/>
          <w:highlight w:val="none"/>
        </w:rPr>
      </w:pPr>
      <w:r>
        <w:rPr>
          <w:rFonts w:hint="default" w:ascii="Times New Roman" w:hAnsi="Times New Roman" w:eastAsia="方正仿宋_GB2312" w:cs="Times New Roman"/>
          <w:color w:val="auto"/>
          <w:sz w:val="32"/>
          <w:szCs w:val="32"/>
          <w:highlight w:val="none"/>
          <w:lang w:val="en-US" w:eastAsia="zh-CN"/>
        </w:rPr>
        <w:t>决算报表反映</w:t>
      </w:r>
      <w:r>
        <w:rPr>
          <w:rFonts w:hint="default" w:ascii="Times New Roman" w:hAnsi="Times New Roman" w:eastAsia="方正仿宋_GB2312" w:cs="Times New Roman"/>
          <w:color w:val="auto"/>
          <w:sz w:val="32"/>
          <w:szCs w:val="32"/>
          <w:highlight w:val="none"/>
        </w:rPr>
        <w:t>，</w:t>
      </w:r>
      <w:r>
        <w:rPr>
          <w:rFonts w:hint="default" w:ascii="Times New Roman" w:hAnsi="Times New Roman" w:eastAsia="方正仿宋_GB2312" w:cs="Times New Roman"/>
          <w:color w:val="auto"/>
          <w:sz w:val="32"/>
          <w:szCs w:val="32"/>
          <w:highlight w:val="none"/>
          <w:lang w:eastAsia="zh-CN"/>
        </w:rPr>
        <w:t>县地志办</w:t>
      </w:r>
      <w:r>
        <w:rPr>
          <w:rFonts w:hint="default" w:ascii="Times New Roman" w:hAnsi="Times New Roman" w:eastAsia="方正仿宋_GB2312" w:cs="Times New Roman"/>
          <w:color w:val="auto"/>
          <w:sz w:val="32"/>
          <w:szCs w:val="32"/>
          <w:highlight w:val="none"/>
        </w:rPr>
        <w:t>202</w:t>
      </w:r>
      <w:r>
        <w:rPr>
          <w:rFonts w:hint="default" w:ascii="Times New Roman" w:hAnsi="Times New Roman" w:eastAsia="方正仿宋_GB2312" w:cs="Times New Roman"/>
          <w:color w:val="auto"/>
          <w:sz w:val="32"/>
          <w:szCs w:val="32"/>
          <w:highlight w:val="none"/>
          <w:lang w:val="en-US" w:eastAsia="zh-CN"/>
        </w:rPr>
        <w:t>4</w:t>
      </w:r>
      <w:r>
        <w:rPr>
          <w:rFonts w:hint="default" w:ascii="Times New Roman" w:hAnsi="Times New Roman" w:eastAsia="方正仿宋_GB2312" w:cs="Times New Roman"/>
          <w:color w:val="auto"/>
          <w:sz w:val="32"/>
          <w:szCs w:val="32"/>
          <w:highlight w:val="none"/>
        </w:rPr>
        <w:t>年末无结余分配</w:t>
      </w:r>
      <w:r>
        <w:rPr>
          <w:rFonts w:hint="default" w:ascii="Times New Roman" w:hAnsi="Times New Roman" w:eastAsia="方正仿宋_GB2312" w:cs="Times New Roman"/>
          <w:color w:val="auto"/>
          <w:sz w:val="32"/>
          <w:szCs w:val="32"/>
          <w:highlight w:val="none"/>
          <w:lang w:val="en-US" w:eastAsia="zh-CN"/>
        </w:rPr>
        <w:t>和结转</w:t>
      </w:r>
      <w:r>
        <w:rPr>
          <w:rFonts w:hint="default" w:ascii="Times New Roman" w:hAnsi="Times New Roman" w:eastAsia="方正仿宋_GB2312" w:cs="Times New Roman"/>
          <w:color w:val="auto"/>
          <w:sz w:val="32"/>
          <w:szCs w:val="32"/>
          <w:highlight w:val="none"/>
        </w:rPr>
        <w:t>。</w:t>
      </w:r>
    </w:p>
    <w:p w14:paraId="4BC19A9C">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default" w:ascii="Times New Roman" w:hAnsi="Times New Roman" w:eastAsia="方正黑体简体" w:cs="Times New Roman"/>
          <w:color w:val="auto"/>
          <w:kern w:val="0"/>
          <w:sz w:val="32"/>
          <w:szCs w:val="32"/>
          <w:highlight w:val="none"/>
          <w:shd w:val="clear" w:color="auto" w:fill="FFFFFF"/>
          <w:lang w:val="en-US" w:eastAsia="zh-CN"/>
        </w:rPr>
      </w:pPr>
      <w:bookmarkStart w:id="80" w:name="_Toc16353"/>
      <w:bookmarkStart w:id="81" w:name="_Toc10974"/>
      <w:bookmarkStart w:id="82" w:name="_Toc7705"/>
      <w:r>
        <w:rPr>
          <w:rFonts w:hint="default" w:ascii="Times New Roman" w:hAnsi="Times New Roman" w:eastAsia="方正黑体简体" w:cs="Times New Roman"/>
          <w:color w:val="auto"/>
          <w:kern w:val="0"/>
          <w:sz w:val="32"/>
          <w:szCs w:val="32"/>
          <w:highlight w:val="none"/>
          <w:shd w:val="clear" w:color="auto" w:fill="FFFFFF"/>
        </w:rPr>
        <w:t>三、</w:t>
      </w:r>
      <w:r>
        <w:rPr>
          <w:rFonts w:hint="default" w:ascii="Times New Roman" w:hAnsi="Times New Roman" w:eastAsia="方正黑体简体" w:cs="Times New Roman"/>
          <w:color w:val="auto"/>
          <w:kern w:val="0"/>
          <w:sz w:val="32"/>
          <w:szCs w:val="32"/>
          <w:highlight w:val="none"/>
          <w:shd w:val="clear" w:color="auto" w:fill="FFFFFF"/>
          <w:lang w:val="en-US" w:eastAsia="zh-CN"/>
        </w:rPr>
        <w:t>部门目标实现情况</w:t>
      </w:r>
      <w:bookmarkEnd w:id="73"/>
      <w:bookmarkEnd w:id="74"/>
      <w:bookmarkEnd w:id="75"/>
      <w:bookmarkEnd w:id="80"/>
      <w:bookmarkEnd w:id="81"/>
      <w:bookmarkEnd w:id="82"/>
    </w:p>
    <w:p w14:paraId="5552689A">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default" w:ascii="Times New Roman" w:hAnsi="Times New Roman" w:eastAsia="方正楷体简体" w:cs="Times New Roman"/>
          <w:color w:val="auto"/>
          <w:kern w:val="2"/>
          <w:sz w:val="32"/>
          <w:szCs w:val="32"/>
          <w:highlight w:val="none"/>
          <w:shd w:val="clear"/>
          <w:lang w:val="zh-CN" w:eastAsia="zh-CN"/>
        </w:rPr>
      </w:pPr>
      <w:bookmarkStart w:id="83" w:name="_Toc29501"/>
      <w:bookmarkStart w:id="84" w:name="_Toc1418"/>
      <w:bookmarkStart w:id="85" w:name="_Toc22633"/>
      <w:bookmarkStart w:id="86" w:name="_Toc19300"/>
      <w:bookmarkStart w:id="87" w:name="_Toc3573"/>
      <w:bookmarkStart w:id="88" w:name="_Toc28011"/>
      <w:r>
        <w:rPr>
          <w:rFonts w:hint="default" w:ascii="Times New Roman" w:hAnsi="Times New Roman" w:eastAsia="方正楷体简体" w:cs="Times New Roman"/>
          <w:color w:val="auto"/>
          <w:kern w:val="2"/>
          <w:sz w:val="32"/>
          <w:szCs w:val="32"/>
          <w:highlight w:val="none"/>
          <w:shd w:val="clear"/>
          <w:lang w:val="zh-CN" w:eastAsia="zh-CN"/>
        </w:rPr>
        <w:t>（一）总体目标</w:t>
      </w:r>
      <w:bookmarkEnd w:id="83"/>
      <w:bookmarkEnd w:id="84"/>
      <w:bookmarkEnd w:id="85"/>
      <w:bookmarkEnd w:id="86"/>
      <w:bookmarkEnd w:id="87"/>
      <w:bookmarkEnd w:id="88"/>
    </w:p>
    <w:p w14:paraId="3B7BFA33">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bookmarkStart w:id="89" w:name="_Toc24652"/>
      <w:bookmarkStart w:id="90" w:name="_Toc132"/>
      <w:bookmarkStart w:id="91" w:name="_Toc11959"/>
      <w:r>
        <w:rPr>
          <w:rFonts w:hint="default" w:ascii="Times New Roman" w:hAnsi="Times New Roman" w:eastAsia="方正仿宋_GB2312" w:cs="Times New Roman"/>
          <w:color w:val="auto"/>
          <w:sz w:val="32"/>
          <w:szCs w:val="32"/>
          <w:highlight w:val="none"/>
          <w:lang w:val="en-US" w:eastAsia="zh-CN"/>
        </w:rPr>
        <w:t>为全面、客观、真实地记述地方区域地情，科学地积累、保存与开发、利用地方文献，发挥地方志的资政、教化、存史作用，《泸定年鉴》公开出版发行，完成县志资料收集、归档、动态信息收编工作，完成《泸定扶贫志》资料收集，完成县委、县政府的中心工作。</w:t>
      </w:r>
    </w:p>
    <w:p w14:paraId="332148A8">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default" w:ascii="Times New Roman" w:hAnsi="Times New Roman" w:eastAsia="方正楷体简体" w:cs="Times New Roman"/>
          <w:color w:val="auto"/>
          <w:kern w:val="2"/>
          <w:sz w:val="32"/>
          <w:szCs w:val="32"/>
          <w:highlight w:val="none"/>
          <w:shd w:val="clear"/>
          <w:lang w:val="zh-CN" w:eastAsia="zh-CN"/>
        </w:rPr>
      </w:pPr>
      <w:bookmarkStart w:id="92" w:name="_Toc30825"/>
      <w:bookmarkStart w:id="93" w:name="_Toc6926"/>
      <w:bookmarkStart w:id="94" w:name="_Toc4650"/>
      <w:r>
        <w:rPr>
          <w:rFonts w:hint="default" w:ascii="Times New Roman" w:hAnsi="Times New Roman" w:eastAsia="方正楷体简体" w:cs="Times New Roman"/>
          <w:color w:val="auto"/>
          <w:kern w:val="2"/>
          <w:sz w:val="32"/>
          <w:szCs w:val="32"/>
          <w:highlight w:val="none"/>
          <w:shd w:val="clear"/>
          <w:lang w:val="zh-CN" w:eastAsia="zh-CN"/>
        </w:rPr>
        <w:t>（二）具体目标</w:t>
      </w:r>
      <w:bookmarkEnd w:id="89"/>
      <w:bookmarkEnd w:id="90"/>
      <w:bookmarkEnd w:id="91"/>
      <w:bookmarkEnd w:id="92"/>
      <w:bookmarkEnd w:id="93"/>
      <w:bookmarkEnd w:id="94"/>
    </w:p>
    <w:p w14:paraId="54A408D9">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bookmarkStart w:id="95" w:name="_Toc24081"/>
      <w:bookmarkStart w:id="96" w:name="_Toc17536"/>
      <w:bookmarkStart w:id="97" w:name="_Toc6491"/>
      <w:r>
        <w:rPr>
          <w:rFonts w:hint="default" w:ascii="Times New Roman" w:hAnsi="Times New Roman" w:eastAsia="方正仿宋_GB2312" w:cs="Times New Roman"/>
          <w:color w:val="auto"/>
          <w:sz w:val="32"/>
          <w:szCs w:val="32"/>
          <w:highlight w:val="none"/>
          <w:lang w:val="en-US" w:eastAsia="zh-CN"/>
        </w:rPr>
        <w:t>县地志办2024年认真落实中央、省、州纪委全会部署安排，重点完成以下工作任务：</w:t>
      </w:r>
    </w:p>
    <w:p w14:paraId="4A9CF40B">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1.创新修志编鉴</w:t>
      </w:r>
    </w:p>
    <w:p w14:paraId="161C3630">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一是谋划三轮修志。提前谋划第三轮修志，储备人才、储备资料，为高质量完成即将启动的第三轮修志工作打好基础。指导做好乡镇、村志编纂，服务群众生产生活需求，落实审查制度，不断提升志鉴质量，打造精品志鉴。二是开展泸定扶贫志编纂工作。按照省、州志办要求用两年时间（2024年至2025年）编纂出版《泸定扶贫志》。2024年正式启动编纂前期相关工作。三是编纂出版《泸定年鉴2024卷》。继续完成三级地方志综合年鉴实现一年一鉴、公开出版全覆盖的“两全目标”，确保《泸定年鉴2024卷》当年公开出版。</w:t>
      </w:r>
    </w:p>
    <w:p w14:paraId="2B494A4F">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2.做好依法治志</w:t>
      </w:r>
    </w:p>
    <w:p w14:paraId="7DEF8698">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一是宣传贯彻。抓好省委、省政府办公厅《关于进一步加强和改进新形势下地方志工作的意见》和《甘孜州地方志事业“十四五”发展规划（2021—2025年）》的学习宣传和贯彻落实，并切实履行依法修志工作职责，继续做好年鉴编纂和地方志资源的收集、整理工作。二是读志用志。继续开展地方志书六进活动，发挥乡镇2个史志阅览室的作用，推进为民服务，在全社会大力倡导“敬畏群众、敬畏科学、敬畏历史”的风气，不断扩大志书在社会上的影响力。</w:t>
      </w:r>
    </w:p>
    <w:p w14:paraId="42CC676B">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3.强化地情开发</w:t>
      </w:r>
    </w:p>
    <w:p w14:paraId="244AF3EF">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一是编辑县情资料。继续做好《四川省年鉴》《甘孜州年鉴》《甘孜州图鉴》泸定部分资料的收集、整理、上报和《泸定县每月动态-大事记》的编辑报送工作。二是做好教化存史。强化地方志地情资源资政育人的功能，深化地情资源开发利用，加强对各类志书、年鉴的整理归档、研究分析，提高史志文化影响力；进一步扩大交流合作，加快地方志信息化建设，在泸定之声APP平台设立“县志地情”栏目，让年鉴电子化，通过新媒体了解和宣传泸定，实现教化存史；强化信息报送工作。</w:t>
      </w:r>
    </w:p>
    <w:p w14:paraId="234D532A">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default" w:ascii="Times New Roman" w:hAnsi="Times New Roman" w:eastAsia="方正黑体简体" w:cs="Times New Roman"/>
          <w:color w:val="auto"/>
          <w:kern w:val="0"/>
          <w:sz w:val="32"/>
          <w:szCs w:val="32"/>
          <w:highlight w:val="none"/>
          <w:shd w:val="clear" w:color="auto" w:fill="FFFFFF"/>
        </w:rPr>
      </w:pPr>
      <w:bookmarkStart w:id="98" w:name="_Toc13068"/>
      <w:bookmarkStart w:id="99" w:name="_Toc32189"/>
      <w:bookmarkStart w:id="100" w:name="_Toc21154"/>
      <w:r>
        <w:rPr>
          <w:rFonts w:hint="default" w:ascii="Times New Roman" w:hAnsi="Times New Roman" w:eastAsia="方正黑体简体" w:cs="Times New Roman"/>
          <w:color w:val="auto"/>
          <w:kern w:val="0"/>
          <w:sz w:val="32"/>
          <w:szCs w:val="32"/>
          <w:highlight w:val="none"/>
          <w:shd w:val="clear" w:color="auto" w:fill="FFFFFF"/>
          <w:lang w:val="en-US" w:eastAsia="zh-CN"/>
        </w:rPr>
        <w:t>四、</w:t>
      </w:r>
      <w:r>
        <w:rPr>
          <w:rFonts w:hint="default" w:ascii="Times New Roman" w:hAnsi="Times New Roman" w:eastAsia="方正黑体简体" w:cs="Times New Roman"/>
          <w:color w:val="auto"/>
          <w:kern w:val="0"/>
          <w:sz w:val="32"/>
          <w:szCs w:val="32"/>
          <w:highlight w:val="none"/>
          <w:shd w:val="clear" w:color="auto" w:fill="FFFFFF"/>
        </w:rPr>
        <w:t>部门整体支出</w:t>
      </w:r>
      <w:r>
        <w:rPr>
          <w:rFonts w:hint="default" w:ascii="Times New Roman" w:hAnsi="Times New Roman" w:eastAsia="方正黑体简体" w:cs="Times New Roman"/>
          <w:color w:val="auto"/>
          <w:kern w:val="0"/>
          <w:sz w:val="32"/>
          <w:szCs w:val="32"/>
          <w:highlight w:val="none"/>
          <w:shd w:val="clear" w:color="auto" w:fill="FFFFFF"/>
          <w:lang w:val="zh-CN"/>
        </w:rPr>
        <w:t>绩效评价</w:t>
      </w:r>
      <w:r>
        <w:rPr>
          <w:rFonts w:hint="default" w:ascii="Times New Roman" w:hAnsi="Times New Roman" w:eastAsia="方正黑体简体" w:cs="Times New Roman"/>
          <w:color w:val="auto"/>
          <w:kern w:val="0"/>
          <w:sz w:val="32"/>
          <w:szCs w:val="32"/>
          <w:highlight w:val="none"/>
          <w:shd w:val="clear" w:color="auto" w:fill="FFFFFF"/>
        </w:rPr>
        <w:t>情况</w:t>
      </w:r>
      <w:bookmarkEnd w:id="76"/>
      <w:bookmarkEnd w:id="77"/>
      <w:bookmarkEnd w:id="78"/>
      <w:bookmarkEnd w:id="79"/>
      <w:bookmarkEnd w:id="95"/>
      <w:bookmarkEnd w:id="96"/>
      <w:bookmarkEnd w:id="97"/>
      <w:bookmarkEnd w:id="98"/>
      <w:bookmarkEnd w:id="99"/>
      <w:bookmarkEnd w:id="100"/>
    </w:p>
    <w:p w14:paraId="5A75D544">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default" w:ascii="Times New Roman" w:hAnsi="Times New Roman" w:eastAsia="方正楷体简体" w:cs="Times New Roman"/>
          <w:color w:val="auto"/>
          <w:kern w:val="2"/>
          <w:sz w:val="32"/>
          <w:szCs w:val="32"/>
          <w:highlight w:val="none"/>
          <w:shd w:val="clear"/>
          <w:lang w:val="zh-CN" w:eastAsia="zh-CN"/>
        </w:rPr>
      </w:pPr>
      <w:bookmarkStart w:id="101" w:name="_Toc24977"/>
      <w:bookmarkStart w:id="102" w:name="_Toc11694"/>
      <w:bookmarkStart w:id="103" w:name="_Toc24619"/>
      <w:bookmarkStart w:id="104" w:name="_Toc7521"/>
      <w:bookmarkStart w:id="105" w:name="_Toc28828"/>
      <w:bookmarkStart w:id="106" w:name="_Toc29571"/>
      <w:bookmarkStart w:id="107" w:name="_Toc428273082"/>
      <w:bookmarkStart w:id="108" w:name="_Toc8903"/>
      <w:bookmarkStart w:id="109" w:name="_Toc109483840"/>
      <w:bookmarkStart w:id="110" w:name="_Toc27305"/>
      <w:bookmarkStart w:id="111" w:name="_Toc4199"/>
      <w:r>
        <w:rPr>
          <w:rFonts w:hint="default" w:ascii="Times New Roman" w:hAnsi="Times New Roman" w:eastAsia="方正楷体简体" w:cs="Times New Roman"/>
          <w:color w:val="auto"/>
          <w:kern w:val="2"/>
          <w:sz w:val="32"/>
          <w:szCs w:val="32"/>
          <w:highlight w:val="none"/>
          <w:shd w:val="clear"/>
          <w:lang w:val="zh-CN"/>
        </w:rPr>
        <w:t>（一）</w:t>
      </w:r>
      <w:r>
        <w:rPr>
          <w:rFonts w:hint="default" w:ascii="Times New Roman" w:hAnsi="Times New Roman" w:eastAsia="方正楷体简体" w:cs="Times New Roman"/>
          <w:color w:val="auto"/>
          <w:kern w:val="2"/>
          <w:sz w:val="32"/>
          <w:szCs w:val="32"/>
          <w:highlight w:val="none"/>
          <w:shd w:val="clear"/>
          <w:lang w:val="zh-CN" w:eastAsia="zh-CN"/>
        </w:rPr>
        <w:t>绩效评价实施过程。</w:t>
      </w:r>
      <w:bookmarkEnd w:id="101"/>
      <w:bookmarkEnd w:id="102"/>
      <w:bookmarkEnd w:id="103"/>
      <w:bookmarkEnd w:id="104"/>
      <w:bookmarkEnd w:id="105"/>
      <w:bookmarkEnd w:id="106"/>
    </w:p>
    <w:p w14:paraId="3E043EBE">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评价小组按照评价日程安排，对县地志办提交的评价资料进行认真梳理、测算分析各项指标，汇总评分并形成评价报告。</w:t>
      </w:r>
    </w:p>
    <w:p w14:paraId="5A0A3725">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1.对相关资料进行研读，对整体评价有基本的把握和了解，归纳出进一步评价所需的信息，供下一步取数参考。</w:t>
      </w:r>
    </w:p>
    <w:p w14:paraId="5D575BBF">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2.集中对各个评价指标逐一进行分析，以保证取数的准确性。</w:t>
      </w:r>
    </w:p>
    <w:p w14:paraId="777A1762">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3.评价小组汇总分析评价过程中发现的问题，对存在问题进行讨论，根据取得的数据分别计算各评价指标所得分数，形成评价结果。</w:t>
      </w:r>
    </w:p>
    <w:p w14:paraId="3B0DF91C">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4.根据评价结果，撰写评价报告。</w:t>
      </w:r>
    </w:p>
    <w:p w14:paraId="0280D38C">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5.与绩效评价相关者沟通，完善并形成绩效评价报告终稿。</w:t>
      </w:r>
    </w:p>
    <w:p w14:paraId="2ADF116E">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default" w:ascii="Times New Roman" w:hAnsi="Times New Roman" w:eastAsia="方正楷体简体" w:cs="Times New Roman"/>
          <w:color w:val="auto"/>
          <w:kern w:val="2"/>
          <w:sz w:val="32"/>
          <w:szCs w:val="32"/>
          <w:highlight w:val="none"/>
          <w:shd w:val="clear"/>
          <w:lang w:val="en-US" w:eastAsia="zh-CN"/>
        </w:rPr>
      </w:pPr>
      <w:bookmarkStart w:id="112" w:name="_Toc30977"/>
      <w:bookmarkStart w:id="113" w:name="_Toc23900"/>
      <w:bookmarkStart w:id="114" w:name="_Toc16416"/>
      <w:bookmarkStart w:id="115" w:name="_Toc4385"/>
      <w:bookmarkStart w:id="116" w:name="_Toc24380"/>
      <w:bookmarkStart w:id="117" w:name="_Toc3794"/>
      <w:r>
        <w:rPr>
          <w:rFonts w:hint="default" w:ascii="Times New Roman" w:hAnsi="Times New Roman" w:eastAsia="方正楷体简体" w:cs="Times New Roman"/>
          <w:color w:val="auto"/>
          <w:kern w:val="2"/>
          <w:sz w:val="32"/>
          <w:szCs w:val="32"/>
          <w:highlight w:val="none"/>
          <w:shd w:val="clear"/>
          <w:lang w:val="zh-CN" w:eastAsia="zh-CN"/>
        </w:rPr>
        <w:t>（</w:t>
      </w:r>
      <w:r>
        <w:rPr>
          <w:rFonts w:hint="default" w:ascii="Times New Roman" w:hAnsi="Times New Roman" w:eastAsia="方正楷体简体" w:cs="Times New Roman"/>
          <w:color w:val="auto"/>
          <w:kern w:val="2"/>
          <w:sz w:val="32"/>
          <w:szCs w:val="32"/>
          <w:highlight w:val="none"/>
          <w:shd w:val="clear"/>
          <w:lang w:val="en-US" w:eastAsia="zh-CN"/>
        </w:rPr>
        <w:t>二）</w:t>
      </w:r>
      <w:bookmarkEnd w:id="107"/>
      <w:bookmarkEnd w:id="108"/>
      <w:r>
        <w:rPr>
          <w:rFonts w:hint="default" w:ascii="Times New Roman" w:hAnsi="Times New Roman" w:eastAsia="方正楷体简体" w:cs="Times New Roman"/>
          <w:color w:val="auto"/>
          <w:kern w:val="2"/>
          <w:sz w:val="32"/>
          <w:szCs w:val="32"/>
          <w:highlight w:val="none"/>
          <w:shd w:val="clear"/>
          <w:lang w:val="en-US" w:eastAsia="zh-CN"/>
        </w:rPr>
        <w:t>评价结论。</w:t>
      </w:r>
      <w:bookmarkEnd w:id="112"/>
      <w:bookmarkEnd w:id="113"/>
      <w:bookmarkEnd w:id="114"/>
      <w:bookmarkEnd w:id="115"/>
      <w:bookmarkEnd w:id="116"/>
      <w:bookmarkEnd w:id="117"/>
    </w:p>
    <w:bookmarkEnd w:id="109"/>
    <w:bookmarkEnd w:id="110"/>
    <w:bookmarkEnd w:id="111"/>
    <w:p w14:paraId="11D0484D">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2024年度，县地志办坚持以习近平新时代中国特色社会主义思想为指导，深入学习贯彻党的二十大精神和习近平总书记来川视察重要指示精神，认真落实中央、省、州纪委全会部署安排，积极主动围绕中心、服务大局，坚定不移正风肃纪反腐，扎实推进主题教育和教育整顿，精准聚焦“六个关键点”，纵深推进纪检监察工作高质量发展，有力助推泸定政治生态实现“三大变化”目标。县地志办在维持部门运转的基础上，完成了部门职责范围内的各项工作，部门履职情况较好。</w:t>
      </w:r>
    </w:p>
    <w:p w14:paraId="38EC8196">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按照设定的评价指标体系，对县地志办2024年度部门整体支出情况在预算编制、预算执行、完成结果、信息公开、整改反馈、自评质量方面进行综合评价，2024年度县地志办部门整体支出绩效评价指标分值100.00分，得分90.19分。详见下表：</w:t>
      </w:r>
    </w:p>
    <w:p w14:paraId="586E1AED">
      <w:pPr>
        <w:keepNext w:val="0"/>
        <w:keepLines w:val="0"/>
        <w:pageBreakBefore w:val="0"/>
        <w:kinsoku/>
        <w:wordWrap/>
        <w:overflowPunct/>
        <w:topLinePunct w:val="0"/>
        <w:autoSpaceDE/>
        <w:autoSpaceDN/>
        <w:bidi w:val="0"/>
        <w:spacing w:line="600" w:lineRule="exact"/>
        <w:ind w:left="0" w:firstLine="560"/>
        <w:jc w:val="center"/>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县地志办</w:t>
      </w:r>
      <w:r>
        <w:rPr>
          <w:rFonts w:hint="default" w:ascii="Times New Roman" w:hAnsi="Times New Roman" w:eastAsia="方正仿宋_GB2312" w:cs="Times New Roman"/>
          <w:color w:val="auto"/>
          <w:sz w:val="32"/>
          <w:szCs w:val="32"/>
          <w:highlight w:val="none"/>
          <w:lang w:val="en-US" w:eastAsia="zh"/>
        </w:rPr>
        <w:t>202</w:t>
      </w:r>
      <w:r>
        <w:rPr>
          <w:rFonts w:hint="default" w:ascii="Times New Roman" w:hAnsi="Times New Roman" w:eastAsia="方正仿宋_GB2312" w:cs="Times New Roman"/>
          <w:color w:val="auto"/>
          <w:sz w:val="32"/>
          <w:szCs w:val="32"/>
          <w:highlight w:val="none"/>
          <w:lang w:val="en-US" w:eastAsia="zh-CN"/>
        </w:rPr>
        <w:t>4年部门整体支出绩效评价评分表</w:t>
      </w:r>
    </w:p>
    <w:tbl>
      <w:tblPr>
        <w:tblStyle w:val="19"/>
        <w:tblW w:w="4997"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497"/>
        <w:gridCol w:w="2292"/>
        <w:gridCol w:w="1318"/>
        <w:gridCol w:w="621"/>
        <w:gridCol w:w="959"/>
        <w:gridCol w:w="824"/>
      </w:tblGrid>
      <w:tr w14:paraId="51F131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jc w:val="center"/>
        </w:trPr>
        <w:tc>
          <w:tcPr>
            <w:tcW w:w="1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C84B5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b/>
                <w:bCs/>
                <w:i w:val="0"/>
                <w:iCs w:val="0"/>
                <w:color w:val="000000"/>
                <w:sz w:val="20"/>
                <w:szCs w:val="20"/>
                <w:u w:val="none"/>
              </w:rPr>
            </w:pPr>
            <w:bookmarkStart w:id="118" w:name="_Toc14707"/>
            <w:bookmarkStart w:id="119" w:name="_Toc4242"/>
            <w:bookmarkStart w:id="120" w:name="_Toc13729"/>
            <w:bookmarkStart w:id="121" w:name="_Toc109483841"/>
            <w:bookmarkStart w:id="122" w:name="_Toc1687911260"/>
            <w:bookmarkStart w:id="123" w:name="_Toc16394"/>
            <w:bookmarkStart w:id="124" w:name="_Toc26985"/>
            <w:bookmarkStart w:id="125" w:name="_Toc24818"/>
            <w:bookmarkStart w:id="126" w:name="_Toc28266"/>
            <w:bookmarkStart w:id="127" w:name="_Toc31945"/>
            <w:r>
              <w:rPr>
                <w:rFonts w:hint="default" w:ascii="Times New Roman" w:hAnsi="Times New Roman" w:eastAsia="方正仿宋_GB2312" w:cs="Times New Roman"/>
                <w:b/>
                <w:bCs/>
                <w:i w:val="0"/>
                <w:iCs w:val="0"/>
                <w:color w:val="000000"/>
                <w:kern w:val="0"/>
                <w:sz w:val="20"/>
                <w:szCs w:val="20"/>
                <w:u w:val="none"/>
                <w:lang w:val="en-US" w:eastAsia="zh-CN" w:bidi="ar"/>
              </w:rPr>
              <w:t>一级指标</w:t>
            </w:r>
          </w:p>
        </w:tc>
        <w:tc>
          <w:tcPr>
            <w:tcW w:w="13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EDD28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b/>
                <w:bCs/>
                <w:i w:val="0"/>
                <w:iCs w:val="0"/>
                <w:color w:val="000000"/>
                <w:sz w:val="20"/>
                <w:szCs w:val="20"/>
                <w:u w:val="none"/>
              </w:rPr>
            </w:pPr>
            <w:r>
              <w:rPr>
                <w:rFonts w:hint="default" w:ascii="Times New Roman" w:hAnsi="Times New Roman" w:eastAsia="方正仿宋_GB2312" w:cs="Times New Roman"/>
                <w:b/>
                <w:bCs/>
                <w:i w:val="0"/>
                <w:iCs w:val="0"/>
                <w:color w:val="000000"/>
                <w:kern w:val="0"/>
                <w:sz w:val="20"/>
                <w:szCs w:val="20"/>
                <w:u w:val="none"/>
                <w:lang w:val="en-US" w:eastAsia="zh-CN" w:bidi="ar"/>
              </w:rPr>
              <w:t>二级指标</w:t>
            </w:r>
          </w:p>
        </w:tc>
        <w:tc>
          <w:tcPr>
            <w:tcW w:w="7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3279A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b/>
                <w:bCs/>
                <w:i w:val="0"/>
                <w:iCs w:val="0"/>
                <w:color w:val="000000"/>
                <w:sz w:val="20"/>
                <w:szCs w:val="20"/>
                <w:u w:val="none"/>
              </w:rPr>
            </w:pPr>
            <w:r>
              <w:rPr>
                <w:rFonts w:hint="default" w:ascii="Times New Roman" w:hAnsi="Times New Roman" w:eastAsia="方正仿宋_GB2312" w:cs="Times New Roman"/>
                <w:b/>
                <w:bCs/>
                <w:i w:val="0"/>
                <w:iCs w:val="0"/>
                <w:color w:val="000000"/>
                <w:kern w:val="0"/>
                <w:sz w:val="20"/>
                <w:szCs w:val="20"/>
                <w:u w:val="none"/>
                <w:lang w:val="en-US" w:eastAsia="zh-CN" w:bidi="ar"/>
              </w:rPr>
              <w:t>三级指标</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C82AF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b/>
                <w:bCs/>
                <w:i w:val="0"/>
                <w:iCs w:val="0"/>
                <w:color w:val="000000"/>
                <w:sz w:val="20"/>
                <w:szCs w:val="20"/>
                <w:u w:val="none"/>
              </w:rPr>
            </w:pPr>
            <w:r>
              <w:rPr>
                <w:rFonts w:hint="default" w:ascii="Times New Roman" w:hAnsi="Times New Roman" w:eastAsia="方正仿宋_GB2312" w:cs="Times New Roman"/>
                <w:b/>
                <w:bCs/>
                <w:i w:val="0"/>
                <w:iCs w:val="0"/>
                <w:color w:val="000000"/>
                <w:kern w:val="0"/>
                <w:sz w:val="20"/>
                <w:szCs w:val="20"/>
                <w:u w:val="none"/>
                <w:lang w:val="en-US" w:eastAsia="zh-CN" w:bidi="ar"/>
              </w:rPr>
              <w:t>分值</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9A5C4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b/>
                <w:bCs/>
                <w:i w:val="0"/>
                <w:iCs w:val="0"/>
                <w:color w:val="000000"/>
                <w:sz w:val="20"/>
                <w:szCs w:val="20"/>
                <w:u w:val="none"/>
              </w:rPr>
            </w:pPr>
            <w:r>
              <w:rPr>
                <w:rFonts w:hint="default" w:ascii="Times New Roman" w:hAnsi="Times New Roman" w:eastAsia="方正仿宋_GB2312" w:cs="Times New Roman"/>
                <w:b/>
                <w:bCs/>
                <w:i w:val="0"/>
                <w:iCs w:val="0"/>
                <w:color w:val="000000"/>
                <w:kern w:val="0"/>
                <w:sz w:val="20"/>
                <w:szCs w:val="20"/>
                <w:u w:val="none"/>
                <w:lang w:val="en-US" w:eastAsia="zh-CN" w:bidi="ar"/>
              </w:rPr>
              <w:t>扣分</w:t>
            </w:r>
          </w:p>
        </w:tc>
        <w:tc>
          <w:tcPr>
            <w:tcW w:w="4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0383F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b/>
                <w:bCs/>
                <w:i w:val="0"/>
                <w:iCs w:val="0"/>
                <w:color w:val="000000"/>
                <w:sz w:val="20"/>
                <w:szCs w:val="20"/>
                <w:u w:val="none"/>
              </w:rPr>
            </w:pPr>
            <w:r>
              <w:rPr>
                <w:rFonts w:hint="default" w:ascii="Times New Roman" w:hAnsi="Times New Roman" w:eastAsia="方正仿宋_GB2312" w:cs="Times New Roman"/>
                <w:b/>
                <w:bCs/>
                <w:i w:val="0"/>
                <w:iCs w:val="0"/>
                <w:color w:val="000000"/>
                <w:kern w:val="0"/>
                <w:sz w:val="20"/>
                <w:szCs w:val="20"/>
                <w:u w:val="none"/>
                <w:lang w:val="en-US" w:eastAsia="zh-CN" w:bidi="ar"/>
              </w:rPr>
              <w:t>得分</w:t>
            </w:r>
          </w:p>
        </w:tc>
      </w:tr>
      <w:tr w14:paraId="701C7F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jc w:val="center"/>
        </w:trPr>
        <w:tc>
          <w:tcPr>
            <w:tcW w:w="146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42A800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部门预算管理（50分）</w:t>
            </w:r>
          </w:p>
        </w:tc>
        <w:tc>
          <w:tcPr>
            <w:tcW w:w="134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DD9A1B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目标管理（15分）</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0C8C4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目标制定</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EB1CA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10</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7DF76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2</w:t>
            </w:r>
          </w:p>
        </w:tc>
        <w:tc>
          <w:tcPr>
            <w:tcW w:w="4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EC353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8</w:t>
            </w:r>
          </w:p>
        </w:tc>
      </w:tr>
      <w:tr w14:paraId="491172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14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37076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Times New Roman" w:hAnsi="Times New Roman" w:eastAsia="方正仿宋_GB2312" w:cs="Times New Roman"/>
                <w:i w:val="0"/>
                <w:iCs w:val="0"/>
                <w:color w:val="000000"/>
                <w:sz w:val="20"/>
                <w:szCs w:val="20"/>
                <w:u w:val="none"/>
              </w:rPr>
            </w:pPr>
          </w:p>
        </w:tc>
        <w:tc>
          <w:tcPr>
            <w:tcW w:w="1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DAD0A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Times New Roman" w:hAnsi="Times New Roman" w:eastAsia="方正仿宋_GB2312" w:cs="Times New Roman"/>
                <w:i w:val="0"/>
                <w:iCs w:val="0"/>
                <w:color w:val="000000"/>
                <w:sz w:val="20"/>
                <w:szCs w:val="20"/>
                <w:u w:val="none"/>
              </w:rPr>
            </w:pP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08355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目标实现</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A16C0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5</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02CF9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w:t>
            </w:r>
          </w:p>
        </w:tc>
        <w:tc>
          <w:tcPr>
            <w:tcW w:w="4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D5248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5</w:t>
            </w:r>
          </w:p>
        </w:tc>
      </w:tr>
      <w:tr w14:paraId="01ED5F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14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FBAAE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Times New Roman" w:hAnsi="Times New Roman" w:eastAsia="方正仿宋_GB2312" w:cs="Times New Roman"/>
                <w:i w:val="0"/>
                <w:iCs w:val="0"/>
                <w:color w:val="000000"/>
                <w:sz w:val="20"/>
                <w:szCs w:val="20"/>
                <w:u w:val="none"/>
              </w:rPr>
            </w:pPr>
          </w:p>
        </w:tc>
        <w:tc>
          <w:tcPr>
            <w:tcW w:w="134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35250A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过程控制（10分）</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AEBC1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执行进度</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76432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4</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41307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0.01</w:t>
            </w:r>
          </w:p>
        </w:tc>
        <w:tc>
          <w:tcPr>
            <w:tcW w:w="4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40BF9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3.99</w:t>
            </w:r>
          </w:p>
        </w:tc>
      </w:tr>
      <w:tr w14:paraId="396F5A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14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60DC3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Times New Roman" w:hAnsi="Times New Roman" w:eastAsia="方正仿宋_GB2312" w:cs="Times New Roman"/>
                <w:i w:val="0"/>
                <w:iCs w:val="0"/>
                <w:color w:val="000000"/>
                <w:sz w:val="20"/>
                <w:szCs w:val="20"/>
                <w:u w:val="none"/>
              </w:rPr>
            </w:pPr>
          </w:p>
        </w:tc>
        <w:tc>
          <w:tcPr>
            <w:tcW w:w="1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6C512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Times New Roman" w:hAnsi="Times New Roman" w:eastAsia="方正仿宋_GB2312" w:cs="Times New Roman"/>
                <w:i w:val="0"/>
                <w:iCs w:val="0"/>
                <w:color w:val="000000"/>
                <w:sz w:val="20"/>
                <w:szCs w:val="20"/>
                <w:u w:val="none"/>
              </w:rPr>
            </w:pP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6B94B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同步调整</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25E9F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3</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1CD84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w:t>
            </w:r>
          </w:p>
        </w:tc>
        <w:tc>
          <w:tcPr>
            <w:tcW w:w="4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DD9C3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3</w:t>
            </w:r>
          </w:p>
        </w:tc>
      </w:tr>
      <w:tr w14:paraId="522F4D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14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22A71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Times New Roman" w:hAnsi="Times New Roman" w:eastAsia="方正仿宋_GB2312" w:cs="Times New Roman"/>
                <w:i w:val="0"/>
                <w:iCs w:val="0"/>
                <w:color w:val="000000"/>
                <w:sz w:val="20"/>
                <w:szCs w:val="20"/>
                <w:u w:val="none"/>
              </w:rPr>
            </w:pPr>
          </w:p>
        </w:tc>
        <w:tc>
          <w:tcPr>
            <w:tcW w:w="1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DA05A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Times New Roman" w:hAnsi="Times New Roman" w:eastAsia="方正仿宋_GB2312" w:cs="Times New Roman"/>
                <w:i w:val="0"/>
                <w:iCs w:val="0"/>
                <w:color w:val="000000"/>
                <w:sz w:val="20"/>
                <w:szCs w:val="20"/>
                <w:u w:val="none"/>
              </w:rPr>
            </w:pP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6B190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及时处置</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A9117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3</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8A993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w:t>
            </w:r>
          </w:p>
        </w:tc>
        <w:tc>
          <w:tcPr>
            <w:tcW w:w="4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C5C85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3</w:t>
            </w:r>
          </w:p>
        </w:tc>
      </w:tr>
      <w:tr w14:paraId="1FF5EA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14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BD552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Times New Roman" w:hAnsi="Times New Roman" w:eastAsia="方正仿宋_GB2312" w:cs="Times New Roman"/>
                <w:i w:val="0"/>
                <w:iCs w:val="0"/>
                <w:color w:val="000000"/>
                <w:sz w:val="20"/>
                <w:szCs w:val="20"/>
                <w:u w:val="none"/>
              </w:rPr>
            </w:pPr>
          </w:p>
        </w:tc>
        <w:tc>
          <w:tcPr>
            <w:tcW w:w="13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1604D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完成效率（5分）</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4BEC7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预算结余率</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56EB5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5</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CE54D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w:t>
            </w:r>
          </w:p>
        </w:tc>
        <w:tc>
          <w:tcPr>
            <w:tcW w:w="4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507BE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5</w:t>
            </w:r>
          </w:p>
        </w:tc>
      </w:tr>
      <w:tr w14:paraId="1B6554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14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3D9E5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Times New Roman" w:hAnsi="Times New Roman" w:eastAsia="方正仿宋_GB2312" w:cs="Times New Roman"/>
                <w:i w:val="0"/>
                <w:iCs w:val="0"/>
                <w:color w:val="000000"/>
                <w:sz w:val="20"/>
                <w:szCs w:val="20"/>
                <w:u w:val="none"/>
              </w:rPr>
            </w:pPr>
          </w:p>
        </w:tc>
        <w:tc>
          <w:tcPr>
            <w:tcW w:w="13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3FFE0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完成效果（20分）</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D7B70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实施效果</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ACE7F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20</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03BA0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1.6</w:t>
            </w:r>
          </w:p>
        </w:tc>
        <w:tc>
          <w:tcPr>
            <w:tcW w:w="4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42A2C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18.4</w:t>
            </w:r>
          </w:p>
        </w:tc>
      </w:tr>
      <w:tr w14:paraId="2A05DA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jc w:val="center"/>
        </w:trPr>
        <w:tc>
          <w:tcPr>
            <w:tcW w:w="1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A2939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专项预算绩效（30分）</w:t>
            </w:r>
          </w:p>
        </w:tc>
        <w:tc>
          <w:tcPr>
            <w:tcW w:w="13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AC80F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整体完成（30分）</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B3A3A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完成率</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C97E3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30</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8E1EA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4.2</w:t>
            </w:r>
          </w:p>
        </w:tc>
        <w:tc>
          <w:tcPr>
            <w:tcW w:w="4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29DD0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25.8</w:t>
            </w:r>
          </w:p>
        </w:tc>
      </w:tr>
      <w:tr w14:paraId="77AB98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146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4AD32D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绩效结果应用（14分）</w:t>
            </w:r>
          </w:p>
        </w:tc>
        <w:tc>
          <w:tcPr>
            <w:tcW w:w="1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B3498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内部应用（4分）</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1977F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预算挂钩</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C18BA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4</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29B64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2</w:t>
            </w:r>
          </w:p>
        </w:tc>
        <w:tc>
          <w:tcPr>
            <w:tcW w:w="4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99D27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2</w:t>
            </w:r>
          </w:p>
        </w:tc>
      </w:tr>
      <w:tr w14:paraId="77244A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14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A9C8A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Times New Roman" w:hAnsi="Times New Roman" w:eastAsia="方正仿宋_GB2312" w:cs="Times New Roman"/>
                <w:i w:val="0"/>
                <w:iCs w:val="0"/>
                <w:color w:val="000000"/>
                <w:sz w:val="20"/>
                <w:szCs w:val="20"/>
                <w:u w:val="none"/>
              </w:rPr>
            </w:pPr>
          </w:p>
        </w:tc>
        <w:tc>
          <w:tcPr>
            <w:tcW w:w="1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5BA46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信息公开（4分）</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BEF47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自评公开</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D7478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4</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EE925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w:t>
            </w:r>
          </w:p>
        </w:tc>
        <w:tc>
          <w:tcPr>
            <w:tcW w:w="4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EAB3C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4</w:t>
            </w:r>
          </w:p>
        </w:tc>
      </w:tr>
      <w:tr w14:paraId="39973A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14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F426B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Times New Roman" w:hAnsi="Times New Roman" w:eastAsia="方正仿宋_GB2312" w:cs="Times New Roman"/>
                <w:i w:val="0"/>
                <w:iCs w:val="0"/>
                <w:color w:val="000000"/>
                <w:sz w:val="20"/>
                <w:szCs w:val="20"/>
                <w:u w:val="none"/>
              </w:rPr>
            </w:pPr>
          </w:p>
        </w:tc>
        <w:tc>
          <w:tcPr>
            <w:tcW w:w="1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886FF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整改反馈（6分）</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2E302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问题整改</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4CD9C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6</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6A8BA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w:t>
            </w:r>
          </w:p>
        </w:tc>
        <w:tc>
          <w:tcPr>
            <w:tcW w:w="4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70F3B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6</w:t>
            </w:r>
          </w:p>
        </w:tc>
      </w:tr>
      <w:tr w14:paraId="6AB39E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70" w:hRule="atLeast"/>
          <w:jc w:val="center"/>
        </w:trPr>
        <w:tc>
          <w:tcPr>
            <w:tcW w:w="1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16FB2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自评质量（6分）</w:t>
            </w:r>
          </w:p>
        </w:tc>
        <w:tc>
          <w:tcPr>
            <w:tcW w:w="1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AFFB9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自评质量（6分）</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D7B75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自评质量</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43272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6</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8E145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w:t>
            </w:r>
          </w:p>
        </w:tc>
        <w:tc>
          <w:tcPr>
            <w:tcW w:w="4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AAC82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6</w:t>
            </w:r>
          </w:p>
        </w:tc>
      </w:tr>
      <w:tr w14:paraId="586915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3587"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8BDF9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合计</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EA924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100</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818BA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9.81</w:t>
            </w:r>
          </w:p>
        </w:tc>
        <w:tc>
          <w:tcPr>
            <w:tcW w:w="4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F331E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90.19</w:t>
            </w:r>
          </w:p>
        </w:tc>
      </w:tr>
    </w:tbl>
    <w:p w14:paraId="7CAEDB59">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default" w:ascii="Times New Roman" w:hAnsi="Times New Roman" w:eastAsia="方正楷体简体" w:cs="Times New Roman"/>
          <w:color w:val="auto"/>
          <w:kern w:val="2"/>
          <w:sz w:val="32"/>
          <w:szCs w:val="32"/>
          <w:highlight w:val="none"/>
          <w:shd w:val="clear"/>
          <w:lang w:val="en-US" w:eastAsia="zh-CN"/>
        </w:rPr>
      </w:pPr>
      <w:r>
        <w:rPr>
          <w:rFonts w:hint="default" w:ascii="Times New Roman" w:hAnsi="Times New Roman" w:eastAsia="方正楷体简体" w:cs="Times New Roman"/>
          <w:color w:val="auto"/>
          <w:kern w:val="2"/>
          <w:sz w:val="32"/>
          <w:szCs w:val="32"/>
          <w:highlight w:val="none"/>
          <w:shd w:val="clear"/>
          <w:lang w:val="en-US" w:eastAsia="zh-CN"/>
        </w:rPr>
        <w:t>（三）绩效结果应用。</w:t>
      </w:r>
      <w:bookmarkEnd w:id="118"/>
      <w:bookmarkEnd w:id="119"/>
      <w:bookmarkEnd w:id="120"/>
    </w:p>
    <w:p w14:paraId="3974C46A">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县地志办认真落实中央、省、州纪委全会部署安排，积极主动围绕中心、服务大局，坚定不移正风肃纪反腐，扎实推进主题教育和教育整顿。通过评价组对县地志办进行事后评价，县地志办最终绩效等级为“优”。秉承科学公正、统筹兼顾、激励约束和公开透明的财政绩效原则，</w:t>
      </w:r>
      <w:r>
        <w:rPr>
          <w:rFonts w:hint="eastAsia" w:eastAsia="方正仿宋_GB2312" w:cs="Times New Roman"/>
          <w:color w:val="auto"/>
          <w:sz w:val="32"/>
          <w:szCs w:val="32"/>
          <w:highlight w:val="none"/>
          <w:lang w:val="en-US" w:eastAsia="zh-CN"/>
        </w:rPr>
        <w:t>我局</w:t>
      </w:r>
      <w:r>
        <w:rPr>
          <w:rFonts w:hint="default" w:ascii="Times New Roman" w:hAnsi="Times New Roman" w:eastAsia="方正仿宋_GB2312" w:cs="Times New Roman"/>
          <w:color w:val="auto"/>
          <w:sz w:val="32"/>
          <w:szCs w:val="32"/>
          <w:highlight w:val="none"/>
          <w:lang w:val="en-US" w:eastAsia="zh-CN"/>
        </w:rPr>
        <w:t>建议泸定县财政局针对部门预算绩效管理，进一步要求县地志办完善绩效目标编制、提高绩效自评质量、加强年初预算编制准确性。</w:t>
      </w:r>
    </w:p>
    <w:p w14:paraId="0651BF79">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default" w:ascii="Times New Roman" w:hAnsi="Times New Roman" w:eastAsia="方正楷体简体" w:cs="Times New Roman"/>
          <w:color w:val="auto"/>
          <w:kern w:val="2"/>
          <w:sz w:val="32"/>
          <w:szCs w:val="32"/>
          <w:highlight w:val="none"/>
          <w:shd w:val="clear"/>
          <w:lang w:val="en-US" w:eastAsia="zh-CN"/>
        </w:rPr>
      </w:pPr>
      <w:bookmarkStart w:id="128" w:name="_Toc11390"/>
      <w:bookmarkStart w:id="129" w:name="_Toc26977"/>
      <w:bookmarkStart w:id="130" w:name="_Toc6100"/>
      <w:r>
        <w:rPr>
          <w:rFonts w:hint="default" w:ascii="Times New Roman" w:hAnsi="Times New Roman" w:eastAsia="方正楷体简体" w:cs="Times New Roman"/>
          <w:color w:val="auto"/>
          <w:kern w:val="2"/>
          <w:sz w:val="32"/>
          <w:szCs w:val="32"/>
          <w:highlight w:val="none"/>
          <w:shd w:val="clear"/>
          <w:lang w:val="en-US" w:eastAsia="zh-CN"/>
        </w:rPr>
        <w:t>（四）</w:t>
      </w:r>
      <w:bookmarkEnd w:id="121"/>
      <w:bookmarkEnd w:id="122"/>
      <w:bookmarkEnd w:id="123"/>
      <w:bookmarkEnd w:id="124"/>
      <w:r>
        <w:rPr>
          <w:rFonts w:hint="default" w:ascii="Times New Roman" w:hAnsi="Times New Roman" w:eastAsia="方正楷体简体" w:cs="Times New Roman"/>
          <w:color w:val="auto"/>
          <w:kern w:val="2"/>
          <w:sz w:val="32"/>
          <w:szCs w:val="32"/>
          <w:highlight w:val="none"/>
          <w:shd w:val="clear"/>
          <w:lang w:val="en-US" w:eastAsia="zh-CN"/>
        </w:rPr>
        <w:t>评价分析。</w:t>
      </w:r>
      <w:bookmarkEnd w:id="125"/>
      <w:bookmarkEnd w:id="126"/>
      <w:bookmarkEnd w:id="127"/>
      <w:bookmarkEnd w:id="128"/>
      <w:bookmarkEnd w:id="129"/>
      <w:bookmarkEnd w:id="130"/>
    </w:p>
    <w:p w14:paraId="6BF6F19C">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1.部门预算总体绩效管理情况。</w:t>
      </w:r>
    </w:p>
    <w:p w14:paraId="18E76880">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（1）目标管理。</w:t>
      </w:r>
    </w:p>
    <w:p w14:paraId="14F83EDD">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二级指标“目标管理”下设两个三级指标，分别为目标制定、目标实现。</w:t>
      </w:r>
    </w:p>
    <w:p w14:paraId="5852C135">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①目标制定。</w:t>
      </w:r>
    </w:p>
    <w:p w14:paraId="4059A897">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根据县地志办在泸定县人民政府门户网站公开的2024年度部门预算和绩效目标，制定了年度部门及项目整体支出绩效目标，绩效目标涵盖数量、质量、时效、效益等指标，但存在</w:t>
      </w:r>
      <w:r>
        <w:rPr>
          <w:rFonts w:hint="default" w:ascii="Times New Roman" w:hAnsi="Times New Roman" w:eastAsia="方正仿宋_GB2312" w:cs="Times New Roman"/>
          <w:bCs w:val="0"/>
          <w:color w:val="auto"/>
          <w:sz w:val="32"/>
          <w:szCs w:val="32"/>
          <w:highlight w:val="none"/>
          <w:lang w:eastAsia="zh-CN"/>
        </w:rPr>
        <w:t>绩效目标指标设置不</w:t>
      </w:r>
      <w:r>
        <w:rPr>
          <w:rFonts w:hint="default" w:ascii="Times New Roman" w:hAnsi="Times New Roman" w:eastAsia="方正仿宋_GB2312" w:cs="Times New Roman"/>
          <w:bCs w:val="0"/>
          <w:color w:val="auto"/>
          <w:sz w:val="32"/>
          <w:szCs w:val="32"/>
          <w:highlight w:val="none"/>
          <w:lang w:val="en-US" w:eastAsia="zh-CN"/>
        </w:rPr>
        <w:t>合理</w:t>
      </w:r>
      <w:r>
        <w:rPr>
          <w:rFonts w:hint="default" w:ascii="Times New Roman" w:hAnsi="Times New Roman" w:eastAsia="方正仿宋_GB2312" w:cs="Times New Roman"/>
          <w:color w:val="auto"/>
          <w:sz w:val="32"/>
          <w:szCs w:val="32"/>
          <w:highlight w:val="none"/>
          <w:lang w:val="en-US" w:eastAsia="zh-CN"/>
        </w:rPr>
        <w:t>等情况，扣除2.00分。</w:t>
      </w:r>
    </w:p>
    <w:p w14:paraId="4392A5A9">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本项分值为10.00分，扣2.00分，得分为8.00分。</w:t>
      </w:r>
    </w:p>
    <w:p w14:paraId="051439E4">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②目标</w:t>
      </w:r>
      <w:r>
        <w:rPr>
          <w:rFonts w:hint="default" w:ascii="Times New Roman" w:hAnsi="Times New Roman" w:eastAsia="方正仿宋_GB2312" w:cs="Times New Roman"/>
          <w:color w:val="auto"/>
          <w:sz w:val="36"/>
          <w:szCs w:val="36"/>
          <w:highlight w:val="none"/>
          <w:lang w:val="en-US" w:eastAsia="zh-CN"/>
        </w:rPr>
        <w:t>实现。</w:t>
      </w:r>
    </w:p>
    <w:p w14:paraId="692F37BD">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根据县地志办提供的2024年度年初预算项目绩效目标申报表及项目完成资料，县地志办整体涉及2个数量指标、2个质量指标、2个时效指标、3个成本指标、4个效益指标、1个满意度指标。根据现场评价情况，实际完成2个数量指标，完成率100%；实际完成3个成本指标，完成率100%。</w:t>
      </w:r>
    </w:p>
    <w:p w14:paraId="35DC9D77">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本项分值为5.00分，扣0.00分，得分为5.00分。</w:t>
      </w:r>
    </w:p>
    <w:p w14:paraId="07A84896">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（2）过程控制</w:t>
      </w:r>
    </w:p>
    <w:p w14:paraId="51D011BB">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二级指标“过程控制”下设三个三级指标分别为：执行进度、同步调整、及时处置。</w:t>
      </w:r>
    </w:p>
    <w:p w14:paraId="2AC6A60C">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①执行进度</w:t>
      </w:r>
    </w:p>
    <w:p w14:paraId="507D1927">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根据《2025年泸定县部门整体支出绩效评价指标体系》，部门预算执行进度在6、9、11月应达到序时进度的80%、90%、90%，即实际支出进度分别达到40%、67.5%、82.5%。</w:t>
      </w:r>
    </w:p>
    <w:p w14:paraId="69161266">
      <w:pPr>
        <w:keepNext w:val="0"/>
        <w:keepLines w:val="0"/>
        <w:pageBreakBefore w:val="0"/>
        <w:kinsoku/>
        <w:wordWrap/>
        <w:overflowPunct/>
        <w:topLinePunct w:val="0"/>
        <w:autoSpaceDE/>
        <w:autoSpaceDN/>
        <w:bidi w:val="0"/>
        <w:spacing w:line="600" w:lineRule="exact"/>
        <w:ind w:left="0" w:firstLine="560" w:firstLineChars="0"/>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根据被评价单位提供的1-6月、1-9月、1-11月可执行指标执行情况表显示，2024年县地志办1—6月预算数200.84万元，实际执行数79.55万元，进度为39.61%；1—9月预算数200.84万元，实际执行数153.84万元，进度为76.60%；1—11月预算数200.84万元，实际执行数176.84万元，进度为88.05%。</w:t>
      </w:r>
    </w:p>
    <w:p w14:paraId="453EC0F7">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上述三个阶段中，根据可执行指标执行情况表被评价单位</w:t>
      </w:r>
      <w:r>
        <w:rPr>
          <w:rFonts w:hint="default" w:ascii="Times New Roman" w:hAnsi="Times New Roman" w:eastAsia="方正仿宋_GB2312" w:cs="Times New Roman"/>
          <w:bCs w:val="0"/>
          <w:color w:val="auto"/>
          <w:sz w:val="32"/>
          <w:szCs w:val="32"/>
          <w:highlight w:val="none"/>
          <w:lang w:val="en-US" w:eastAsia="zh-CN"/>
        </w:rPr>
        <w:t>1-9月、1-11月实际支出进度已达到目标进度，但1-6月实际支出进度未达到目标进度</w:t>
      </w:r>
      <w:r>
        <w:rPr>
          <w:rFonts w:hint="default" w:ascii="Times New Roman" w:hAnsi="Times New Roman" w:eastAsia="方正仿宋_GB2312" w:cs="Times New Roman"/>
          <w:color w:val="auto"/>
          <w:sz w:val="32"/>
          <w:szCs w:val="32"/>
          <w:highlight w:val="none"/>
          <w:lang w:val="en-US" w:eastAsia="zh-CN"/>
        </w:rPr>
        <w:t>。</w:t>
      </w:r>
    </w:p>
    <w:p w14:paraId="51F3DF05">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本项分值为4.00分，扣0.01分，得分为3.99分。</w:t>
      </w:r>
    </w:p>
    <w:p w14:paraId="22956C49">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②同步调整</w:t>
      </w:r>
    </w:p>
    <w:p w14:paraId="6C6EECA3">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2024年县地志办预算项目2个，根据被评价单位提供的可执行指标执行情况表，无预算调整项目。</w:t>
      </w:r>
    </w:p>
    <w:p w14:paraId="67B9BB74">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本项分值为3.00分，扣0.00分，得分为3.00分。</w:t>
      </w:r>
    </w:p>
    <w:p w14:paraId="2756E4FE">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③及时处置</w:t>
      </w:r>
    </w:p>
    <w:p w14:paraId="7D6D2538">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2024年，</w:t>
      </w:r>
      <w:r>
        <w:rPr>
          <w:rFonts w:hint="default" w:ascii="Times New Roman" w:hAnsi="Times New Roman" w:eastAsia="方正仿宋_GB2312" w:cs="Times New Roman"/>
          <w:bCs w:val="0"/>
          <w:color w:val="auto"/>
          <w:sz w:val="32"/>
          <w:szCs w:val="32"/>
          <w:highlight w:val="none"/>
          <w:lang w:val="en-US" w:eastAsia="zh-CN"/>
        </w:rPr>
        <w:t>县财政局未对县地志办开展绩效运行监控，未提出预算收回的意见及相关问题</w:t>
      </w:r>
      <w:r>
        <w:rPr>
          <w:rFonts w:hint="default" w:ascii="Times New Roman" w:hAnsi="Times New Roman" w:eastAsia="方正仿宋_GB2312" w:cs="Times New Roman"/>
          <w:color w:val="auto"/>
          <w:sz w:val="32"/>
          <w:szCs w:val="32"/>
          <w:highlight w:val="none"/>
          <w:lang w:val="en-US" w:eastAsia="zh-CN"/>
        </w:rPr>
        <w:t xml:space="preserve">。                       </w:t>
      </w:r>
    </w:p>
    <w:p w14:paraId="3F0CF77E">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本项分值为3.00分，扣0.00分，得分为3.00分。</w:t>
      </w:r>
    </w:p>
    <w:p w14:paraId="28F3F602">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eastAsia="zh-CN"/>
        </w:rPr>
        <w:t>（</w:t>
      </w:r>
      <w:r>
        <w:rPr>
          <w:rFonts w:hint="default" w:ascii="Times New Roman" w:hAnsi="Times New Roman" w:eastAsia="方正仿宋_GB2312" w:cs="Times New Roman"/>
          <w:color w:val="auto"/>
          <w:sz w:val="32"/>
          <w:szCs w:val="32"/>
          <w:highlight w:val="none"/>
          <w:lang w:val="en-US" w:eastAsia="zh-CN"/>
        </w:rPr>
        <w:t>3</w:t>
      </w:r>
      <w:r>
        <w:rPr>
          <w:rFonts w:hint="default" w:ascii="Times New Roman" w:hAnsi="Times New Roman" w:eastAsia="方正仿宋_GB2312" w:cs="Times New Roman"/>
          <w:color w:val="auto"/>
          <w:sz w:val="32"/>
          <w:szCs w:val="32"/>
          <w:highlight w:val="none"/>
          <w:lang w:eastAsia="zh-CN"/>
        </w:rPr>
        <w:t>）</w:t>
      </w:r>
      <w:r>
        <w:rPr>
          <w:rFonts w:hint="default" w:ascii="Times New Roman" w:hAnsi="Times New Roman" w:eastAsia="方正仿宋_GB2312" w:cs="Times New Roman"/>
          <w:color w:val="auto"/>
          <w:sz w:val="32"/>
          <w:szCs w:val="32"/>
          <w:highlight w:val="none"/>
          <w:lang w:val="en-US" w:eastAsia="zh-CN"/>
        </w:rPr>
        <w:t>完成效率</w:t>
      </w:r>
    </w:p>
    <w:p w14:paraId="6AD9472A">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二级指标“完成效率”下设一个三级指标为：预算结余率。</w:t>
      </w:r>
    </w:p>
    <w:p w14:paraId="73B5FAFD">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根据县地志办2024年度决算报表与可执行指标执行情况表被评价单位2024年度预算项目共计2个，部门预算项目资金结余率小于10%有2个，大于10%有0个。</w:t>
      </w:r>
    </w:p>
    <w:p w14:paraId="4A928BD9">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本项分值为5.00分，扣0.00分，得分为5.00分。</w:t>
      </w:r>
    </w:p>
    <w:p w14:paraId="38BE5EDF">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w:t>
      </w:r>
      <w:r>
        <w:rPr>
          <w:rFonts w:hint="default" w:ascii="Times New Roman" w:hAnsi="Times New Roman" w:eastAsia="方正仿宋_GB2312" w:cs="Times New Roman"/>
          <w:color w:val="auto"/>
          <w:sz w:val="32"/>
          <w:szCs w:val="32"/>
          <w:highlight w:val="none"/>
        </w:rPr>
        <w:t>部门预算项目绩效</w:t>
      </w:r>
      <w:r>
        <w:rPr>
          <w:rFonts w:hint="default" w:ascii="Times New Roman" w:hAnsi="Times New Roman" w:eastAsia="方正仿宋_GB2312" w:cs="Times New Roman"/>
          <w:color w:val="auto"/>
          <w:sz w:val="32"/>
          <w:szCs w:val="32"/>
          <w:highlight w:val="none"/>
          <w:lang w:val="en-US" w:eastAsia="zh-CN"/>
        </w:rPr>
        <w:t>管理情况</w:t>
      </w:r>
    </w:p>
    <w:p w14:paraId="5AC66852">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eastAsia="zh-CN"/>
        </w:rPr>
        <w:t>（</w:t>
      </w:r>
      <w:r>
        <w:rPr>
          <w:rFonts w:hint="default" w:ascii="Times New Roman" w:hAnsi="Times New Roman" w:eastAsia="方正仿宋_GB2312" w:cs="Times New Roman"/>
          <w:color w:val="auto"/>
          <w:sz w:val="32"/>
          <w:szCs w:val="32"/>
          <w:highlight w:val="none"/>
          <w:lang w:val="en-US" w:eastAsia="zh-CN"/>
        </w:rPr>
        <w:t>1</w:t>
      </w:r>
      <w:r>
        <w:rPr>
          <w:rFonts w:hint="default" w:ascii="Times New Roman" w:hAnsi="Times New Roman" w:eastAsia="方正仿宋_GB2312" w:cs="Times New Roman"/>
          <w:color w:val="auto"/>
          <w:sz w:val="32"/>
          <w:szCs w:val="32"/>
          <w:highlight w:val="none"/>
          <w:lang w:eastAsia="zh-CN"/>
        </w:rPr>
        <w:t>）</w:t>
      </w:r>
      <w:r>
        <w:rPr>
          <w:rFonts w:hint="default" w:ascii="Times New Roman" w:hAnsi="Times New Roman" w:eastAsia="方正仿宋_GB2312" w:cs="Times New Roman"/>
          <w:color w:val="auto"/>
          <w:sz w:val="32"/>
          <w:szCs w:val="32"/>
          <w:highlight w:val="none"/>
          <w:lang w:val="en-US" w:eastAsia="zh-CN"/>
        </w:rPr>
        <w:t>完成效果</w:t>
      </w:r>
    </w:p>
    <w:p w14:paraId="2B68E035">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二级指标“完成效果”下设一个三级指标为实施效果。</w:t>
      </w:r>
    </w:p>
    <w:p w14:paraId="37D66CB3">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2024年县地志办部门预算项目共2个，涉及预算资金28.00万元，评价组抽取项目的绩效评价指标体系均采用《2025年泸定县部门整体支出绩效评价指标体系》，抽取的项目为</w:t>
      </w:r>
      <w:r>
        <w:rPr>
          <w:rFonts w:hint="default" w:ascii="Times New Roman" w:hAnsi="Times New Roman" w:eastAsia="方正仿宋_GB2312" w:cs="Times New Roman"/>
          <w:bCs w:val="0"/>
          <w:color w:val="auto"/>
          <w:sz w:val="32"/>
          <w:szCs w:val="32"/>
          <w:highlight w:val="none"/>
          <w:lang w:eastAsia="zh-CN"/>
        </w:rPr>
        <w:t>“</w:t>
      </w:r>
      <w:r>
        <w:rPr>
          <w:rFonts w:hint="default" w:ascii="Times New Roman" w:hAnsi="Times New Roman" w:eastAsia="方正仿宋_GB2312" w:cs="Times New Roman"/>
          <w:bCs w:val="0"/>
          <w:color w:val="auto"/>
          <w:sz w:val="32"/>
          <w:szCs w:val="32"/>
          <w:highlight w:val="none"/>
        </w:rPr>
        <w:t>《泸定年鉴》公开出版发行</w:t>
      </w:r>
      <w:r>
        <w:rPr>
          <w:rFonts w:hint="default" w:ascii="Times New Roman" w:hAnsi="Times New Roman" w:eastAsia="方正仿宋_GB2312" w:cs="Times New Roman"/>
          <w:bCs w:val="0"/>
          <w:color w:val="auto"/>
          <w:sz w:val="32"/>
          <w:szCs w:val="32"/>
          <w:highlight w:val="none"/>
          <w:lang w:eastAsia="zh-CN"/>
        </w:rPr>
        <w:t>”</w:t>
      </w:r>
      <w:r>
        <w:rPr>
          <w:rFonts w:hint="default" w:ascii="Times New Roman" w:hAnsi="Times New Roman" w:eastAsia="方正仿宋_GB2312" w:cs="Times New Roman"/>
          <w:color w:val="auto"/>
          <w:sz w:val="32"/>
          <w:szCs w:val="32"/>
          <w:highlight w:val="none"/>
          <w:lang w:val="en-US" w:eastAsia="zh-CN"/>
        </w:rPr>
        <w:t>，抽取项目预算资金14.00万元。经评价小组复核评分，抽查的预算项目平均得分92.00分。</w:t>
      </w:r>
    </w:p>
    <w:p w14:paraId="4ADF518D">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本项分值为20.00分，扣1.60分，得分为18.40分。</w:t>
      </w:r>
    </w:p>
    <w:p w14:paraId="3B1C687A">
      <w:pPr>
        <w:keepNext w:val="0"/>
        <w:keepLines w:val="0"/>
        <w:pageBreakBefore w:val="0"/>
        <w:numPr>
          <w:ilvl w:val="0"/>
          <w:numId w:val="0"/>
        </w:numPr>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kern w:val="2"/>
          <w:sz w:val="32"/>
          <w:szCs w:val="32"/>
          <w:highlight w:val="none"/>
          <w:lang w:val="en-US" w:eastAsia="zh-CN" w:bidi="ar-SA"/>
        </w:rPr>
        <w:t>3.</w:t>
      </w:r>
      <w:r>
        <w:rPr>
          <w:rFonts w:hint="default" w:ascii="Times New Roman" w:hAnsi="Times New Roman" w:eastAsia="方正仿宋_GB2312" w:cs="Times New Roman"/>
          <w:color w:val="auto"/>
          <w:sz w:val="32"/>
          <w:szCs w:val="32"/>
          <w:highlight w:val="none"/>
        </w:rPr>
        <w:t>专项预算绩效</w:t>
      </w:r>
      <w:r>
        <w:rPr>
          <w:rFonts w:hint="default" w:ascii="Times New Roman" w:hAnsi="Times New Roman" w:eastAsia="方正仿宋_GB2312" w:cs="Times New Roman"/>
          <w:color w:val="auto"/>
          <w:sz w:val="32"/>
          <w:szCs w:val="32"/>
          <w:highlight w:val="none"/>
          <w:lang w:val="en-US" w:eastAsia="zh-CN"/>
        </w:rPr>
        <w:t>管理情况</w:t>
      </w:r>
    </w:p>
    <w:p w14:paraId="19A5BE0D">
      <w:pPr>
        <w:keepNext w:val="0"/>
        <w:keepLines w:val="0"/>
        <w:pageBreakBefore w:val="0"/>
        <w:numPr>
          <w:ilvl w:val="0"/>
          <w:numId w:val="0"/>
        </w:numPr>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eastAsia="zh-CN"/>
        </w:rPr>
        <w:t>（</w:t>
      </w:r>
      <w:r>
        <w:rPr>
          <w:rFonts w:hint="default" w:ascii="Times New Roman" w:hAnsi="Times New Roman" w:eastAsia="方正仿宋_GB2312" w:cs="Times New Roman"/>
          <w:color w:val="auto"/>
          <w:sz w:val="32"/>
          <w:szCs w:val="32"/>
          <w:highlight w:val="none"/>
          <w:lang w:val="en-US" w:eastAsia="zh-CN"/>
        </w:rPr>
        <w:t>1</w:t>
      </w:r>
      <w:r>
        <w:rPr>
          <w:rFonts w:hint="default" w:ascii="Times New Roman" w:hAnsi="Times New Roman" w:eastAsia="方正仿宋_GB2312" w:cs="Times New Roman"/>
          <w:color w:val="auto"/>
          <w:sz w:val="32"/>
          <w:szCs w:val="32"/>
          <w:highlight w:val="none"/>
          <w:lang w:eastAsia="zh-CN"/>
        </w:rPr>
        <w:t>）</w:t>
      </w:r>
      <w:r>
        <w:rPr>
          <w:rFonts w:hint="default" w:ascii="Times New Roman" w:hAnsi="Times New Roman" w:eastAsia="方正仿宋_GB2312" w:cs="Times New Roman"/>
          <w:color w:val="auto"/>
          <w:sz w:val="32"/>
          <w:szCs w:val="32"/>
          <w:highlight w:val="none"/>
          <w:lang w:val="en-US" w:eastAsia="zh-CN"/>
        </w:rPr>
        <w:t>整体完成</w:t>
      </w:r>
    </w:p>
    <w:p w14:paraId="1B9DC6F4">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二级指标“整体完成”下设一个三级指标为：完成率。</w:t>
      </w:r>
    </w:p>
    <w:p w14:paraId="7C2923AF">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2024年，县地志办预算项目2个，评价组抽取专项预算项目1个，抽取项目预算资金14.00万元，抽取项目为</w:t>
      </w:r>
      <w:r>
        <w:rPr>
          <w:rFonts w:hint="default" w:ascii="Times New Roman" w:hAnsi="Times New Roman" w:eastAsia="方正仿宋_GB2312" w:cs="Times New Roman"/>
          <w:bCs w:val="0"/>
          <w:color w:val="auto"/>
          <w:sz w:val="32"/>
          <w:szCs w:val="32"/>
          <w:highlight w:val="none"/>
          <w:lang w:eastAsia="zh-CN"/>
        </w:rPr>
        <w:t>“《泸定县扶贫志》”</w:t>
      </w:r>
      <w:r>
        <w:rPr>
          <w:rFonts w:hint="default" w:ascii="Times New Roman" w:hAnsi="Times New Roman" w:eastAsia="方正仿宋_GB2312" w:cs="Times New Roman"/>
          <w:color w:val="auto"/>
          <w:sz w:val="32"/>
          <w:szCs w:val="32"/>
          <w:highlight w:val="none"/>
          <w:lang w:val="en-US" w:eastAsia="zh-CN"/>
        </w:rPr>
        <w:t>。经评价小组复核评分，抽查的预算项目平均得分86.00分。</w:t>
      </w:r>
    </w:p>
    <w:p w14:paraId="7C50EB7D">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本项分值为30.00分，扣4.20分，得分为25.80分。</w:t>
      </w:r>
    </w:p>
    <w:p w14:paraId="6B552CA4">
      <w:pPr>
        <w:keepNext w:val="0"/>
        <w:keepLines w:val="0"/>
        <w:pageBreakBefore w:val="0"/>
        <w:numPr>
          <w:ilvl w:val="0"/>
          <w:numId w:val="0"/>
        </w:numPr>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kern w:val="2"/>
          <w:sz w:val="32"/>
          <w:szCs w:val="32"/>
          <w:highlight w:val="none"/>
          <w:lang w:val="en-US" w:eastAsia="zh-CN" w:bidi="ar-SA"/>
        </w:rPr>
        <w:t>4.</w:t>
      </w:r>
      <w:r>
        <w:rPr>
          <w:rFonts w:hint="default" w:ascii="Times New Roman" w:hAnsi="Times New Roman" w:eastAsia="方正仿宋_GB2312" w:cs="Times New Roman"/>
          <w:color w:val="auto"/>
          <w:sz w:val="32"/>
          <w:szCs w:val="32"/>
          <w:highlight w:val="none"/>
          <w:lang w:val="en-US" w:eastAsia="zh-CN"/>
        </w:rPr>
        <w:t>绩效结果应用</w:t>
      </w:r>
    </w:p>
    <w:p w14:paraId="0AF25A09">
      <w:pPr>
        <w:keepNext w:val="0"/>
        <w:keepLines w:val="0"/>
        <w:pageBreakBefore w:val="0"/>
        <w:numPr>
          <w:ilvl w:val="0"/>
          <w:numId w:val="0"/>
        </w:numPr>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（1）内部应用</w:t>
      </w:r>
    </w:p>
    <w:p w14:paraId="1C81E90C">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二级指标“内部应用”下设一个三级指标为：预算挂钩。</w:t>
      </w:r>
    </w:p>
    <w:p w14:paraId="45E97E47">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截至评价日，县地志办未将单位绩效管理情况未纳入内部考核体系且内部绩效结果未与预算挂钩。</w:t>
      </w:r>
    </w:p>
    <w:p w14:paraId="26F62B8E">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本项分值为4.00分，扣2.00分，得分为2.00分。</w:t>
      </w:r>
    </w:p>
    <w:p w14:paraId="3DFC40C8">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（2）信息公开</w:t>
      </w:r>
    </w:p>
    <w:p w14:paraId="02CEE864">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二级指标“信息公开”下设一个三级指标为：自评公开。</w:t>
      </w:r>
    </w:p>
    <w:p w14:paraId="0704524F">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①预决算公开。县地志办于2024年4月2日在泸定县人民政府网上进行了部门预算及项目绩效目标的公开。截至评价日（2025年9月4日），代表大会常务委员会暂未召开，未对2024年泸定县决算（草案）和决算报告进行审查，故未进行2024年决算信息的公开。</w:t>
      </w:r>
    </w:p>
    <w:p w14:paraId="4A2F8C25">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②绩效信息公开。截至评价日，因2024年决算信息未公开，即被评价单位部门整体自评报告及项目自评等相关绩效信息情况均未随决算公开。</w:t>
      </w:r>
    </w:p>
    <w:p w14:paraId="101CBC09">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本项分值为4.00分，扣0.00分，得分为4.00分。</w:t>
      </w:r>
    </w:p>
    <w:p w14:paraId="6B3C2C52">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（3）整改反馈</w:t>
      </w:r>
    </w:p>
    <w:p w14:paraId="23157FC1">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二级指标“整改反馈”下设两个三级指标为：问题整改、应用反馈。</w:t>
      </w:r>
    </w:p>
    <w:p w14:paraId="53A4A77D">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①问题整改。2024年度，县地志办未接受绩效目标核查、绩效监控核查和重点绩效评价。</w:t>
      </w:r>
    </w:p>
    <w:p w14:paraId="0E6FAB34">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本项分值为3.00分，扣0.00分，得分为3.00分。</w:t>
      </w:r>
    </w:p>
    <w:p w14:paraId="477FA3F0">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②应用反馈。2024年度，县地志办在规定时间内向财政部门反馈绩效结果应用报告，报告内容翔实、问题整改到位、结果应用充分。</w:t>
      </w:r>
    </w:p>
    <w:p w14:paraId="192AD229">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本项分值为3.00分，扣0.00分，得分为3.00分。</w:t>
      </w:r>
    </w:p>
    <w:p w14:paraId="714DA500">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5.自评质量</w:t>
      </w:r>
    </w:p>
    <w:p w14:paraId="772DA100">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二级指标“自评质量”下设一个三级指标为：自评质量。</w:t>
      </w:r>
    </w:p>
    <w:p w14:paraId="4145457C">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县地志办2024年部门整体支出绩效自评得分86分（不包括“自评质量”指标分值，满分为94分），根据现场评价情况，评价组对县地志办的考评得分90.19分（不包括“自评质量”指标分值，满分为94分），自评差异率2.10%，低于10.00%。</w:t>
      </w:r>
    </w:p>
    <w:p w14:paraId="62CC1504">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本项分值为6.00分，扣0.00分，得分为6.00分。</w:t>
      </w:r>
    </w:p>
    <w:bookmarkEnd w:id="2"/>
    <w:p w14:paraId="6478B652">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default" w:ascii="Times New Roman" w:hAnsi="Times New Roman" w:eastAsia="方正黑体简体" w:cs="Times New Roman"/>
          <w:color w:val="auto"/>
          <w:kern w:val="0"/>
          <w:sz w:val="32"/>
          <w:szCs w:val="32"/>
          <w:highlight w:val="none"/>
          <w:shd w:val="clear" w:color="auto" w:fill="FFFFFF"/>
        </w:rPr>
      </w:pPr>
      <w:bookmarkStart w:id="131" w:name="_Toc823448808"/>
      <w:bookmarkStart w:id="132" w:name="_Toc30515"/>
      <w:bookmarkStart w:id="133" w:name="_Toc5060"/>
      <w:bookmarkStart w:id="134" w:name="_Toc30339"/>
      <w:bookmarkStart w:id="135" w:name="_Toc25603"/>
      <w:bookmarkStart w:id="136" w:name="_Toc4350"/>
      <w:bookmarkStart w:id="137" w:name="_Toc248033833"/>
      <w:bookmarkStart w:id="138" w:name="_Toc21218"/>
      <w:bookmarkStart w:id="139" w:name="_Toc7306"/>
      <w:bookmarkStart w:id="140" w:name="_Toc14032"/>
      <w:bookmarkStart w:id="141" w:name="_Toc8336"/>
      <w:bookmarkStart w:id="142" w:name="_Toc19973"/>
      <w:r>
        <w:rPr>
          <w:rFonts w:hint="default" w:ascii="Times New Roman" w:hAnsi="Times New Roman" w:eastAsia="方正黑体简体" w:cs="Times New Roman"/>
          <w:color w:val="auto"/>
          <w:kern w:val="0"/>
          <w:sz w:val="32"/>
          <w:szCs w:val="32"/>
          <w:highlight w:val="none"/>
          <w:shd w:val="clear" w:color="auto" w:fill="FFFFFF"/>
          <w:lang w:val="en-US" w:eastAsia="zh-CN"/>
        </w:rPr>
        <w:t>五</w:t>
      </w:r>
      <w:r>
        <w:rPr>
          <w:rFonts w:hint="default" w:ascii="Times New Roman" w:hAnsi="Times New Roman" w:eastAsia="方正黑体简体" w:cs="Times New Roman"/>
          <w:color w:val="auto"/>
          <w:kern w:val="0"/>
          <w:sz w:val="32"/>
          <w:szCs w:val="32"/>
          <w:highlight w:val="none"/>
          <w:shd w:val="clear" w:color="auto" w:fill="FFFFFF"/>
        </w:rPr>
        <w:t>、存在的主要问题</w:t>
      </w:r>
      <w:bookmarkEnd w:id="131"/>
      <w:bookmarkEnd w:id="132"/>
      <w:bookmarkEnd w:id="133"/>
      <w:bookmarkEnd w:id="134"/>
      <w:bookmarkEnd w:id="135"/>
      <w:bookmarkEnd w:id="136"/>
      <w:bookmarkEnd w:id="137"/>
      <w:bookmarkEnd w:id="138"/>
      <w:bookmarkEnd w:id="139"/>
      <w:bookmarkEnd w:id="140"/>
    </w:p>
    <w:p w14:paraId="4161B4D3">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default" w:ascii="Times New Roman" w:hAnsi="Times New Roman" w:eastAsia="方正楷体简体" w:cs="Times New Roman"/>
          <w:color w:val="auto"/>
          <w:kern w:val="2"/>
          <w:sz w:val="32"/>
          <w:szCs w:val="32"/>
          <w:highlight w:val="none"/>
          <w:shd w:val="clear"/>
          <w:lang w:val="zh-CN"/>
        </w:rPr>
      </w:pPr>
      <w:bookmarkStart w:id="143" w:name="_Toc3240"/>
      <w:bookmarkStart w:id="144" w:name="_Toc464104487"/>
      <w:bookmarkStart w:id="145" w:name="_Toc771997543"/>
      <w:bookmarkStart w:id="146" w:name="_Toc10426"/>
      <w:bookmarkStart w:id="147" w:name="_Toc31629"/>
      <w:bookmarkStart w:id="148" w:name="_Toc22968"/>
      <w:bookmarkStart w:id="149" w:name="_Toc15651"/>
      <w:r>
        <w:rPr>
          <w:rFonts w:hint="default" w:ascii="Times New Roman" w:hAnsi="Times New Roman" w:eastAsia="方正楷体简体" w:cs="Times New Roman"/>
          <w:color w:val="auto"/>
          <w:kern w:val="2"/>
          <w:sz w:val="32"/>
          <w:szCs w:val="32"/>
          <w:highlight w:val="none"/>
          <w:shd w:val="clear"/>
          <w:lang w:val="zh-CN"/>
        </w:rPr>
        <w:t>（一）绩效目标编制和上报不准确</w:t>
      </w:r>
    </w:p>
    <w:p w14:paraId="302F22E5">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评价中发现，县地志办2024年部门综合绩效目标与个别预算项目绩效目标均不同程度存在编制不规范，指标设置不合理等问题，导致绩效目标科学性、合理性不够强，不便于考核评价。</w:t>
      </w:r>
    </w:p>
    <w:p w14:paraId="5DB0182F">
      <w:pPr>
        <w:numPr>
          <w:ilvl w:val="0"/>
          <w:numId w:val="0"/>
        </w:numPr>
        <w:tabs>
          <w:tab w:val="left" w:pos="479"/>
        </w:tabs>
        <w:ind w:firstLine="640" w:firstLineChars="200"/>
        <w:rPr>
          <w:rFonts w:hint="default" w:ascii="Times New Roman" w:hAnsi="Times New Roman" w:eastAsia="楷体" w:cs="Times New Roman"/>
          <w:sz w:val="32"/>
          <w:szCs w:val="32"/>
          <w:highlight w:val="none"/>
          <w:lang w:val="en-US" w:eastAsia="zh-CN"/>
        </w:rPr>
      </w:pPr>
      <w:r>
        <w:rPr>
          <w:rFonts w:hint="default" w:ascii="Times New Roman" w:hAnsi="Times New Roman" w:eastAsia="楷体" w:cs="Times New Roman"/>
          <w:sz w:val="32"/>
          <w:szCs w:val="32"/>
          <w:highlight w:val="none"/>
          <w:lang w:val="en-US" w:eastAsia="zh-CN"/>
        </w:rPr>
        <w:t>（二）部门绩效目标制定未纳入本部门集体决策范围</w:t>
      </w:r>
    </w:p>
    <w:p w14:paraId="74026EBD">
      <w:pPr>
        <w:numPr>
          <w:ilvl w:val="-1"/>
          <w:numId w:val="0"/>
        </w:numPr>
        <w:spacing w:line="600" w:lineRule="exact"/>
        <w:ind w:firstLine="560" w:firstLineChars="0"/>
        <w:outlineLvl w:val="1"/>
        <w:rPr>
          <w:rFonts w:hint="default" w:ascii="Times New Roman" w:hAnsi="Times New Roman" w:eastAsia="方正仿宋_GB2312" w:cs="Times New Roman"/>
          <w:bCs w:val="0"/>
          <w:color w:val="auto"/>
          <w:sz w:val="32"/>
          <w:szCs w:val="32"/>
          <w:highlight w:val="none"/>
          <w:lang w:eastAsia="zh-CN"/>
        </w:rPr>
      </w:pPr>
      <w:r>
        <w:rPr>
          <w:rFonts w:hint="default" w:ascii="Times New Roman" w:hAnsi="Times New Roman" w:eastAsia="方正仿宋_GB2312" w:cs="Times New Roman"/>
          <w:bCs w:val="0"/>
          <w:color w:val="auto"/>
          <w:sz w:val="32"/>
          <w:szCs w:val="32"/>
          <w:highlight w:val="none"/>
          <w:lang w:eastAsia="zh-CN"/>
        </w:rPr>
        <w:t>20</w:t>
      </w:r>
      <w:r>
        <w:rPr>
          <w:rFonts w:hint="default" w:ascii="Times New Roman" w:hAnsi="Times New Roman" w:eastAsia="方正仿宋_GB2312" w:cs="Times New Roman"/>
          <w:bCs w:val="0"/>
          <w:color w:val="auto"/>
          <w:sz w:val="32"/>
          <w:szCs w:val="32"/>
          <w:highlight w:val="none"/>
          <w:lang w:val="en-US" w:eastAsia="zh-CN"/>
        </w:rPr>
        <w:t>24</w:t>
      </w:r>
      <w:r>
        <w:rPr>
          <w:rFonts w:hint="default" w:ascii="Times New Roman" w:hAnsi="Times New Roman" w:eastAsia="方正仿宋_GB2312" w:cs="Times New Roman"/>
          <w:color w:val="auto"/>
          <w:sz w:val="32"/>
          <w:szCs w:val="32"/>
          <w:highlight w:val="none"/>
          <w:lang w:val="en-US" w:eastAsia="zh-CN"/>
        </w:rPr>
        <w:t>年，县地志办已编报《部门（单位）整体支出绩效目标申报表》，绩效目标随预算已上报人大完成审核，但未对部门整体项目进行集体决策，未将部门绩效目标纳入集体决策范围。</w:t>
      </w:r>
    </w:p>
    <w:p w14:paraId="0F284CBB">
      <w:pPr>
        <w:pStyle w:val="27"/>
        <w:rPr>
          <w:rFonts w:hint="default" w:ascii="Times New Roman" w:hAnsi="Times New Roman" w:eastAsia="仿宋" w:cs="Times New Roman"/>
          <w:bCs/>
          <w:kern w:val="2"/>
          <w:sz w:val="32"/>
          <w:szCs w:val="32"/>
          <w:highlight w:val="yellow"/>
          <w:lang w:val="en-US" w:eastAsia="zh-CN" w:bidi="ar-SA"/>
        </w:rPr>
      </w:pPr>
    </w:p>
    <w:p w14:paraId="6F299C79">
      <w:pPr>
        <w:numPr>
          <w:ilvl w:val="0"/>
          <w:numId w:val="0"/>
        </w:numPr>
        <w:tabs>
          <w:tab w:val="left" w:pos="479"/>
        </w:tabs>
        <w:ind w:firstLine="640" w:firstLineChars="200"/>
        <w:rPr>
          <w:rFonts w:hint="default" w:ascii="Times New Roman" w:hAnsi="Times New Roman" w:eastAsia="楷体" w:cs="Times New Roman"/>
          <w:sz w:val="32"/>
          <w:szCs w:val="32"/>
          <w:highlight w:val="none"/>
          <w:lang w:val="en-US" w:eastAsia="zh-CN"/>
        </w:rPr>
      </w:pPr>
      <w:r>
        <w:rPr>
          <w:rFonts w:hint="default" w:ascii="Times New Roman" w:hAnsi="Times New Roman" w:eastAsia="楷体" w:cs="Times New Roman"/>
          <w:sz w:val="32"/>
          <w:szCs w:val="32"/>
          <w:highlight w:val="none"/>
          <w:lang w:val="en-US" w:eastAsia="zh-CN"/>
        </w:rPr>
        <w:t>（三）预算绩效管理制度机制不够健全完善</w:t>
      </w:r>
    </w:p>
    <w:p w14:paraId="38D044E8">
      <w:pPr>
        <w:keepNext w:val="0"/>
        <w:keepLines w:val="0"/>
        <w:pageBreakBefore w:val="0"/>
        <w:numPr>
          <w:ilvl w:val="0"/>
          <w:numId w:val="0"/>
        </w:numPr>
        <w:kinsoku/>
        <w:wordWrap/>
        <w:overflowPunct/>
        <w:topLinePunct w:val="0"/>
        <w:autoSpaceDE/>
        <w:autoSpaceDN/>
        <w:bidi w:val="0"/>
        <w:spacing w:line="600" w:lineRule="exact"/>
        <w:ind w:left="0" w:firstLine="560" w:firstLineChars="0"/>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截至评价日，县地志办未将单位绩效管理情况未纳入内部考核体系且内部绩效结果未与预算挂钩。</w:t>
      </w:r>
    </w:p>
    <w:p w14:paraId="4EFDC167">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default" w:ascii="Times New Roman" w:hAnsi="Times New Roman" w:eastAsia="方正黑体简体" w:cs="Times New Roman"/>
          <w:color w:val="auto"/>
          <w:kern w:val="0"/>
          <w:sz w:val="32"/>
          <w:szCs w:val="32"/>
          <w:highlight w:val="none"/>
          <w:shd w:val="clear" w:color="auto" w:fill="FFFFFF"/>
        </w:rPr>
      </w:pPr>
      <w:bookmarkStart w:id="150" w:name="_Toc5324"/>
      <w:bookmarkStart w:id="151" w:name="_Toc29227"/>
      <w:bookmarkStart w:id="152" w:name="_Toc22775"/>
      <w:r>
        <w:rPr>
          <w:rFonts w:hint="default" w:ascii="Times New Roman" w:hAnsi="Times New Roman" w:eastAsia="方正黑体简体" w:cs="Times New Roman"/>
          <w:color w:val="auto"/>
          <w:kern w:val="0"/>
          <w:sz w:val="32"/>
          <w:szCs w:val="32"/>
          <w:highlight w:val="none"/>
          <w:shd w:val="clear" w:color="auto" w:fill="FFFFFF"/>
          <w:lang w:val="en-US" w:eastAsia="zh-CN"/>
        </w:rPr>
        <w:t>六</w:t>
      </w:r>
      <w:r>
        <w:rPr>
          <w:rFonts w:hint="default" w:ascii="Times New Roman" w:hAnsi="Times New Roman" w:eastAsia="方正黑体简体" w:cs="Times New Roman"/>
          <w:color w:val="auto"/>
          <w:kern w:val="0"/>
          <w:sz w:val="32"/>
          <w:szCs w:val="32"/>
          <w:highlight w:val="none"/>
          <w:shd w:val="clear" w:color="auto" w:fill="FFFFFF"/>
        </w:rPr>
        <w:t>、相关措施建议</w:t>
      </w:r>
      <w:bookmarkEnd w:id="143"/>
      <w:bookmarkEnd w:id="144"/>
      <w:bookmarkEnd w:id="145"/>
      <w:bookmarkEnd w:id="146"/>
      <w:bookmarkEnd w:id="147"/>
      <w:bookmarkEnd w:id="148"/>
      <w:bookmarkEnd w:id="149"/>
      <w:bookmarkEnd w:id="150"/>
      <w:bookmarkEnd w:id="151"/>
      <w:bookmarkEnd w:id="152"/>
    </w:p>
    <w:p w14:paraId="0385D5D0">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楷体简体" w:cs="Times New Roman"/>
          <w:color w:val="auto"/>
          <w:kern w:val="0"/>
          <w:sz w:val="32"/>
          <w:szCs w:val="32"/>
          <w:highlight w:val="none"/>
          <w:shd w:val="clear" w:color="auto" w:fill="FFFFFF"/>
          <w:lang w:val="en-US" w:eastAsia="zh-CN"/>
        </w:rPr>
      </w:pPr>
      <w:r>
        <w:rPr>
          <w:rFonts w:hint="default" w:ascii="Times New Roman" w:hAnsi="Times New Roman" w:eastAsia="方正楷体简体" w:cs="Times New Roman"/>
          <w:color w:val="auto"/>
          <w:kern w:val="0"/>
          <w:sz w:val="32"/>
          <w:szCs w:val="32"/>
          <w:highlight w:val="none"/>
          <w:shd w:val="clear" w:color="auto" w:fill="FFFFFF"/>
          <w:lang w:val="en-US" w:eastAsia="zh-CN"/>
        </w:rPr>
        <w:t>（一）规范项目绩效目标设置</w:t>
      </w:r>
    </w:p>
    <w:p w14:paraId="32B2BF9F">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加强绩效目标的审核，注重采用定量和定性评价相结合的方法，设置最具代表性，最能直接反映产出和效益的核心绩效指标和标准体系。对此次评价中未完成绩效目标或偏离绩效目标较大的项目要分析原因，对由于年初指标值设定明显偏低造成的，要按照偏离度适度调减分值。</w:t>
      </w:r>
    </w:p>
    <w:p w14:paraId="2F56402D">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楷体简体" w:cs="Times New Roman"/>
          <w:color w:val="auto"/>
          <w:kern w:val="0"/>
          <w:sz w:val="32"/>
          <w:szCs w:val="32"/>
          <w:highlight w:val="none"/>
          <w:shd w:val="clear" w:color="auto" w:fill="FFFFFF"/>
          <w:lang w:val="en-US" w:eastAsia="zh-CN"/>
        </w:rPr>
      </w:pPr>
      <w:r>
        <w:rPr>
          <w:rFonts w:hint="default" w:ascii="Times New Roman" w:hAnsi="Times New Roman" w:eastAsia="方正楷体简体" w:cs="Times New Roman"/>
          <w:color w:val="auto"/>
          <w:kern w:val="0"/>
          <w:sz w:val="32"/>
          <w:szCs w:val="32"/>
          <w:highlight w:val="none"/>
          <w:shd w:val="clear" w:color="auto" w:fill="FFFFFF"/>
          <w:lang w:val="en-US" w:eastAsia="zh-CN"/>
        </w:rPr>
        <w:t>（二）绩效目标制定纳入部门集体决策范围</w:t>
      </w:r>
    </w:p>
    <w:p w14:paraId="214057D5">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建议将绩效目标制定纳入部门集体决策范围，通过集体决策增强绩效目标制定的科学性、可行性与准确性。</w:t>
      </w:r>
    </w:p>
    <w:p w14:paraId="7638CE2C">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楷体简体" w:cs="Times New Roman"/>
          <w:color w:val="auto"/>
          <w:kern w:val="0"/>
          <w:sz w:val="32"/>
          <w:szCs w:val="32"/>
          <w:highlight w:val="none"/>
          <w:shd w:val="clear" w:color="auto" w:fill="FFFFFF"/>
          <w:lang w:val="en-US" w:eastAsia="zh-CN"/>
        </w:rPr>
      </w:pPr>
      <w:r>
        <w:rPr>
          <w:rFonts w:hint="default" w:ascii="Times New Roman" w:hAnsi="Times New Roman" w:eastAsia="方正楷体简体" w:cs="Times New Roman"/>
          <w:color w:val="auto"/>
          <w:kern w:val="0"/>
          <w:sz w:val="32"/>
          <w:szCs w:val="32"/>
          <w:highlight w:val="none"/>
          <w:shd w:val="clear" w:color="auto" w:fill="FFFFFF"/>
          <w:lang w:val="en-US" w:eastAsia="zh-CN"/>
        </w:rPr>
        <w:t>（三）健全完善预算绩效管理制度建设</w:t>
      </w:r>
    </w:p>
    <w:p w14:paraId="7DCAA2FF">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应结合部门内部实际，在预算绩效管理方面，建立部门内部预算与绩效结果挂钩的机制，将部门内部预算自评纳入考核体系。进一步加强预算绩效管理制度建设，完善工作机制，强化责任落实，提高制度执行力，为部门预算管理的实施提供具体的指导意见，以确保财政资金使用的质量和效果。</w:t>
      </w:r>
    </w:p>
    <w:bookmarkEnd w:id="141"/>
    <w:bookmarkEnd w:id="142"/>
    <w:p w14:paraId="5E24A6C6">
      <w:pPr>
        <w:pStyle w:val="18"/>
        <w:ind w:firstLine="0" w:firstLineChars="0"/>
        <w:rPr>
          <w:rFonts w:hint="default" w:ascii="Times New Roman" w:hAnsi="Times New Roman" w:cs="Times New Roman"/>
          <w:sz w:val="32"/>
          <w:szCs w:val="32"/>
          <w:lang w:eastAsia="zh-CN"/>
        </w:rPr>
      </w:pPr>
    </w:p>
    <w:p w14:paraId="085E1486">
      <w:pPr>
        <w:keepNext w:val="0"/>
        <w:keepLines w:val="0"/>
        <w:pageBreakBefore w:val="0"/>
        <w:widowControl/>
        <w:kinsoku/>
        <w:wordWrap/>
        <w:overflowPunct/>
        <w:topLinePunct w:val="0"/>
        <w:autoSpaceDE/>
        <w:autoSpaceDN/>
        <w:bidi w:val="0"/>
        <w:adjustRightInd/>
        <w:snapToGrid/>
        <w:spacing w:line="600" w:lineRule="exact"/>
        <w:ind w:left="0" w:leftChars="0" w:firstLine="560" w:firstLineChars="0"/>
        <w:textAlignment w:val="auto"/>
        <w:outlineLvl w:val="1"/>
        <w:rPr>
          <w:rFonts w:hint="default" w:ascii="Times New Roman" w:hAnsi="Times New Roman" w:eastAsia="方正仿宋_GB2312" w:cs="Times New Roman"/>
          <w:b w:val="0"/>
          <w:bCs w:val="0"/>
          <w:color w:val="auto"/>
          <w:sz w:val="32"/>
          <w:szCs w:val="32"/>
          <w:highlight w:val="none"/>
          <w:lang w:val="en-US" w:eastAsia="zh-CN"/>
        </w:rPr>
      </w:pPr>
      <w:bookmarkStart w:id="153" w:name="_Toc3238"/>
      <w:r>
        <w:rPr>
          <w:rFonts w:hint="default" w:ascii="Times New Roman" w:hAnsi="Times New Roman" w:eastAsia="方正仿宋_GB2312" w:cs="Times New Roman"/>
          <w:color w:val="auto"/>
          <w:sz w:val="32"/>
          <w:szCs w:val="32"/>
          <w:highlight w:val="none"/>
          <w:shd w:val="clear"/>
        </w:rPr>
        <w:t>附件</w:t>
      </w:r>
      <w:r>
        <w:rPr>
          <w:rFonts w:hint="default" w:ascii="Times New Roman" w:hAnsi="Times New Roman" w:eastAsia="方正仿宋_GB2312" w:cs="Times New Roman"/>
          <w:color w:val="auto"/>
          <w:sz w:val="32"/>
          <w:szCs w:val="32"/>
          <w:highlight w:val="none"/>
          <w:shd w:val="clear"/>
          <w:lang w:eastAsia="zh-CN"/>
        </w:rPr>
        <w:t>：泸定县地方志办公室部门整体支出绩效评价指标体系表（评分表）</w:t>
      </w:r>
      <w:bookmarkEnd w:id="153"/>
    </w:p>
    <w:p w14:paraId="1EA4528E">
      <w:pPr>
        <w:pStyle w:val="7"/>
        <w:rPr>
          <w:rFonts w:hint="default" w:ascii="Times New Roman" w:hAnsi="Times New Roman" w:eastAsia="仿宋" w:cs="Times New Roman"/>
          <w:b w:val="0"/>
          <w:bCs w:val="0"/>
          <w:color w:val="auto"/>
          <w:sz w:val="32"/>
          <w:szCs w:val="32"/>
          <w:highlight w:val="none"/>
          <w:lang w:val="en-US" w:eastAsia="zh-CN"/>
        </w:rPr>
      </w:pPr>
    </w:p>
    <w:p w14:paraId="0A068FD7">
      <w:pPr>
        <w:keepNext w:val="0"/>
        <w:keepLines w:val="0"/>
        <w:pageBreakBefore w:val="0"/>
        <w:widowControl w:val="0"/>
        <w:kinsoku/>
        <w:wordWrap/>
        <w:overflowPunct/>
        <w:topLinePunct w:val="0"/>
        <w:autoSpaceDE/>
        <w:autoSpaceDN/>
        <w:bidi w:val="0"/>
        <w:adjustRightInd/>
        <w:snapToGrid/>
        <w:spacing w:line="600" w:lineRule="exact"/>
        <w:ind w:left="0"/>
        <w:jc w:val="right"/>
        <w:textAlignment w:val="auto"/>
        <w:rPr>
          <w:rFonts w:hint="default" w:ascii="Times New Roman" w:hAnsi="Times New Roman" w:eastAsia="方正仿宋_GB2312" w:cs="Times New Roman"/>
          <w:b w:val="0"/>
          <w:bCs w:val="0"/>
          <w:sz w:val="32"/>
          <w:szCs w:val="32"/>
          <w:highlight w:val="none"/>
          <w:lang w:eastAsia="zh-CN"/>
        </w:rPr>
      </w:pPr>
    </w:p>
    <w:p w14:paraId="599F7CA8">
      <w:pPr>
        <w:spacing w:line="600" w:lineRule="exact"/>
        <w:ind w:firstLine="640"/>
        <w:jc w:val="right"/>
        <w:rPr>
          <w:rFonts w:hint="default" w:ascii="Times New Roman" w:hAnsi="Times New Roman" w:eastAsia="方正仿宋_GB2312" w:cs="Times New Roman"/>
          <w:sz w:val="32"/>
          <w:szCs w:val="32"/>
          <w:highlight w:val="none"/>
        </w:rPr>
      </w:pPr>
      <w:r>
        <w:rPr>
          <w:rFonts w:hint="default" w:ascii="Times New Roman" w:hAnsi="Times New Roman" w:eastAsia="方正仿宋_GB2312" w:cs="Times New Roman"/>
          <w:sz w:val="32"/>
          <w:szCs w:val="32"/>
          <w:highlight w:val="none"/>
        </w:rPr>
        <w:t>泸定县财政局</w:t>
      </w:r>
    </w:p>
    <w:p w14:paraId="567E22FB">
      <w:pPr>
        <w:spacing w:line="600" w:lineRule="exact"/>
        <w:ind w:firstLine="640"/>
        <w:jc w:val="right"/>
        <w:rPr>
          <w:rFonts w:hint="default" w:ascii="Times New Roman" w:hAnsi="Times New Roman" w:eastAsia="方正仿宋_GB2312" w:cs="Times New Roman"/>
          <w:sz w:val="32"/>
          <w:szCs w:val="32"/>
          <w:highlight w:val="none"/>
        </w:rPr>
      </w:pPr>
      <w:r>
        <w:rPr>
          <w:rFonts w:hint="default" w:ascii="Times New Roman" w:hAnsi="Times New Roman" w:eastAsia="方正仿宋_GB2312" w:cs="Times New Roman"/>
          <w:sz w:val="32"/>
          <w:szCs w:val="32"/>
          <w:highlight w:val="none"/>
        </w:rPr>
        <w:t>　　　　　　　　　　　2025年11月11日</w:t>
      </w:r>
    </w:p>
    <w:p w14:paraId="5DA23EEF">
      <w:pPr>
        <w:rPr>
          <w:rFonts w:hint="default" w:ascii="Times New Roman" w:hAnsi="Times New Roman" w:cs="Times New Roman"/>
          <w:sz w:val="32"/>
          <w:szCs w:val="32"/>
          <w:highlight w:val="none"/>
          <w:lang w:val="en-US" w:eastAsia="zh-CN"/>
        </w:rPr>
      </w:pPr>
    </w:p>
    <w:sectPr>
      <w:headerReference r:id="rId5" w:type="default"/>
      <w:footerReference r:id="rId6" w:type="default"/>
      <w:pgSz w:w="11906" w:h="16838"/>
      <w:pgMar w:top="1440" w:right="1803" w:bottom="1440" w:left="1803" w:header="680" w:footer="737" w:gutter="0"/>
      <w:pgNumType w:fmt="decimal"/>
      <w:cols w:space="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embedRegular r:id="rId1" w:fontKey="{D778BC43-A324-4A73-A622-1B8662C737C9}"/>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embedRegular r:id="rId2" w:fontKey="{2F2267CE-0ADD-4933-8B33-DE05B8F74820}"/>
  </w:font>
  <w:font w:name="等线 Light">
    <w:altName w:val="宋体"/>
    <w:panose1 w:val="02010600030101010101"/>
    <w:charset w:val="86"/>
    <w:family w:val="auto"/>
    <w:pitch w:val="default"/>
    <w:sig w:usb0="00000000" w:usb1="00000000" w:usb2="00000016" w:usb3="00000000" w:csb0="0004000F" w:csb1="00000000"/>
  </w:font>
  <w:font w:name="方正小标宋_GBK">
    <w:panose1 w:val="02000000000000000000"/>
    <w:charset w:val="86"/>
    <w:family w:val="auto"/>
    <w:pitch w:val="default"/>
    <w:sig w:usb0="A00002BF" w:usb1="38CF7CFA" w:usb2="00082016" w:usb3="00000000" w:csb0="00040001" w:csb1="00000000"/>
  </w:font>
  <w:font w:name="方正仿宋_GB2312">
    <w:panose1 w:val="02000000000000000000"/>
    <w:charset w:val="86"/>
    <w:family w:val="auto"/>
    <w:pitch w:val="default"/>
    <w:sig w:usb0="A00002BF" w:usb1="184F6CFA" w:usb2="00000012" w:usb3="00000000" w:csb0="00040001" w:csb1="00000000"/>
    <w:embedRegular r:id="rId3" w:fontKey="{6D20A64D-780F-456C-8F90-C59C073389DA}"/>
  </w:font>
  <w:font w:name="方正黑体简体">
    <w:panose1 w:val="03000509000000000000"/>
    <w:charset w:val="86"/>
    <w:family w:val="auto"/>
    <w:pitch w:val="default"/>
    <w:sig w:usb0="00000001" w:usb1="080E0000" w:usb2="00000000" w:usb3="00000000" w:csb0="00040000" w:csb1="00000000"/>
    <w:embedRegular r:id="rId4" w:fontKey="{05958FFC-6D26-45F4-9CE3-25FC2FB3F7C8}"/>
  </w:font>
  <w:font w:name="方正楷体简体">
    <w:panose1 w:val="03000509000000000000"/>
    <w:charset w:val="86"/>
    <w:family w:val="auto"/>
    <w:pitch w:val="default"/>
    <w:sig w:usb0="00000001" w:usb1="080E0000" w:usb2="00000000" w:usb3="00000000" w:csb0="00040000" w:csb1="00000000"/>
    <w:embedRegular r:id="rId5" w:fontKey="{45268BA4-683F-4211-AB9D-C1E9E9958250}"/>
  </w:font>
  <w:font w:name="方正小标宋简体">
    <w:panose1 w:val="03000509000000000000"/>
    <w:charset w:val="86"/>
    <w:family w:val="auto"/>
    <w:pitch w:val="default"/>
    <w:sig w:usb0="00000001" w:usb1="080E0000" w:usb2="00000000" w:usb3="00000000" w:csb0="00040000" w:csb1="00000000"/>
    <w:embedRegular r:id="rId6" w:fontKey="{064339E2-12BA-4FB9-9F93-C118C879DDD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20D31C">
    <w:pPr>
      <w:pStyle w:val="12"/>
      <w:ind w:firstLine="0" w:firstLineChars="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016C51E">
                          <w:pPr>
                            <w:pStyle w:val="12"/>
                            <w:ind w:left="0" w:leftChars="0" w:firstLine="0" w:firstLineChars="0"/>
                            <w:rPr>
                              <w:sz w:val="32"/>
                              <w:szCs w:val="32"/>
                            </w:rPr>
                          </w:pPr>
                          <w:r>
                            <w:rPr>
                              <w:sz w:val="32"/>
                              <w:szCs w:val="32"/>
                            </w:rPr>
                            <w:t xml:space="preserve">— </w:t>
                          </w:r>
                          <w:r>
                            <w:rPr>
                              <w:sz w:val="32"/>
                              <w:szCs w:val="32"/>
                            </w:rPr>
                            <w:fldChar w:fldCharType="begin"/>
                          </w:r>
                          <w:r>
                            <w:rPr>
                              <w:sz w:val="32"/>
                              <w:szCs w:val="32"/>
                            </w:rPr>
                            <w:instrText xml:space="preserve"> PAGE  \* MERGEFORMAT </w:instrText>
                          </w:r>
                          <w:r>
                            <w:rPr>
                              <w:sz w:val="32"/>
                              <w:szCs w:val="32"/>
                            </w:rPr>
                            <w:fldChar w:fldCharType="separate"/>
                          </w:r>
                          <w:r>
                            <w:rPr>
                              <w:sz w:val="32"/>
                              <w:szCs w:val="32"/>
                            </w:rPr>
                            <w:t>1</w:t>
                          </w:r>
                          <w:r>
                            <w:rPr>
                              <w:sz w:val="32"/>
                              <w:szCs w:val="32"/>
                            </w:rPr>
                            <w:fldChar w:fldCharType="end"/>
                          </w:r>
                          <w:r>
                            <w:rPr>
                              <w:sz w:val="32"/>
                              <w:szCs w:val="32"/>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KQhEwrAgAAVw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ikIRMKwIAAFcEAAAOAAAAAAAAAAEAIAAAAB8BAABkcnMvZTJvRG9jLnhtbFBLBQYAAAAABgAG&#10;AFkBAAC8BQAAAAA=&#10;">
              <v:fill on="f" focussize="0,0"/>
              <v:stroke on="f" weight="0.5pt"/>
              <v:imagedata o:title=""/>
              <o:lock v:ext="edit" aspectratio="f"/>
              <v:textbox inset="0mm,0mm,0mm,0mm" style="mso-fit-shape-to-text:t;">
                <w:txbxContent>
                  <w:p w14:paraId="2016C51E">
                    <w:pPr>
                      <w:pStyle w:val="12"/>
                      <w:ind w:left="0" w:leftChars="0" w:firstLine="0" w:firstLineChars="0"/>
                      <w:rPr>
                        <w:sz w:val="32"/>
                        <w:szCs w:val="32"/>
                      </w:rPr>
                    </w:pPr>
                    <w:r>
                      <w:rPr>
                        <w:sz w:val="32"/>
                        <w:szCs w:val="32"/>
                      </w:rPr>
                      <w:t xml:space="preserve">— </w:t>
                    </w:r>
                    <w:r>
                      <w:rPr>
                        <w:sz w:val="32"/>
                        <w:szCs w:val="32"/>
                      </w:rPr>
                      <w:fldChar w:fldCharType="begin"/>
                    </w:r>
                    <w:r>
                      <w:rPr>
                        <w:sz w:val="32"/>
                        <w:szCs w:val="32"/>
                      </w:rPr>
                      <w:instrText xml:space="preserve"> PAGE  \* MERGEFORMAT </w:instrText>
                    </w:r>
                    <w:r>
                      <w:rPr>
                        <w:sz w:val="32"/>
                        <w:szCs w:val="32"/>
                      </w:rPr>
                      <w:fldChar w:fldCharType="separate"/>
                    </w:r>
                    <w:r>
                      <w:rPr>
                        <w:sz w:val="32"/>
                        <w:szCs w:val="32"/>
                      </w:rPr>
                      <w:t>1</w:t>
                    </w:r>
                    <w:r>
                      <w:rPr>
                        <w:sz w:val="32"/>
                        <w:szCs w:val="32"/>
                      </w:rPr>
                      <w:fldChar w:fldCharType="end"/>
                    </w:r>
                    <w:r>
                      <w:rPr>
                        <w:sz w:val="32"/>
                        <w:szCs w:val="32"/>
                      </w:rP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0BAFDF">
    <w:pPr>
      <w:pBdr>
        <w:top w:val="none" w:color="auto" w:sz="0" w:space="1"/>
        <w:left w:val="none" w:color="auto" w:sz="0" w:space="4"/>
        <w:bottom w:val="none" w:color="auto" w:sz="0" w:space="1"/>
        <w:right w:val="none" w:color="auto" w:sz="0" w:space="4"/>
      </w:pBdr>
      <w:tabs>
        <w:tab w:val="center" w:pos="4150"/>
        <w:tab w:val="right" w:pos="8306"/>
      </w:tabs>
      <w:snapToGrid w:val="0"/>
      <w:ind w:firstLine="0" w:firstLineChars="0"/>
      <w:jc w:val="left"/>
      <w:rPr>
        <w:u w:val="non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2F3B84"/>
    <w:multiLevelType w:val="multilevel"/>
    <w:tmpl w:val="372F3B84"/>
    <w:lvl w:ilvl="0" w:tentative="0">
      <w:start w:val="1"/>
      <w:numFmt w:val="japaneseCounting"/>
      <w:pStyle w:val="4"/>
      <w:lvlText w:val="（%1）"/>
      <w:lvlJc w:val="left"/>
      <w:pPr>
        <w:ind w:left="1937" w:hanging="977"/>
      </w:pPr>
      <w:rPr>
        <w:rFonts w:hint="default"/>
      </w:rPr>
    </w:lvl>
    <w:lvl w:ilvl="1" w:tentative="0">
      <w:start w:val="1"/>
      <w:numFmt w:val="lowerLetter"/>
      <w:lvlText w:val="%2)"/>
      <w:lvlJc w:val="left"/>
      <w:pPr>
        <w:ind w:left="1840" w:hanging="440"/>
      </w:pPr>
    </w:lvl>
    <w:lvl w:ilvl="2" w:tentative="0">
      <w:start w:val="1"/>
      <w:numFmt w:val="lowerRoman"/>
      <w:lvlText w:val="%3."/>
      <w:lvlJc w:val="right"/>
      <w:pPr>
        <w:ind w:left="2280" w:hanging="440"/>
      </w:pPr>
    </w:lvl>
    <w:lvl w:ilvl="3" w:tentative="0">
      <w:start w:val="1"/>
      <w:numFmt w:val="decimal"/>
      <w:lvlText w:val="%4."/>
      <w:lvlJc w:val="left"/>
      <w:pPr>
        <w:ind w:left="2720" w:hanging="440"/>
      </w:pPr>
    </w:lvl>
    <w:lvl w:ilvl="4" w:tentative="0">
      <w:start w:val="1"/>
      <w:numFmt w:val="lowerLetter"/>
      <w:lvlText w:val="%5)"/>
      <w:lvlJc w:val="left"/>
      <w:pPr>
        <w:ind w:left="3160" w:hanging="440"/>
      </w:pPr>
    </w:lvl>
    <w:lvl w:ilvl="5" w:tentative="0">
      <w:start w:val="1"/>
      <w:numFmt w:val="lowerRoman"/>
      <w:lvlText w:val="%6."/>
      <w:lvlJc w:val="right"/>
      <w:pPr>
        <w:ind w:left="3600" w:hanging="440"/>
      </w:pPr>
    </w:lvl>
    <w:lvl w:ilvl="6" w:tentative="0">
      <w:start w:val="1"/>
      <w:numFmt w:val="decimal"/>
      <w:lvlText w:val="%7."/>
      <w:lvlJc w:val="left"/>
      <w:pPr>
        <w:ind w:left="4040" w:hanging="440"/>
      </w:pPr>
    </w:lvl>
    <w:lvl w:ilvl="7" w:tentative="0">
      <w:start w:val="1"/>
      <w:numFmt w:val="lowerLetter"/>
      <w:lvlText w:val="%8)"/>
      <w:lvlJc w:val="left"/>
      <w:pPr>
        <w:ind w:left="4480" w:hanging="440"/>
      </w:pPr>
    </w:lvl>
    <w:lvl w:ilvl="8" w:tentative="0">
      <w:start w:val="1"/>
      <w:numFmt w:val="lowerRoman"/>
      <w:lvlText w:val="%9."/>
      <w:lvlJc w:val="right"/>
      <w:pPr>
        <w:ind w:left="4920" w:hanging="440"/>
      </w:pPr>
    </w:lvl>
  </w:abstractNum>
  <w:abstractNum w:abstractNumId="1">
    <w:nsid w:val="60A4DF1E"/>
    <w:multiLevelType w:val="multilevel"/>
    <w:tmpl w:val="60A4DF1E"/>
    <w:lvl w:ilvl="0" w:tentative="0">
      <w:start w:val="1"/>
      <w:numFmt w:val="chineseCounting"/>
      <w:suff w:val="nothing"/>
      <w:lvlText w:val="%1、"/>
      <w:lvlJc w:val="left"/>
      <w:pPr>
        <w:tabs>
          <w:tab w:val="left" w:pos="0"/>
        </w:tabs>
        <w:ind w:left="0" w:firstLine="0"/>
      </w:pPr>
      <w:rPr>
        <w:rFonts w:hint="eastAsia" w:ascii="宋体" w:hAnsi="宋体" w:eastAsia="宋体" w:cs="宋体"/>
      </w:rPr>
    </w:lvl>
    <w:lvl w:ilvl="1" w:tentative="0">
      <w:start w:val="1"/>
      <w:numFmt w:val="chineseCounting"/>
      <w:suff w:val="nothing"/>
      <w:lvlText w:val="（%2）"/>
      <w:lvlJc w:val="left"/>
      <w:pPr>
        <w:ind w:left="0" w:firstLine="0"/>
      </w:pPr>
      <w:rPr>
        <w:rFonts w:hint="eastAsia" w:ascii="宋体" w:hAnsi="宋体" w:eastAsia="宋体" w:cs="宋体"/>
      </w:rPr>
    </w:lvl>
    <w:lvl w:ilvl="2" w:tentative="0">
      <w:start w:val="1"/>
      <w:numFmt w:val="decimal"/>
      <w:pStyle w:val="3"/>
      <w:suff w:val="nothing"/>
      <w:lvlText w:val="%3．"/>
      <w:lvlJc w:val="left"/>
      <w:pPr>
        <w:ind w:left="0" w:firstLine="400"/>
      </w:pPr>
      <w:rPr>
        <w:rFonts w:hint="eastAsia" w:ascii="宋体" w:hAnsi="宋体" w:eastAsia="宋体" w:cs="宋体"/>
      </w:rPr>
    </w:lvl>
    <w:lvl w:ilvl="3" w:tentative="0">
      <w:start w:val="1"/>
      <w:numFmt w:val="decimal"/>
      <w:suff w:val="nothing"/>
      <w:lvlText w:val="（%4）"/>
      <w:lvlJc w:val="left"/>
      <w:pPr>
        <w:ind w:left="0" w:firstLine="402"/>
      </w:pPr>
      <w:rPr>
        <w:rFonts w:hint="eastAsia" w:ascii="宋体" w:hAnsi="宋体" w:eastAsia="宋体" w:cs="宋体"/>
      </w:rPr>
    </w:lvl>
    <w:lvl w:ilvl="4" w:tentative="0">
      <w:start w:val="1"/>
      <w:numFmt w:val="decimalEnclosedCircleChinese"/>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E5M2JhZjNlZGRmY2I3MDBiNjBkZWI3YTgzNWY3NWEifQ=="/>
  </w:docVars>
  <w:rsids>
    <w:rsidRoot w:val="00172A27"/>
    <w:rsid w:val="00072D71"/>
    <w:rsid w:val="00097BF8"/>
    <w:rsid w:val="000C45D6"/>
    <w:rsid w:val="000C754C"/>
    <w:rsid w:val="000E2AA0"/>
    <w:rsid w:val="00127F9D"/>
    <w:rsid w:val="00145DD7"/>
    <w:rsid w:val="00147C82"/>
    <w:rsid w:val="00163525"/>
    <w:rsid w:val="00172A27"/>
    <w:rsid w:val="001A6E39"/>
    <w:rsid w:val="00202FA3"/>
    <w:rsid w:val="00272C1D"/>
    <w:rsid w:val="002F7B42"/>
    <w:rsid w:val="0032304E"/>
    <w:rsid w:val="003655C8"/>
    <w:rsid w:val="003F0E80"/>
    <w:rsid w:val="004267A7"/>
    <w:rsid w:val="00443DB6"/>
    <w:rsid w:val="00451894"/>
    <w:rsid w:val="00452C50"/>
    <w:rsid w:val="004549BF"/>
    <w:rsid w:val="005D0FB9"/>
    <w:rsid w:val="00610FBA"/>
    <w:rsid w:val="00646411"/>
    <w:rsid w:val="0067664F"/>
    <w:rsid w:val="006E2F08"/>
    <w:rsid w:val="007221E5"/>
    <w:rsid w:val="00757BEA"/>
    <w:rsid w:val="007E5CD9"/>
    <w:rsid w:val="00804DDE"/>
    <w:rsid w:val="0085646D"/>
    <w:rsid w:val="00870DA1"/>
    <w:rsid w:val="0088162A"/>
    <w:rsid w:val="008956AD"/>
    <w:rsid w:val="008B2190"/>
    <w:rsid w:val="00934B72"/>
    <w:rsid w:val="00950253"/>
    <w:rsid w:val="00963AA7"/>
    <w:rsid w:val="00970070"/>
    <w:rsid w:val="009B5855"/>
    <w:rsid w:val="00A1757E"/>
    <w:rsid w:val="00A60B13"/>
    <w:rsid w:val="00AD1C0E"/>
    <w:rsid w:val="00AD64C4"/>
    <w:rsid w:val="00AE1EFF"/>
    <w:rsid w:val="00B11E73"/>
    <w:rsid w:val="00BB4B64"/>
    <w:rsid w:val="00BF1745"/>
    <w:rsid w:val="00BF55A4"/>
    <w:rsid w:val="00C46DF1"/>
    <w:rsid w:val="00C54B59"/>
    <w:rsid w:val="00CB3663"/>
    <w:rsid w:val="00CF395F"/>
    <w:rsid w:val="00D10437"/>
    <w:rsid w:val="00D33BD1"/>
    <w:rsid w:val="00EB673D"/>
    <w:rsid w:val="00EE1A30"/>
    <w:rsid w:val="00EE3529"/>
    <w:rsid w:val="00F80E20"/>
    <w:rsid w:val="00FF076D"/>
    <w:rsid w:val="01395070"/>
    <w:rsid w:val="015B3238"/>
    <w:rsid w:val="0174274A"/>
    <w:rsid w:val="01AE1362"/>
    <w:rsid w:val="0209008E"/>
    <w:rsid w:val="0221101D"/>
    <w:rsid w:val="023A109F"/>
    <w:rsid w:val="028212C5"/>
    <w:rsid w:val="02B56978"/>
    <w:rsid w:val="031D77B8"/>
    <w:rsid w:val="03435D32"/>
    <w:rsid w:val="034B0AC6"/>
    <w:rsid w:val="03BD26AA"/>
    <w:rsid w:val="03C46413"/>
    <w:rsid w:val="03DB0660"/>
    <w:rsid w:val="03F043C9"/>
    <w:rsid w:val="03F5560D"/>
    <w:rsid w:val="04874344"/>
    <w:rsid w:val="05370DC3"/>
    <w:rsid w:val="05704583"/>
    <w:rsid w:val="05AE5131"/>
    <w:rsid w:val="05CD222A"/>
    <w:rsid w:val="05E52F32"/>
    <w:rsid w:val="069B1F26"/>
    <w:rsid w:val="06E2185D"/>
    <w:rsid w:val="071C5217"/>
    <w:rsid w:val="074574B7"/>
    <w:rsid w:val="077F711D"/>
    <w:rsid w:val="0815093A"/>
    <w:rsid w:val="08280844"/>
    <w:rsid w:val="08321414"/>
    <w:rsid w:val="08BC09C7"/>
    <w:rsid w:val="08CA0DBA"/>
    <w:rsid w:val="0AA10A64"/>
    <w:rsid w:val="0AAA2B3A"/>
    <w:rsid w:val="0AF65D7F"/>
    <w:rsid w:val="0B7C6285"/>
    <w:rsid w:val="0BD10723"/>
    <w:rsid w:val="0C0A3890"/>
    <w:rsid w:val="0C82214A"/>
    <w:rsid w:val="0CC90B55"/>
    <w:rsid w:val="0CF63E15"/>
    <w:rsid w:val="0D0C53E6"/>
    <w:rsid w:val="0D4639D6"/>
    <w:rsid w:val="0D7279BB"/>
    <w:rsid w:val="0D7C008D"/>
    <w:rsid w:val="0DA06897"/>
    <w:rsid w:val="0DF462ED"/>
    <w:rsid w:val="0DF90060"/>
    <w:rsid w:val="0E19564B"/>
    <w:rsid w:val="0E3E5A73"/>
    <w:rsid w:val="0E522B49"/>
    <w:rsid w:val="0E5E23AA"/>
    <w:rsid w:val="0E6050D4"/>
    <w:rsid w:val="0E7F3C56"/>
    <w:rsid w:val="0EE4486D"/>
    <w:rsid w:val="0EF40828"/>
    <w:rsid w:val="0EF610D2"/>
    <w:rsid w:val="0EF97BEC"/>
    <w:rsid w:val="0F207817"/>
    <w:rsid w:val="0F24115F"/>
    <w:rsid w:val="0F7D48CD"/>
    <w:rsid w:val="0F851480"/>
    <w:rsid w:val="0F895427"/>
    <w:rsid w:val="0FA36556"/>
    <w:rsid w:val="100F5919"/>
    <w:rsid w:val="10433815"/>
    <w:rsid w:val="10607EBA"/>
    <w:rsid w:val="10A609B0"/>
    <w:rsid w:val="10C177C0"/>
    <w:rsid w:val="10FB12CE"/>
    <w:rsid w:val="11015343"/>
    <w:rsid w:val="11034D52"/>
    <w:rsid w:val="11641A35"/>
    <w:rsid w:val="11A54F88"/>
    <w:rsid w:val="11A55E09"/>
    <w:rsid w:val="1256364C"/>
    <w:rsid w:val="12A06A45"/>
    <w:rsid w:val="12F71BB3"/>
    <w:rsid w:val="130C25E4"/>
    <w:rsid w:val="13185DC7"/>
    <w:rsid w:val="13445E84"/>
    <w:rsid w:val="13463C67"/>
    <w:rsid w:val="134E407D"/>
    <w:rsid w:val="136916A0"/>
    <w:rsid w:val="13BF191E"/>
    <w:rsid w:val="13DD5D2E"/>
    <w:rsid w:val="13F21959"/>
    <w:rsid w:val="141D437D"/>
    <w:rsid w:val="144B4CE8"/>
    <w:rsid w:val="14827494"/>
    <w:rsid w:val="14DA48CB"/>
    <w:rsid w:val="14DA73CD"/>
    <w:rsid w:val="14DE1D5E"/>
    <w:rsid w:val="151B6B0E"/>
    <w:rsid w:val="153C7438"/>
    <w:rsid w:val="155B04E5"/>
    <w:rsid w:val="15762967"/>
    <w:rsid w:val="15C0420D"/>
    <w:rsid w:val="15C42D02"/>
    <w:rsid w:val="16310CFC"/>
    <w:rsid w:val="164E7445"/>
    <w:rsid w:val="16521418"/>
    <w:rsid w:val="167B192A"/>
    <w:rsid w:val="168D3A3C"/>
    <w:rsid w:val="169F376F"/>
    <w:rsid w:val="16BA737C"/>
    <w:rsid w:val="17404D18"/>
    <w:rsid w:val="177A4C27"/>
    <w:rsid w:val="178D5376"/>
    <w:rsid w:val="179E79D9"/>
    <w:rsid w:val="17FD7EEE"/>
    <w:rsid w:val="180A196B"/>
    <w:rsid w:val="181B0371"/>
    <w:rsid w:val="186A5A33"/>
    <w:rsid w:val="18A93AFC"/>
    <w:rsid w:val="18BC4164"/>
    <w:rsid w:val="18DA3FE0"/>
    <w:rsid w:val="18DD5A8A"/>
    <w:rsid w:val="190A1D86"/>
    <w:rsid w:val="195A2D50"/>
    <w:rsid w:val="196B6F54"/>
    <w:rsid w:val="19CD71FA"/>
    <w:rsid w:val="19E605C7"/>
    <w:rsid w:val="1A48253C"/>
    <w:rsid w:val="1A94413A"/>
    <w:rsid w:val="1AA475A6"/>
    <w:rsid w:val="1AC02064"/>
    <w:rsid w:val="1AF776D6"/>
    <w:rsid w:val="1B0B2AA5"/>
    <w:rsid w:val="1B334486"/>
    <w:rsid w:val="1BDF6BC8"/>
    <w:rsid w:val="1BEC2FB3"/>
    <w:rsid w:val="1C141C3C"/>
    <w:rsid w:val="1C2C3D72"/>
    <w:rsid w:val="1C535707"/>
    <w:rsid w:val="1C580E62"/>
    <w:rsid w:val="1C975E00"/>
    <w:rsid w:val="1CEE6A53"/>
    <w:rsid w:val="1D046172"/>
    <w:rsid w:val="1D484219"/>
    <w:rsid w:val="1D4F18C5"/>
    <w:rsid w:val="1D9A1CE4"/>
    <w:rsid w:val="1DD67D6F"/>
    <w:rsid w:val="1E036392"/>
    <w:rsid w:val="1E0C3498"/>
    <w:rsid w:val="1ED16069"/>
    <w:rsid w:val="1ED24185"/>
    <w:rsid w:val="1ED35C04"/>
    <w:rsid w:val="1ED903FD"/>
    <w:rsid w:val="1EE16233"/>
    <w:rsid w:val="1EFB57A6"/>
    <w:rsid w:val="1F372797"/>
    <w:rsid w:val="1F406C39"/>
    <w:rsid w:val="1FB262C1"/>
    <w:rsid w:val="1FD20322"/>
    <w:rsid w:val="1FE92B41"/>
    <w:rsid w:val="1FFEDEEE"/>
    <w:rsid w:val="201E1FEE"/>
    <w:rsid w:val="202E7632"/>
    <w:rsid w:val="20533B33"/>
    <w:rsid w:val="207456E4"/>
    <w:rsid w:val="20A3724F"/>
    <w:rsid w:val="20CB7E98"/>
    <w:rsid w:val="21355B3E"/>
    <w:rsid w:val="21CC56B8"/>
    <w:rsid w:val="21F711A6"/>
    <w:rsid w:val="22460F43"/>
    <w:rsid w:val="22612BC4"/>
    <w:rsid w:val="2297354C"/>
    <w:rsid w:val="22DD16D2"/>
    <w:rsid w:val="22F7E8FF"/>
    <w:rsid w:val="23386ADD"/>
    <w:rsid w:val="234C0C7F"/>
    <w:rsid w:val="23A67EEB"/>
    <w:rsid w:val="23F46FD7"/>
    <w:rsid w:val="24283899"/>
    <w:rsid w:val="24436E8F"/>
    <w:rsid w:val="248C4080"/>
    <w:rsid w:val="24AC4BD5"/>
    <w:rsid w:val="24C04FDC"/>
    <w:rsid w:val="24FD16C3"/>
    <w:rsid w:val="25790BDA"/>
    <w:rsid w:val="257A162F"/>
    <w:rsid w:val="25F533FB"/>
    <w:rsid w:val="26331263"/>
    <w:rsid w:val="263F3713"/>
    <w:rsid w:val="265058AE"/>
    <w:rsid w:val="265F3B15"/>
    <w:rsid w:val="269C2300"/>
    <w:rsid w:val="269E759F"/>
    <w:rsid w:val="271534C4"/>
    <w:rsid w:val="271E56C4"/>
    <w:rsid w:val="27391076"/>
    <w:rsid w:val="273B0505"/>
    <w:rsid w:val="277338DD"/>
    <w:rsid w:val="27A6495D"/>
    <w:rsid w:val="27F31AB9"/>
    <w:rsid w:val="27F60C89"/>
    <w:rsid w:val="27FFC5C7"/>
    <w:rsid w:val="282B56B9"/>
    <w:rsid w:val="28371A2F"/>
    <w:rsid w:val="284452E7"/>
    <w:rsid w:val="28523CBE"/>
    <w:rsid w:val="28757938"/>
    <w:rsid w:val="28860508"/>
    <w:rsid w:val="28950ECF"/>
    <w:rsid w:val="291B3F45"/>
    <w:rsid w:val="294B0B24"/>
    <w:rsid w:val="29581F66"/>
    <w:rsid w:val="29942B89"/>
    <w:rsid w:val="2A0E67EA"/>
    <w:rsid w:val="2A14341E"/>
    <w:rsid w:val="2A257690"/>
    <w:rsid w:val="2A3049B2"/>
    <w:rsid w:val="2A817549"/>
    <w:rsid w:val="2AC554D1"/>
    <w:rsid w:val="2ADB2B70"/>
    <w:rsid w:val="2B275DB5"/>
    <w:rsid w:val="2B625A5F"/>
    <w:rsid w:val="2BBE5215"/>
    <w:rsid w:val="2BD70482"/>
    <w:rsid w:val="2C2F0835"/>
    <w:rsid w:val="2CBB4441"/>
    <w:rsid w:val="2CC80ED2"/>
    <w:rsid w:val="2CD1263C"/>
    <w:rsid w:val="2CF37A27"/>
    <w:rsid w:val="2CF74E38"/>
    <w:rsid w:val="2D241E80"/>
    <w:rsid w:val="2D324D1A"/>
    <w:rsid w:val="2D525A3B"/>
    <w:rsid w:val="2D5A0B88"/>
    <w:rsid w:val="2D6319D3"/>
    <w:rsid w:val="2D9D27E0"/>
    <w:rsid w:val="2DE812E1"/>
    <w:rsid w:val="2E3D769E"/>
    <w:rsid w:val="2E750BE6"/>
    <w:rsid w:val="2E7B50BC"/>
    <w:rsid w:val="2E982D28"/>
    <w:rsid w:val="2EAE40F8"/>
    <w:rsid w:val="2ED1320F"/>
    <w:rsid w:val="2F0102F8"/>
    <w:rsid w:val="2F040BD9"/>
    <w:rsid w:val="2F3274A5"/>
    <w:rsid w:val="2F4607D4"/>
    <w:rsid w:val="2F6C3146"/>
    <w:rsid w:val="2FBBA5AB"/>
    <w:rsid w:val="2FBF381C"/>
    <w:rsid w:val="2FC260AC"/>
    <w:rsid w:val="2FD91648"/>
    <w:rsid w:val="2FEF2A5C"/>
    <w:rsid w:val="2FFE2E5D"/>
    <w:rsid w:val="3052247A"/>
    <w:rsid w:val="305D77B8"/>
    <w:rsid w:val="3090670D"/>
    <w:rsid w:val="30A614FD"/>
    <w:rsid w:val="312B48AF"/>
    <w:rsid w:val="31701B38"/>
    <w:rsid w:val="31B5579D"/>
    <w:rsid w:val="32A47AB4"/>
    <w:rsid w:val="32CB27BC"/>
    <w:rsid w:val="33105381"/>
    <w:rsid w:val="333A23FE"/>
    <w:rsid w:val="336B6A5B"/>
    <w:rsid w:val="337B49B9"/>
    <w:rsid w:val="33BD27DF"/>
    <w:rsid w:val="33EB569F"/>
    <w:rsid w:val="33FA0C54"/>
    <w:rsid w:val="34113BD6"/>
    <w:rsid w:val="34140406"/>
    <w:rsid w:val="342C7375"/>
    <w:rsid w:val="34B42BB5"/>
    <w:rsid w:val="34C73C1C"/>
    <w:rsid w:val="350D6544"/>
    <w:rsid w:val="35EE2E3C"/>
    <w:rsid w:val="36001598"/>
    <w:rsid w:val="360308FA"/>
    <w:rsid w:val="36527A5E"/>
    <w:rsid w:val="36870F62"/>
    <w:rsid w:val="369B1CB2"/>
    <w:rsid w:val="36BF54EC"/>
    <w:rsid w:val="36C17759"/>
    <w:rsid w:val="36DC449D"/>
    <w:rsid w:val="36F56951"/>
    <w:rsid w:val="37E36263"/>
    <w:rsid w:val="37EE368E"/>
    <w:rsid w:val="38554F2F"/>
    <w:rsid w:val="38693545"/>
    <w:rsid w:val="38C96200"/>
    <w:rsid w:val="38D85C62"/>
    <w:rsid w:val="390E6F8C"/>
    <w:rsid w:val="39131F2C"/>
    <w:rsid w:val="39374DDA"/>
    <w:rsid w:val="393C614A"/>
    <w:rsid w:val="39411EEC"/>
    <w:rsid w:val="39935632"/>
    <w:rsid w:val="39E6508D"/>
    <w:rsid w:val="3A3949DD"/>
    <w:rsid w:val="3A4A7C37"/>
    <w:rsid w:val="3A7649A2"/>
    <w:rsid w:val="3A81279A"/>
    <w:rsid w:val="3AE5274E"/>
    <w:rsid w:val="3B072D35"/>
    <w:rsid w:val="3B3301C2"/>
    <w:rsid w:val="3B343BD6"/>
    <w:rsid w:val="3B543140"/>
    <w:rsid w:val="3B626037"/>
    <w:rsid w:val="3BD70C1C"/>
    <w:rsid w:val="3C065573"/>
    <w:rsid w:val="3C4B567C"/>
    <w:rsid w:val="3C837FE5"/>
    <w:rsid w:val="3CB15DE8"/>
    <w:rsid w:val="3D1F22E5"/>
    <w:rsid w:val="3D3960CA"/>
    <w:rsid w:val="3D997564"/>
    <w:rsid w:val="3DB744C0"/>
    <w:rsid w:val="3DB8289D"/>
    <w:rsid w:val="3DE87F46"/>
    <w:rsid w:val="3DFC2E05"/>
    <w:rsid w:val="3E144470"/>
    <w:rsid w:val="3E432DCF"/>
    <w:rsid w:val="3E8E1632"/>
    <w:rsid w:val="3F3E2FE9"/>
    <w:rsid w:val="3F5605BF"/>
    <w:rsid w:val="3F646F3E"/>
    <w:rsid w:val="3F7B5870"/>
    <w:rsid w:val="3FAD280D"/>
    <w:rsid w:val="3FAFC9F3"/>
    <w:rsid w:val="3FBD0AA0"/>
    <w:rsid w:val="3FBFE8A3"/>
    <w:rsid w:val="3FBFF11E"/>
    <w:rsid w:val="3FC78042"/>
    <w:rsid w:val="3FCF6EEE"/>
    <w:rsid w:val="3FFA9567"/>
    <w:rsid w:val="3FFBC9EC"/>
    <w:rsid w:val="3FFFEA14"/>
    <w:rsid w:val="400D7690"/>
    <w:rsid w:val="4069560F"/>
    <w:rsid w:val="40BE07E3"/>
    <w:rsid w:val="411804C5"/>
    <w:rsid w:val="412070D7"/>
    <w:rsid w:val="41322966"/>
    <w:rsid w:val="414508EB"/>
    <w:rsid w:val="41670862"/>
    <w:rsid w:val="41731B45"/>
    <w:rsid w:val="41DC7289"/>
    <w:rsid w:val="41FD2ABB"/>
    <w:rsid w:val="421C165C"/>
    <w:rsid w:val="423D5A66"/>
    <w:rsid w:val="42811671"/>
    <w:rsid w:val="428B71EF"/>
    <w:rsid w:val="42A2347D"/>
    <w:rsid w:val="43251644"/>
    <w:rsid w:val="43802285"/>
    <w:rsid w:val="43A7F1A6"/>
    <w:rsid w:val="43D2284D"/>
    <w:rsid w:val="43ED42A2"/>
    <w:rsid w:val="44865DC2"/>
    <w:rsid w:val="44986F84"/>
    <w:rsid w:val="44A86EA6"/>
    <w:rsid w:val="44B03869"/>
    <w:rsid w:val="44B958DC"/>
    <w:rsid w:val="44D974B6"/>
    <w:rsid w:val="44E65F41"/>
    <w:rsid w:val="44FE2B7A"/>
    <w:rsid w:val="45221C05"/>
    <w:rsid w:val="45576E3F"/>
    <w:rsid w:val="455812EC"/>
    <w:rsid w:val="456F5F37"/>
    <w:rsid w:val="45761D23"/>
    <w:rsid w:val="4593493B"/>
    <w:rsid w:val="459B16D3"/>
    <w:rsid w:val="459E4A6E"/>
    <w:rsid w:val="45C269AF"/>
    <w:rsid w:val="45F31D67"/>
    <w:rsid w:val="45FF29D4"/>
    <w:rsid w:val="462A15BD"/>
    <w:rsid w:val="4633306D"/>
    <w:rsid w:val="46625636"/>
    <w:rsid w:val="46E2098A"/>
    <w:rsid w:val="46F55C66"/>
    <w:rsid w:val="470879FF"/>
    <w:rsid w:val="4712301E"/>
    <w:rsid w:val="477D22C4"/>
    <w:rsid w:val="478C7274"/>
    <w:rsid w:val="47970F04"/>
    <w:rsid w:val="484767E6"/>
    <w:rsid w:val="48D56225"/>
    <w:rsid w:val="493C0826"/>
    <w:rsid w:val="49D23684"/>
    <w:rsid w:val="49E41186"/>
    <w:rsid w:val="49F243D5"/>
    <w:rsid w:val="4A3F0AC3"/>
    <w:rsid w:val="4A6E0EB3"/>
    <w:rsid w:val="4AAC5450"/>
    <w:rsid w:val="4AD1435D"/>
    <w:rsid w:val="4AFA2C7B"/>
    <w:rsid w:val="4B0435C5"/>
    <w:rsid w:val="4B58271A"/>
    <w:rsid w:val="4B6B11A9"/>
    <w:rsid w:val="4B9C6B82"/>
    <w:rsid w:val="4BDE4024"/>
    <w:rsid w:val="4C1635B0"/>
    <w:rsid w:val="4C907F6D"/>
    <w:rsid w:val="4CA46E0E"/>
    <w:rsid w:val="4CAA1F4A"/>
    <w:rsid w:val="4CAE35BE"/>
    <w:rsid w:val="4CFC2039"/>
    <w:rsid w:val="4D101EA3"/>
    <w:rsid w:val="4D111FCA"/>
    <w:rsid w:val="4D3E2370"/>
    <w:rsid w:val="4D6E449B"/>
    <w:rsid w:val="4F0A34DF"/>
    <w:rsid w:val="4F5F5C7E"/>
    <w:rsid w:val="4F7241B1"/>
    <w:rsid w:val="4FCD04DF"/>
    <w:rsid w:val="4FF7181A"/>
    <w:rsid w:val="4FFE309A"/>
    <w:rsid w:val="507D0BBC"/>
    <w:rsid w:val="507E6B2A"/>
    <w:rsid w:val="50CC06E1"/>
    <w:rsid w:val="50F87728"/>
    <w:rsid w:val="51290B58"/>
    <w:rsid w:val="51381763"/>
    <w:rsid w:val="51842D6A"/>
    <w:rsid w:val="51960840"/>
    <w:rsid w:val="51D7639A"/>
    <w:rsid w:val="51E2208C"/>
    <w:rsid w:val="5221572C"/>
    <w:rsid w:val="52265F38"/>
    <w:rsid w:val="52291B63"/>
    <w:rsid w:val="527E3C5D"/>
    <w:rsid w:val="52EF2BDF"/>
    <w:rsid w:val="535B753F"/>
    <w:rsid w:val="53B16AD7"/>
    <w:rsid w:val="543748C0"/>
    <w:rsid w:val="54B716A8"/>
    <w:rsid w:val="55516FE9"/>
    <w:rsid w:val="55681707"/>
    <w:rsid w:val="55AC2CD2"/>
    <w:rsid w:val="55B812E3"/>
    <w:rsid w:val="55D82153"/>
    <w:rsid w:val="561A2F05"/>
    <w:rsid w:val="566E5A78"/>
    <w:rsid w:val="56A7003A"/>
    <w:rsid w:val="575D29C4"/>
    <w:rsid w:val="577B4EF8"/>
    <w:rsid w:val="57950BEC"/>
    <w:rsid w:val="579A41D9"/>
    <w:rsid w:val="57BD01C5"/>
    <w:rsid w:val="57BE73BD"/>
    <w:rsid w:val="57C56C55"/>
    <w:rsid w:val="57E13BCA"/>
    <w:rsid w:val="57EAF5E5"/>
    <w:rsid w:val="58334AD1"/>
    <w:rsid w:val="5864421C"/>
    <w:rsid w:val="58B172F3"/>
    <w:rsid w:val="58F55AD6"/>
    <w:rsid w:val="5901172B"/>
    <w:rsid w:val="594F3C5E"/>
    <w:rsid w:val="59561F19"/>
    <w:rsid w:val="596B1981"/>
    <w:rsid w:val="59821BED"/>
    <w:rsid w:val="59891767"/>
    <w:rsid w:val="59CF4D9E"/>
    <w:rsid w:val="59DE4A58"/>
    <w:rsid w:val="59EE791A"/>
    <w:rsid w:val="5A56101C"/>
    <w:rsid w:val="5AB4383C"/>
    <w:rsid w:val="5AED719F"/>
    <w:rsid w:val="5B0A7A07"/>
    <w:rsid w:val="5B1433B1"/>
    <w:rsid w:val="5B353327"/>
    <w:rsid w:val="5B3C271A"/>
    <w:rsid w:val="5B3F384B"/>
    <w:rsid w:val="5B5F5E1B"/>
    <w:rsid w:val="5B685559"/>
    <w:rsid w:val="5B8F6EDB"/>
    <w:rsid w:val="5BE414C5"/>
    <w:rsid w:val="5BFBC47E"/>
    <w:rsid w:val="5BFBFEEF"/>
    <w:rsid w:val="5BFE6DE9"/>
    <w:rsid w:val="5C1E1F40"/>
    <w:rsid w:val="5C5537BA"/>
    <w:rsid w:val="5C694A22"/>
    <w:rsid w:val="5C7458E1"/>
    <w:rsid w:val="5CBF46AD"/>
    <w:rsid w:val="5CE479D1"/>
    <w:rsid w:val="5CFF3025"/>
    <w:rsid w:val="5D3C5456"/>
    <w:rsid w:val="5D3E2967"/>
    <w:rsid w:val="5D7B4679"/>
    <w:rsid w:val="5D7C3989"/>
    <w:rsid w:val="5DCDBD87"/>
    <w:rsid w:val="5E6D6710"/>
    <w:rsid w:val="5E7C5B9B"/>
    <w:rsid w:val="5EA82B76"/>
    <w:rsid w:val="5EB1D3F4"/>
    <w:rsid w:val="5EDB5F93"/>
    <w:rsid w:val="5F246AEA"/>
    <w:rsid w:val="5F3B183F"/>
    <w:rsid w:val="5F5617FE"/>
    <w:rsid w:val="5F562031"/>
    <w:rsid w:val="5F774ACC"/>
    <w:rsid w:val="5F9C373E"/>
    <w:rsid w:val="5FBF7263"/>
    <w:rsid w:val="5FCF84ED"/>
    <w:rsid w:val="5FDB26EF"/>
    <w:rsid w:val="5FDFC83C"/>
    <w:rsid w:val="5FF7A0DE"/>
    <w:rsid w:val="60017C7C"/>
    <w:rsid w:val="6020741B"/>
    <w:rsid w:val="60695F4D"/>
    <w:rsid w:val="608914CC"/>
    <w:rsid w:val="6094289E"/>
    <w:rsid w:val="60A725D1"/>
    <w:rsid w:val="60D13AF2"/>
    <w:rsid w:val="60F11867"/>
    <w:rsid w:val="60F577E0"/>
    <w:rsid w:val="61035425"/>
    <w:rsid w:val="61492D1C"/>
    <w:rsid w:val="615C16D6"/>
    <w:rsid w:val="618A3DC3"/>
    <w:rsid w:val="61C15430"/>
    <w:rsid w:val="61E46B12"/>
    <w:rsid w:val="6200643D"/>
    <w:rsid w:val="62102CE3"/>
    <w:rsid w:val="62222B09"/>
    <w:rsid w:val="62311D7E"/>
    <w:rsid w:val="62350D51"/>
    <w:rsid w:val="627C5614"/>
    <w:rsid w:val="62BA758E"/>
    <w:rsid w:val="62BB6119"/>
    <w:rsid w:val="62D11B87"/>
    <w:rsid w:val="630D7F41"/>
    <w:rsid w:val="630F26B0"/>
    <w:rsid w:val="63212B0F"/>
    <w:rsid w:val="636724EC"/>
    <w:rsid w:val="636C18B0"/>
    <w:rsid w:val="637846F9"/>
    <w:rsid w:val="63A71F74"/>
    <w:rsid w:val="63ED0D4F"/>
    <w:rsid w:val="64FE5F84"/>
    <w:rsid w:val="652F1904"/>
    <w:rsid w:val="65835D1E"/>
    <w:rsid w:val="65BF660F"/>
    <w:rsid w:val="65C7404D"/>
    <w:rsid w:val="65F17436"/>
    <w:rsid w:val="664669D8"/>
    <w:rsid w:val="66BB8914"/>
    <w:rsid w:val="66C0483B"/>
    <w:rsid w:val="66CC410D"/>
    <w:rsid w:val="66EE54A9"/>
    <w:rsid w:val="67152FB8"/>
    <w:rsid w:val="67551304"/>
    <w:rsid w:val="676254A4"/>
    <w:rsid w:val="678D0D6C"/>
    <w:rsid w:val="67AB4C59"/>
    <w:rsid w:val="67C96B35"/>
    <w:rsid w:val="67D8ED11"/>
    <w:rsid w:val="68262975"/>
    <w:rsid w:val="684306E9"/>
    <w:rsid w:val="68723580"/>
    <w:rsid w:val="68994500"/>
    <w:rsid w:val="69172000"/>
    <w:rsid w:val="69794D27"/>
    <w:rsid w:val="697F1380"/>
    <w:rsid w:val="699A1F8A"/>
    <w:rsid w:val="69A93917"/>
    <w:rsid w:val="69F84725"/>
    <w:rsid w:val="6A4A3BFD"/>
    <w:rsid w:val="6B43739A"/>
    <w:rsid w:val="6BCE4EB6"/>
    <w:rsid w:val="6BFFA4D9"/>
    <w:rsid w:val="6C196A9A"/>
    <w:rsid w:val="6C590980"/>
    <w:rsid w:val="6C75429C"/>
    <w:rsid w:val="6C7D23DE"/>
    <w:rsid w:val="6C8163CC"/>
    <w:rsid w:val="6C862912"/>
    <w:rsid w:val="6CFA1652"/>
    <w:rsid w:val="6CFC1EF7"/>
    <w:rsid w:val="6CFD7E08"/>
    <w:rsid w:val="6D0F4A6A"/>
    <w:rsid w:val="6D3D4391"/>
    <w:rsid w:val="6D4F2BB4"/>
    <w:rsid w:val="6D8E68B6"/>
    <w:rsid w:val="6DB91B96"/>
    <w:rsid w:val="6DCD214C"/>
    <w:rsid w:val="6E3C3302"/>
    <w:rsid w:val="6E7E0482"/>
    <w:rsid w:val="6E7F1593"/>
    <w:rsid w:val="6E8B15BA"/>
    <w:rsid w:val="6EC3F98A"/>
    <w:rsid w:val="6EDE010C"/>
    <w:rsid w:val="6EFE7E0F"/>
    <w:rsid w:val="6F5F3DDC"/>
    <w:rsid w:val="6F6F4C02"/>
    <w:rsid w:val="6FBF4705"/>
    <w:rsid w:val="6FC06BC3"/>
    <w:rsid w:val="6FC24E02"/>
    <w:rsid w:val="6FCD2B35"/>
    <w:rsid w:val="6FEFDAF3"/>
    <w:rsid w:val="6FF658FB"/>
    <w:rsid w:val="6FFB1FF0"/>
    <w:rsid w:val="6FFEF6BD"/>
    <w:rsid w:val="70161521"/>
    <w:rsid w:val="70756248"/>
    <w:rsid w:val="70983CE4"/>
    <w:rsid w:val="70BB65E4"/>
    <w:rsid w:val="70C04FE9"/>
    <w:rsid w:val="70E817A2"/>
    <w:rsid w:val="70EF71B7"/>
    <w:rsid w:val="70FAFB2A"/>
    <w:rsid w:val="71506ACE"/>
    <w:rsid w:val="716138A0"/>
    <w:rsid w:val="71753151"/>
    <w:rsid w:val="71867FE1"/>
    <w:rsid w:val="71A73D3E"/>
    <w:rsid w:val="71AD1A11"/>
    <w:rsid w:val="71D4087A"/>
    <w:rsid w:val="71E34413"/>
    <w:rsid w:val="71FE401B"/>
    <w:rsid w:val="726A16B0"/>
    <w:rsid w:val="727D4F24"/>
    <w:rsid w:val="72822E9E"/>
    <w:rsid w:val="72A146DD"/>
    <w:rsid w:val="72A70FAA"/>
    <w:rsid w:val="72DD1E82"/>
    <w:rsid w:val="72E66F89"/>
    <w:rsid w:val="73113F43"/>
    <w:rsid w:val="734944D8"/>
    <w:rsid w:val="7357511D"/>
    <w:rsid w:val="737446DD"/>
    <w:rsid w:val="737A3B75"/>
    <w:rsid w:val="737C1264"/>
    <w:rsid w:val="739B12EB"/>
    <w:rsid w:val="73A007FF"/>
    <w:rsid w:val="73AB6533"/>
    <w:rsid w:val="74620891"/>
    <w:rsid w:val="74D774D1"/>
    <w:rsid w:val="74E42203"/>
    <w:rsid w:val="751F197F"/>
    <w:rsid w:val="75297601"/>
    <w:rsid w:val="752C5839"/>
    <w:rsid w:val="758650B4"/>
    <w:rsid w:val="759E9462"/>
    <w:rsid w:val="75AB7F59"/>
    <w:rsid w:val="75D9457B"/>
    <w:rsid w:val="75E579CC"/>
    <w:rsid w:val="7613520C"/>
    <w:rsid w:val="76301170"/>
    <w:rsid w:val="763E70DC"/>
    <w:rsid w:val="76937428"/>
    <w:rsid w:val="76DD68F5"/>
    <w:rsid w:val="76EB7264"/>
    <w:rsid w:val="76EEE66D"/>
    <w:rsid w:val="76EF82A2"/>
    <w:rsid w:val="76F20DAE"/>
    <w:rsid w:val="76FBFBCD"/>
    <w:rsid w:val="77245415"/>
    <w:rsid w:val="77503BA8"/>
    <w:rsid w:val="77B03C03"/>
    <w:rsid w:val="77B627D2"/>
    <w:rsid w:val="77BDFB3C"/>
    <w:rsid w:val="77BF2551"/>
    <w:rsid w:val="77CB4ADD"/>
    <w:rsid w:val="77F50D0E"/>
    <w:rsid w:val="77FCCDF3"/>
    <w:rsid w:val="7821727C"/>
    <w:rsid w:val="78243701"/>
    <w:rsid w:val="782E0A91"/>
    <w:rsid w:val="7866291A"/>
    <w:rsid w:val="788E7EA5"/>
    <w:rsid w:val="78A639F9"/>
    <w:rsid w:val="78C54BEE"/>
    <w:rsid w:val="78F74A7F"/>
    <w:rsid w:val="7922343B"/>
    <w:rsid w:val="7926388B"/>
    <w:rsid w:val="79521C10"/>
    <w:rsid w:val="795E17F1"/>
    <w:rsid w:val="795FF9E4"/>
    <w:rsid w:val="79D42C0A"/>
    <w:rsid w:val="79FFF26D"/>
    <w:rsid w:val="7A267238"/>
    <w:rsid w:val="7A30225F"/>
    <w:rsid w:val="7A6F1F5A"/>
    <w:rsid w:val="7AAE7979"/>
    <w:rsid w:val="7AD5E80B"/>
    <w:rsid w:val="7AE7FD2B"/>
    <w:rsid w:val="7AF3D7EA"/>
    <w:rsid w:val="7AFE98C0"/>
    <w:rsid w:val="7B0A37F3"/>
    <w:rsid w:val="7B205FF9"/>
    <w:rsid w:val="7B2EC99E"/>
    <w:rsid w:val="7B3E4BF5"/>
    <w:rsid w:val="7B3E7254"/>
    <w:rsid w:val="7B676EB1"/>
    <w:rsid w:val="7B93031C"/>
    <w:rsid w:val="7BB3345A"/>
    <w:rsid w:val="7BBE09F0"/>
    <w:rsid w:val="7BCF7C7E"/>
    <w:rsid w:val="7BD61AD5"/>
    <w:rsid w:val="7BF9C739"/>
    <w:rsid w:val="7BFB259B"/>
    <w:rsid w:val="7BFF440A"/>
    <w:rsid w:val="7BFF8FB5"/>
    <w:rsid w:val="7C8549E9"/>
    <w:rsid w:val="7C9E2A4A"/>
    <w:rsid w:val="7CCD70F6"/>
    <w:rsid w:val="7CFC4664"/>
    <w:rsid w:val="7D4E5235"/>
    <w:rsid w:val="7D7B61FA"/>
    <w:rsid w:val="7D7D8DD1"/>
    <w:rsid w:val="7D9F8B72"/>
    <w:rsid w:val="7DBBA20B"/>
    <w:rsid w:val="7DC66335"/>
    <w:rsid w:val="7DDEDC0D"/>
    <w:rsid w:val="7DEF7A8A"/>
    <w:rsid w:val="7DF3FD3E"/>
    <w:rsid w:val="7DF7F354"/>
    <w:rsid w:val="7DFB0575"/>
    <w:rsid w:val="7E154BC6"/>
    <w:rsid w:val="7E6B12CB"/>
    <w:rsid w:val="7E7273D9"/>
    <w:rsid w:val="7E7F81E4"/>
    <w:rsid w:val="7E8835EA"/>
    <w:rsid w:val="7E8D051D"/>
    <w:rsid w:val="7EACC565"/>
    <w:rsid w:val="7EB151EC"/>
    <w:rsid w:val="7EBB205B"/>
    <w:rsid w:val="7EBF2D50"/>
    <w:rsid w:val="7ECF1D1B"/>
    <w:rsid w:val="7ED22AB7"/>
    <w:rsid w:val="7ED7E605"/>
    <w:rsid w:val="7EDD74B9"/>
    <w:rsid w:val="7EF62516"/>
    <w:rsid w:val="7EFFE568"/>
    <w:rsid w:val="7F4B6054"/>
    <w:rsid w:val="7F5ABD7A"/>
    <w:rsid w:val="7F5CEBBD"/>
    <w:rsid w:val="7F7D7081"/>
    <w:rsid w:val="7F824F8C"/>
    <w:rsid w:val="7F8C4AD9"/>
    <w:rsid w:val="7FBF1A71"/>
    <w:rsid w:val="7FDFB4E3"/>
    <w:rsid w:val="7FDFE4A1"/>
    <w:rsid w:val="7FEF3380"/>
    <w:rsid w:val="7FFF3A16"/>
    <w:rsid w:val="7FFF5A94"/>
    <w:rsid w:val="83FF91AF"/>
    <w:rsid w:val="8AF62299"/>
    <w:rsid w:val="8D9E5958"/>
    <w:rsid w:val="8FEBAE37"/>
    <w:rsid w:val="8FF8B082"/>
    <w:rsid w:val="9FFC6A98"/>
    <w:rsid w:val="9FFF4B72"/>
    <w:rsid w:val="9FFFED75"/>
    <w:rsid w:val="A4FE2DAB"/>
    <w:rsid w:val="AD3B6A3F"/>
    <w:rsid w:val="AFE10A07"/>
    <w:rsid w:val="AFFE6005"/>
    <w:rsid w:val="B6FC2E9B"/>
    <w:rsid w:val="B7E7B2A0"/>
    <w:rsid w:val="B7EB1F3F"/>
    <w:rsid w:val="B9EB0C7F"/>
    <w:rsid w:val="B9FBD9F7"/>
    <w:rsid w:val="BBD563B5"/>
    <w:rsid w:val="BBFE7B1E"/>
    <w:rsid w:val="BBFF130D"/>
    <w:rsid w:val="BBFFDCD7"/>
    <w:rsid w:val="BCDCE214"/>
    <w:rsid w:val="BDAD1B8A"/>
    <w:rsid w:val="BDB9A1BB"/>
    <w:rsid w:val="BDFFCF40"/>
    <w:rsid w:val="BE7D5B73"/>
    <w:rsid w:val="BEEC8E32"/>
    <w:rsid w:val="BF7E0626"/>
    <w:rsid w:val="C76803D6"/>
    <w:rsid w:val="C77B49A1"/>
    <w:rsid w:val="CB9B34A2"/>
    <w:rsid w:val="CBB3A44B"/>
    <w:rsid w:val="CBDFAE21"/>
    <w:rsid w:val="CF1E2C65"/>
    <w:rsid w:val="CFFECBF1"/>
    <w:rsid w:val="D1D7B40E"/>
    <w:rsid w:val="D267D29C"/>
    <w:rsid w:val="D3ECC95C"/>
    <w:rsid w:val="D3ED3C8A"/>
    <w:rsid w:val="D6C76697"/>
    <w:rsid w:val="D70AFC06"/>
    <w:rsid w:val="D7DD1870"/>
    <w:rsid w:val="D9BFE668"/>
    <w:rsid w:val="D9F7E4F1"/>
    <w:rsid w:val="DA6CDFCE"/>
    <w:rsid w:val="DAFFE3D0"/>
    <w:rsid w:val="DB7F72A7"/>
    <w:rsid w:val="DBFF9A6B"/>
    <w:rsid w:val="DCDBFDC9"/>
    <w:rsid w:val="DD27FCAC"/>
    <w:rsid w:val="DD2D3FF7"/>
    <w:rsid w:val="DDCC86CA"/>
    <w:rsid w:val="DEFD6240"/>
    <w:rsid w:val="DEFF9AA2"/>
    <w:rsid w:val="DF5F6244"/>
    <w:rsid w:val="DFFE046B"/>
    <w:rsid w:val="E5B7349A"/>
    <w:rsid w:val="E5FFA019"/>
    <w:rsid w:val="E6DD0BF9"/>
    <w:rsid w:val="E7D6CC62"/>
    <w:rsid w:val="EBDE771E"/>
    <w:rsid w:val="EC6F8A7D"/>
    <w:rsid w:val="ED574481"/>
    <w:rsid w:val="EDBD7309"/>
    <w:rsid w:val="EDDFEE17"/>
    <w:rsid w:val="EDFDC52D"/>
    <w:rsid w:val="EEDBFCB9"/>
    <w:rsid w:val="EEDF5C73"/>
    <w:rsid w:val="EFB7FA07"/>
    <w:rsid w:val="EFDD9E34"/>
    <w:rsid w:val="EFEC0D03"/>
    <w:rsid w:val="EFF9121F"/>
    <w:rsid w:val="F4FEB764"/>
    <w:rsid w:val="F5DCD828"/>
    <w:rsid w:val="F6FFEE89"/>
    <w:rsid w:val="F77F6848"/>
    <w:rsid w:val="F77FB31B"/>
    <w:rsid w:val="F79FF762"/>
    <w:rsid w:val="F7D8FE1B"/>
    <w:rsid w:val="F7F540A6"/>
    <w:rsid w:val="F7F99798"/>
    <w:rsid w:val="F7FF2F46"/>
    <w:rsid w:val="F7FF624F"/>
    <w:rsid w:val="F8A20F1B"/>
    <w:rsid w:val="F8DF9610"/>
    <w:rsid w:val="F8ED456B"/>
    <w:rsid w:val="F8FC959D"/>
    <w:rsid w:val="F9FE23CE"/>
    <w:rsid w:val="FBED27CB"/>
    <w:rsid w:val="FD77E073"/>
    <w:rsid w:val="FDA3C67D"/>
    <w:rsid w:val="FDBFCCB1"/>
    <w:rsid w:val="FDE76F5F"/>
    <w:rsid w:val="FDF70401"/>
    <w:rsid w:val="FDFBBA80"/>
    <w:rsid w:val="FE9A4642"/>
    <w:rsid w:val="FEF71790"/>
    <w:rsid w:val="FEFEEE24"/>
    <w:rsid w:val="FEFF1801"/>
    <w:rsid w:val="FF256A0D"/>
    <w:rsid w:val="FF825E8E"/>
    <w:rsid w:val="FF9EC63C"/>
    <w:rsid w:val="FF9F7E4F"/>
    <w:rsid w:val="FFAE71A9"/>
    <w:rsid w:val="FFDDD3F3"/>
    <w:rsid w:val="FFDF345C"/>
    <w:rsid w:val="FFDF71A8"/>
    <w:rsid w:val="FFF358D4"/>
    <w:rsid w:val="FFF6C637"/>
    <w:rsid w:val="FFF7C73D"/>
    <w:rsid w:val="FFFF91E4"/>
    <w:rsid w:val="FFFFC2A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1044" w:firstLineChars="200"/>
      <w:jc w:val="both"/>
    </w:pPr>
    <w:rPr>
      <w:rFonts w:ascii="Times New Roman" w:hAnsi="Times New Roman" w:eastAsia="仿宋_GB2312" w:cstheme="minorBidi"/>
      <w:kern w:val="2"/>
      <w:sz w:val="28"/>
      <w:szCs w:val="22"/>
      <w:lang w:val="en-US" w:eastAsia="zh-CN" w:bidi="ar-SA"/>
    </w:rPr>
  </w:style>
  <w:style w:type="paragraph" w:styleId="2">
    <w:name w:val="heading 2"/>
    <w:basedOn w:val="1"/>
    <w:next w:val="1"/>
    <w:unhideWhenUsed/>
    <w:qFormat/>
    <w:uiPriority w:val="9"/>
    <w:pPr>
      <w:keepNext/>
      <w:keepLines/>
      <w:spacing w:before="260" w:after="260" w:line="413" w:lineRule="auto"/>
      <w:outlineLvl w:val="1"/>
    </w:pPr>
    <w:rPr>
      <w:rFonts w:ascii="Arial" w:hAnsi="Arial" w:eastAsia="黑体"/>
      <w:b/>
      <w:sz w:val="32"/>
    </w:rPr>
  </w:style>
  <w:style w:type="paragraph" w:styleId="3">
    <w:name w:val="heading 3"/>
    <w:basedOn w:val="1"/>
    <w:next w:val="1"/>
    <w:qFormat/>
    <w:uiPriority w:val="0"/>
    <w:pPr>
      <w:keepNext/>
      <w:keepLines/>
      <w:numPr>
        <w:ilvl w:val="2"/>
        <w:numId w:val="1"/>
      </w:numPr>
      <w:spacing w:line="560" w:lineRule="exact"/>
      <w:ind w:firstLine="880"/>
      <w:outlineLvl w:val="2"/>
    </w:pPr>
    <w:rPr>
      <w:b/>
      <w:bCs/>
      <w:szCs w:val="32"/>
    </w:rPr>
  </w:style>
  <w:style w:type="character" w:default="1" w:styleId="21">
    <w:name w:val="Default Paragraph Font"/>
    <w:semiHidden/>
    <w:unhideWhenUsed/>
    <w:qFormat/>
    <w:uiPriority w:val="1"/>
  </w:style>
  <w:style w:type="table" w:default="1" w:styleId="19">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4">
    <w:name w:val="Normal Indent"/>
    <w:basedOn w:val="1"/>
    <w:unhideWhenUsed/>
    <w:qFormat/>
    <w:uiPriority w:val="99"/>
    <w:pPr>
      <w:numPr>
        <w:ilvl w:val="0"/>
        <w:numId w:val="2"/>
      </w:numPr>
      <w:spacing w:line="560" w:lineRule="exact"/>
    </w:pPr>
    <w:rPr>
      <w:rFonts w:ascii="楷体" w:hAnsi="楷体" w:eastAsia="楷体" w:cs="楷体"/>
      <w:szCs w:val="32"/>
    </w:rPr>
  </w:style>
  <w:style w:type="paragraph" w:styleId="5">
    <w:name w:val="annotation text"/>
    <w:basedOn w:val="1"/>
    <w:semiHidden/>
    <w:unhideWhenUsed/>
    <w:qFormat/>
    <w:uiPriority w:val="99"/>
    <w:pPr>
      <w:jc w:val="left"/>
    </w:pPr>
  </w:style>
  <w:style w:type="paragraph" w:styleId="6">
    <w:name w:val="Salutation"/>
    <w:basedOn w:val="1"/>
    <w:next w:val="1"/>
    <w:qFormat/>
    <w:uiPriority w:val="0"/>
  </w:style>
  <w:style w:type="paragraph" w:styleId="7">
    <w:name w:val="Body Text"/>
    <w:basedOn w:val="1"/>
    <w:next w:val="1"/>
    <w:qFormat/>
    <w:uiPriority w:val="0"/>
    <w:pPr>
      <w:spacing w:after="120"/>
    </w:pPr>
    <w:rPr>
      <w:rFonts w:ascii="Calibri" w:hAnsi="Calibri"/>
      <w:kern w:val="0"/>
      <w:szCs w:val="20"/>
    </w:rPr>
  </w:style>
  <w:style w:type="paragraph" w:styleId="8">
    <w:name w:val="Body Text Indent"/>
    <w:basedOn w:val="1"/>
    <w:link w:val="43"/>
    <w:semiHidden/>
    <w:unhideWhenUsed/>
    <w:qFormat/>
    <w:uiPriority w:val="99"/>
    <w:pPr>
      <w:ind w:firstLine="640"/>
    </w:pPr>
    <w:rPr>
      <w:rFonts w:ascii="Calibri" w:hAnsi="Calibri" w:eastAsia="宋体" w:cs="Times New Roman"/>
      <w:sz w:val="32"/>
      <w:szCs w:val="24"/>
    </w:rPr>
  </w:style>
  <w:style w:type="paragraph" w:styleId="9">
    <w:name w:val="toc 3"/>
    <w:basedOn w:val="1"/>
    <w:next w:val="1"/>
    <w:semiHidden/>
    <w:unhideWhenUsed/>
    <w:qFormat/>
    <w:uiPriority w:val="39"/>
    <w:pPr>
      <w:ind w:left="840" w:leftChars="400"/>
    </w:pPr>
  </w:style>
  <w:style w:type="paragraph" w:styleId="10">
    <w:name w:val="Plain Text"/>
    <w:basedOn w:val="1"/>
    <w:qFormat/>
    <w:uiPriority w:val="0"/>
    <w:rPr>
      <w:rFonts w:ascii="宋体" w:hAnsi="Courier New"/>
    </w:rPr>
  </w:style>
  <w:style w:type="paragraph" w:styleId="11">
    <w:name w:val="Body Text Indent 2"/>
    <w:basedOn w:val="1"/>
    <w:qFormat/>
    <w:uiPriority w:val="0"/>
    <w:pPr>
      <w:ind w:firstLine="645"/>
      <w:outlineLvl w:val="0"/>
    </w:pPr>
    <w:rPr>
      <w:rFonts w:ascii="仿宋_GB2312"/>
      <w:spacing w:val="-4"/>
      <w:sz w:val="32"/>
    </w:rPr>
  </w:style>
  <w:style w:type="paragraph" w:styleId="12">
    <w:name w:val="footer"/>
    <w:basedOn w:val="1"/>
    <w:link w:val="30"/>
    <w:unhideWhenUsed/>
    <w:qFormat/>
    <w:uiPriority w:val="99"/>
    <w:pPr>
      <w:tabs>
        <w:tab w:val="center" w:pos="4153"/>
        <w:tab w:val="right" w:pos="8306"/>
      </w:tabs>
      <w:snapToGrid w:val="0"/>
      <w:jc w:val="left"/>
    </w:pPr>
    <w:rPr>
      <w:sz w:val="18"/>
      <w:szCs w:val="18"/>
    </w:rPr>
  </w:style>
  <w:style w:type="paragraph" w:styleId="13">
    <w:name w:val="header"/>
    <w:basedOn w:val="1"/>
    <w:next w:val="1"/>
    <w:link w:val="29"/>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toc 1"/>
    <w:basedOn w:val="1"/>
    <w:next w:val="1"/>
    <w:unhideWhenUsed/>
    <w:qFormat/>
    <w:uiPriority w:val="39"/>
    <w:pPr>
      <w:tabs>
        <w:tab w:val="left" w:pos="709"/>
        <w:tab w:val="right" w:leader="dot" w:pos="8296"/>
      </w:tabs>
    </w:pPr>
  </w:style>
  <w:style w:type="paragraph" w:styleId="15">
    <w:name w:val="toc 2"/>
    <w:basedOn w:val="1"/>
    <w:next w:val="1"/>
    <w:unhideWhenUsed/>
    <w:qFormat/>
    <w:uiPriority w:val="39"/>
    <w:pPr>
      <w:ind w:left="420" w:leftChars="200"/>
    </w:pPr>
  </w:style>
  <w:style w:type="paragraph" w:styleId="16">
    <w:name w:val="Normal (Web)"/>
    <w:basedOn w:val="1"/>
    <w:unhideWhenUsed/>
    <w:qFormat/>
    <w:uiPriority w:val="99"/>
    <w:pPr>
      <w:spacing w:before="100" w:beforeAutospacing="1" w:after="100" w:afterAutospacing="1"/>
      <w:jc w:val="left"/>
    </w:pPr>
    <w:rPr>
      <w:rFonts w:cs="Times New Roman"/>
      <w:kern w:val="0"/>
      <w:sz w:val="24"/>
    </w:rPr>
  </w:style>
  <w:style w:type="paragraph" w:styleId="17">
    <w:name w:val="Title"/>
    <w:basedOn w:val="1"/>
    <w:link w:val="42"/>
    <w:qFormat/>
    <w:uiPriority w:val="10"/>
    <w:pPr>
      <w:spacing w:before="240" w:after="60"/>
      <w:jc w:val="center"/>
      <w:outlineLvl w:val="0"/>
    </w:pPr>
    <w:rPr>
      <w:rFonts w:ascii="Arial" w:hAnsi="Arial"/>
      <w:b/>
      <w:sz w:val="32"/>
    </w:rPr>
  </w:style>
  <w:style w:type="paragraph" w:styleId="18">
    <w:name w:val="Body Text First Indent 2"/>
    <w:basedOn w:val="8"/>
    <w:qFormat/>
    <w:uiPriority w:val="0"/>
    <w:pPr>
      <w:ind w:firstLine="420"/>
    </w:pPr>
  </w:style>
  <w:style w:type="table" w:styleId="20">
    <w:name w:val="Table Grid"/>
    <w:basedOn w:val="19"/>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Emphasis"/>
    <w:basedOn w:val="21"/>
    <w:qFormat/>
    <w:uiPriority w:val="20"/>
    <w:rPr>
      <w:i/>
    </w:rPr>
  </w:style>
  <w:style w:type="character" w:styleId="23">
    <w:name w:val="Hyperlink"/>
    <w:unhideWhenUsed/>
    <w:qFormat/>
    <w:uiPriority w:val="99"/>
    <w:rPr>
      <w:color w:val="4D4D4D"/>
      <w:u w:val="none"/>
    </w:rPr>
  </w:style>
  <w:style w:type="character" w:styleId="24">
    <w:name w:val="annotation reference"/>
    <w:basedOn w:val="21"/>
    <w:semiHidden/>
    <w:unhideWhenUsed/>
    <w:qFormat/>
    <w:uiPriority w:val="99"/>
    <w:rPr>
      <w:sz w:val="21"/>
      <w:szCs w:val="21"/>
    </w:rPr>
  </w:style>
  <w:style w:type="paragraph" w:customStyle="1" w:styleId="25">
    <w:name w:val="正文文本1"/>
    <w:basedOn w:val="1"/>
    <w:qFormat/>
    <w:uiPriority w:val="0"/>
    <w:pPr>
      <w:spacing w:line="386" w:lineRule="auto"/>
    </w:pPr>
    <w:rPr>
      <w:rFonts w:ascii="楷体" w:hAnsi="楷体" w:eastAsia="楷体" w:cs="楷体"/>
      <w:sz w:val="19"/>
      <w:szCs w:val="19"/>
      <w:lang w:val="zh-CN" w:bidi="zh-CN"/>
    </w:rPr>
  </w:style>
  <w:style w:type="paragraph" w:customStyle="1" w:styleId="26">
    <w:name w:val="Default"/>
    <w:next w:val="27"/>
    <w:qFormat/>
    <w:uiPriority w:val="0"/>
    <w:pPr>
      <w:autoSpaceDE w:val="0"/>
      <w:autoSpaceDN w:val="0"/>
      <w:adjustRightInd w:val="0"/>
    </w:pPr>
    <w:rPr>
      <w:rFonts w:ascii="微软雅黑" w:hAnsi="Calibri" w:eastAsia="微软雅黑" w:cs="微软雅黑"/>
      <w:color w:val="000000"/>
      <w:sz w:val="24"/>
      <w:szCs w:val="24"/>
      <w:lang w:val="en-US" w:eastAsia="zh-CN" w:bidi="ar-SA"/>
    </w:rPr>
  </w:style>
  <w:style w:type="paragraph" w:customStyle="1" w:styleId="27">
    <w:name w:val="_Style 1"/>
    <w:basedOn w:val="1"/>
    <w:next w:val="1"/>
    <w:qFormat/>
    <w:uiPriority w:val="0"/>
    <w:pPr>
      <w:pBdr>
        <w:top w:val="single" w:color="auto" w:sz="6" w:space="1"/>
      </w:pBdr>
      <w:jc w:val="center"/>
    </w:pPr>
    <w:rPr>
      <w:rFonts w:ascii="Arial" w:eastAsia="宋体"/>
      <w:vanish/>
      <w:sz w:val="16"/>
    </w:rPr>
  </w:style>
  <w:style w:type="paragraph" w:customStyle="1" w:styleId="28">
    <w:name w:val="常用样式（方正仿宋简）"/>
    <w:basedOn w:val="1"/>
    <w:qFormat/>
    <w:uiPriority w:val="0"/>
    <w:pPr>
      <w:spacing w:line="560" w:lineRule="exact"/>
      <w:ind w:firstLine="640"/>
    </w:pPr>
    <w:rPr>
      <w:rFonts w:eastAsia="仿宋"/>
      <w:sz w:val="32"/>
    </w:rPr>
  </w:style>
  <w:style w:type="character" w:customStyle="1" w:styleId="29">
    <w:name w:val="页眉 字符"/>
    <w:basedOn w:val="21"/>
    <w:link w:val="13"/>
    <w:qFormat/>
    <w:uiPriority w:val="99"/>
    <w:rPr>
      <w:sz w:val="18"/>
      <w:szCs w:val="18"/>
    </w:rPr>
  </w:style>
  <w:style w:type="character" w:customStyle="1" w:styleId="30">
    <w:name w:val="页脚 字符"/>
    <w:basedOn w:val="21"/>
    <w:link w:val="12"/>
    <w:qFormat/>
    <w:uiPriority w:val="99"/>
    <w:rPr>
      <w:sz w:val="18"/>
      <w:szCs w:val="18"/>
    </w:rPr>
  </w:style>
  <w:style w:type="character" w:customStyle="1" w:styleId="31">
    <w:name w:val="font11"/>
    <w:basedOn w:val="21"/>
    <w:qFormat/>
    <w:uiPriority w:val="0"/>
    <w:rPr>
      <w:rFonts w:hint="eastAsia" w:ascii="宋体" w:hAnsi="宋体" w:eastAsia="宋体" w:cs="宋体"/>
      <w:color w:val="000000"/>
      <w:sz w:val="21"/>
      <w:szCs w:val="21"/>
      <w:u w:val="none"/>
    </w:rPr>
  </w:style>
  <w:style w:type="character" w:customStyle="1" w:styleId="32">
    <w:name w:val="font01"/>
    <w:basedOn w:val="21"/>
    <w:qFormat/>
    <w:uiPriority w:val="0"/>
    <w:rPr>
      <w:rFonts w:hint="default" w:ascii="Calibri" w:hAnsi="Calibri" w:cs="Calibri"/>
      <w:color w:val="000000"/>
      <w:sz w:val="21"/>
      <w:szCs w:val="21"/>
      <w:u w:val="none"/>
    </w:rPr>
  </w:style>
  <w:style w:type="character" w:customStyle="1" w:styleId="33">
    <w:name w:val="font71"/>
    <w:basedOn w:val="21"/>
    <w:qFormat/>
    <w:uiPriority w:val="0"/>
    <w:rPr>
      <w:rFonts w:hint="eastAsia" w:ascii="仿宋" w:hAnsi="仿宋" w:eastAsia="仿宋" w:cs="仿宋"/>
      <w:b/>
      <w:color w:val="000000"/>
      <w:sz w:val="24"/>
      <w:szCs w:val="24"/>
      <w:u w:val="none"/>
    </w:rPr>
  </w:style>
  <w:style w:type="character" w:customStyle="1" w:styleId="34">
    <w:name w:val="font51"/>
    <w:basedOn w:val="21"/>
    <w:qFormat/>
    <w:uiPriority w:val="0"/>
    <w:rPr>
      <w:rFonts w:hint="eastAsia" w:ascii="仿宋" w:hAnsi="仿宋" w:eastAsia="仿宋" w:cs="仿宋"/>
      <w:color w:val="000000"/>
      <w:sz w:val="24"/>
      <w:szCs w:val="24"/>
      <w:u w:val="none"/>
    </w:rPr>
  </w:style>
  <w:style w:type="character" w:customStyle="1" w:styleId="35">
    <w:name w:val="font31"/>
    <w:basedOn w:val="21"/>
    <w:qFormat/>
    <w:uiPriority w:val="0"/>
    <w:rPr>
      <w:rFonts w:hint="eastAsia" w:ascii="宋体" w:hAnsi="宋体" w:eastAsia="宋体" w:cs="宋体"/>
      <w:b/>
      <w:color w:val="000000"/>
      <w:sz w:val="22"/>
      <w:szCs w:val="22"/>
      <w:u w:val="none"/>
    </w:rPr>
  </w:style>
  <w:style w:type="character" w:customStyle="1" w:styleId="36">
    <w:name w:val="font21"/>
    <w:basedOn w:val="21"/>
    <w:qFormat/>
    <w:uiPriority w:val="0"/>
    <w:rPr>
      <w:rFonts w:hint="eastAsia" w:ascii="宋体" w:hAnsi="宋体" w:eastAsia="宋体" w:cs="宋体"/>
      <w:color w:val="000000"/>
      <w:sz w:val="20"/>
      <w:szCs w:val="20"/>
      <w:u w:val="none"/>
    </w:rPr>
  </w:style>
  <w:style w:type="character" w:customStyle="1" w:styleId="37">
    <w:name w:val="font41"/>
    <w:basedOn w:val="21"/>
    <w:qFormat/>
    <w:uiPriority w:val="0"/>
    <w:rPr>
      <w:rFonts w:hint="default" w:ascii="Times New Roman" w:hAnsi="Times New Roman" w:cs="Times New Roman"/>
      <w:b/>
      <w:color w:val="000000"/>
      <w:sz w:val="20"/>
      <w:szCs w:val="20"/>
      <w:u w:val="none"/>
    </w:rPr>
  </w:style>
  <w:style w:type="paragraph" w:customStyle="1" w:styleId="38">
    <w:name w:val="WPSOffice手动目录 1"/>
    <w:qFormat/>
    <w:uiPriority w:val="0"/>
    <w:rPr>
      <w:rFonts w:ascii="Times New Roman" w:hAnsi="Times New Roman" w:eastAsia="宋体" w:cs="Times New Roman"/>
      <w:lang w:val="en-US" w:eastAsia="zh-CN" w:bidi="ar-SA"/>
    </w:rPr>
  </w:style>
  <w:style w:type="paragraph" w:customStyle="1" w:styleId="39">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40">
    <w:name w:val="表格"/>
    <w:basedOn w:val="1"/>
    <w:qFormat/>
    <w:uiPriority w:val="0"/>
    <w:rPr>
      <w:rFonts w:hint="eastAsia"/>
      <w:kern w:val="0"/>
      <w:sz w:val="24"/>
      <w:szCs w:val="20"/>
    </w:rPr>
  </w:style>
  <w:style w:type="paragraph" w:customStyle="1" w:styleId="41">
    <w:name w:val="页眉或页脚 (2)"/>
    <w:basedOn w:val="1"/>
    <w:qFormat/>
    <w:uiPriority w:val="0"/>
    <w:rPr>
      <w:rFonts w:eastAsia="Times New Roman" w:cs="Times New Roman"/>
      <w:sz w:val="20"/>
      <w:szCs w:val="20"/>
      <w:lang w:val="zh-CN" w:bidi="zh-CN"/>
    </w:rPr>
  </w:style>
  <w:style w:type="character" w:customStyle="1" w:styleId="42">
    <w:name w:val="标题 字符"/>
    <w:basedOn w:val="21"/>
    <w:link w:val="17"/>
    <w:qFormat/>
    <w:uiPriority w:val="0"/>
    <w:rPr>
      <w:rFonts w:ascii="等线 Light" w:hAnsi="等线 Light" w:eastAsia="等线 Light" w:cs="Times New Roman"/>
      <w:b/>
      <w:bCs/>
      <w:kern w:val="2"/>
      <w:sz w:val="32"/>
      <w:szCs w:val="32"/>
    </w:rPr>
  </w:style>
  <w:style w:type="character" w:customStyle="1" w:styleId="43">
    <w:name w:val="正文文本缩进 字符"/>
    <w:basedOn w:val="21"/>
    <w:link w:val="8"/>
    <w:qFormat/>
    <w:uiPriority w:val="0"/>
    <w:rPr>
      <w:kern w:val="2"/>
      <w:sz w:val="32"/>
      <w:szCs w:val="24"/>
    </w:rPr>
  </w:style>
  <w:style w:type="paragraph" w:customStyle="1" w:styleId="44">
    <w:name w:val="修订1"/>
    <w:hidden/>
    <w:semiHidden/>
    <w:qFormat/>
    <w:uiPriority w:val="99"/>
    <w:rPr>
      <w:rFonts w:ascii="Times New Roman" w:hAnsi="Times New Roman" w:eastAsia="仿宋_GB2312" w:cstheme="minorBidi"/>
      <w:kern w:val="2"/>
      <w:sz w:val="28"/>
      <w:szCs w:val="22"/>
      <w:lang w:val="en-US" w:eastAsia="zh-CN" w:bidi="ar-SA"/>
    </w:rPr>
  </w:style>
  <w:style w:type="paragraph" w:customStyle="1" w:styleId="45">
    <w:name w:val="Revision"/>
    <w:hidden/>
    <w:unhideWhenUsed/>
    <w:qFormat/>
    <w:uiPriority w:val="99"/>
    <w:rPr>
      <w:rFonts w:ascii="Times New Roman" w:hAnsi="Times New Roman" w:eastAsia="仿宋_GB2312" w:cstheme="minorBidi"/>
      <w:kern w:val="2"/>
      <w:sz w:val="28"/>
      <w:szCs w:val="22"/>
      <w:lang w:val="en-US" w:eastAsia="zh-CN" w:bidi="ar-SA"/>
    </w:rPr>
  </w:style>
  <w:style w:type="character" w:customStyle="1" w:styleId="46">
    <w:name w:val="15"/>
    <w:basedOn w:val="21"/>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5438b7c9-9ba8-4208-aedd-9212a46c7d10</errorID>
      <errorWord>县地</errorWord>
      <group>L1_Grammar</group>
      <groupName>语法问题</groupName>
      <ability>L2_Order</ability>
      <abilityName>语序不当</abilityName>
      <candidateList>
        <item>县</item>
      </candidateList>
      <explain>句子可能没有遵循时空、逻辑顺序，或者介词、关联词等位置不当。</explain>
      <paraID>28891199</paraID>
      <start>7</start>
      <end>9</end>
      <status>ignored</status>
      <modifiedWord/>
      <trackRevisions>false</trackRevisions>
    </reviewItem>
    <reviewItem>
      <errorID>eefff6ab-4b6d-446c-a9b5-035e45ecee2e</errorID>
      <errorWord>过程</errorWord>
      <group>L1_AI</group>
      <groupName>深度校对</groupName>
      <ability>L2_AI_Punc</ability>
      <abilityName>标点纠错</abilityName>
      <candidateList>
        <item>过程。</item>
      </candidateList>
      <explain/>
      <paraID>5A75D544</paraID>
      <start>9</start>
      <end>12</end>
      <status>modified</status>
      <modifiedWord>过程。</modifiedWord>
      <trackRevisions>false</trackRevisions>
    </reviewItem>
    <reviewItem>
      <errorID>d60d629a-fdef-40de-a916-e3fde23e3c40</errorID>
      <errorWord>，</errorWord>
      <group>L1_AI</group>
      <groupName>深度校对</groupName>
      <ability>L2_AI_Punc</ability>
      <abilityName>标点纠错</abilityName>
      <candidateList>
        <item>、</item>
      </candidateList>
      <explain/>
      <paraID>3E043EBE</paraID>
      <start>31</start>
      <end>32</end>
      <status>modified</status>
      <modifiedWord>、</modifiedWord>
      <trackRevisions>false</trackRevisions>
    </reviewItem>
    <reviewItem>
      <errorID>af6c5f8c-09a6-4547-a8d8-2de29420b7bc</errorID>
      <errorWord>供</errorWord>
      <group>L1_AI</group>
      <groupName>深度校对</groupName>
      <ability>L2_AI_Punc</ability>
      <abilityName>标点纠错</abilityName>
      <candidateList>
        <item>，供</item>
      </candidateList>
      <explain/>
      <paraID>5A0A3725</paraID>
      <start>40</start>
      <end>42</end>
      <status>modified</status>
      <modifiedWord>，供</modifiedWord>
      <trackRevisions>false</trackRevisions>
    </reviewItem>
    <reviewItem>
      <errorID>5dc28406-ad7f-465c-8a50-c16692905f0d</errorID>
      <errorWord>并</errorWord>
      <group>L1_AI</group>
      <groupName>深度校对</groupName>
      <ability>L2_AI_Word</ability>
      <abilityName>字词纠错</abilityName>
      <candidateList>
        <item>，</item>
      </candidateList>
      <explain/>
      <paraID>777A1762</paraID>
      <start>20</start>
      <end>21</end>
      <status>modified</status>
      <modifiedWord>，</modifiedWord>
      <trackRevisions>false</trackRevisions>
    </reviewItem>
    <reviewItem>
      <errorID>ca5b12a0-c16a-4abf-9acb-9dc0e7040da8</errorID>
      <errorWord>结论</errorWord>
      <group>L1_AI</group>
      <groupName>深度校对</groupName>
      <ability>L2_AI_Punc</ability>
      <abilityName>标点纠错</abilityName>
      <candidateList>
        <item>结论。</item>
      </candidateList>
      <explain/>
      <paraID>2ADF116E</paraID>
      <start>5</start>
      <end>8</end>
      <status>modified</status>
      <modifiedWord>结论。</modifiedWord>
      <trackRevisions>false</trackRevisions>
    </reviewItem>
    <reviewItem>
      <errorID>4213ad5a-805e-4f75-9683-1c3a7f7b5765</errorID>
      <errorWord>有力</errorWord>
      <group>L1_AI</group>
      <groupName>深度校对</groupName>
      <ability>L2_AI_Punc</ability>
      <abilityName>标点纠错</abilityName>
      <candidateList>
        <item>，有力</item>
      </candidateList>
      <explain/>
      <paraID>11D0484D</paraID>
      <start>150</start>
      <end>153</end>
      <status>modified</status>
      <modifiedWord>，有力</modifiedWord>
      <trackRevisions>false</trackRevisions>
    </reviewItem>
    <reviewItem>
      <errorID>c42d9b71-7112-4fbb-9bbb-359c76747b5e</errorID>
      <errorWord>，</errorWord>
      <group>L1_AI</group>
      <groupName>深度校对</groupName>
      <ability>L2_AI_Punc</ability>
      <abilityName>标点纠错</abilityName>
      <candidateList>
        <item>。</item>
      </candidateList>
      <explain/>
      <paraID>11D0484D</paraID>
      <start>171</start>
      <end>172</end>
      <status>modified</status>
      <modifiedWord>。</modifiedWord>
      <trackRevisions>false</trackRevisions>
    </reviewItem>
    <reviewItem>
      <errorID>796523c7-9cf8-4219-905b-e7af8ffb3b5e</errorID>
      <errorWord>，通过</errorWord>
      <group>L1_AI</group>
      <groupName>深度校对</groupName>
      <ability>L2_AI_Grammar</ability>
      <abilityName>语法纠错</abilityName>
      <candidateList>
        <item>，</item>
      </candidateList>
      <explain/>
      <paraID>38EC8196</paraID>
      <start>11</start>
      <end>12</end>
      <status>modified</status>
      <modifiedWord>，</modifiedWord>
      <trackRevisions>false</trackRevisions>
    </reviewItem>
    <reviewItem>
      <errorID>90dece0d-dafd-4179-a935-68d8a159665a</errorID>
      <errorWord>应用</errorWord>
      <group>L1_AI</group>
      <groupName>深度校对</groupName>
      <ability>L2_AI_Punc</ability>
      <abilityName>标点纠错</abilityName>
      <candidateList>
        <item>应用。</item>
      </candidateList>
      <explain/>
      <paraID>7CAEDB59</paraID>
      <start>7</start>
      <end>10</end>
      <status>modified</status>
      <modifiedWord>应用。</modifiedWord>
      <trackRevisions>false</trackRevisions>
    </reviewItem>
    <reviewItem>
      <errorID>4e3a4d41-389f-44fb-9bbc-a38c42f511c5</errorID>
      <errorWord>县地</errorWord>
      <group>L1_Grammar</group>
      <groupName>语法问题</groupName>
      <ability>L2_Order</ability>
      <abilityName>语序不当</abilityName>
      <candidateList>
        <item>县</item>
      </candidateList>
      <explain>句子可能没有遵循时空、逻辑顺序，或者介词、关联词等位置不当。</explain>
      <paraID>3974C46A</paraID>
      <start>0</start>
      <end>2</end>
      <status>ignored</status>
      <modifiedWord/>
      <trackRevisions>false</trackRevisions>
    </reviewItem>
    <reviewItem>
      <errorID>e5c8f049-4229-401c-9001-7768b5949635</errorID>
      <errorWord>最终县地志办</errorWord>
      <group>L1_Grammar</group>
      <groupName>语法问题</groupName>
      <ability>L2_Order</ability>
      <abilityName>语序不当</abilityName>
      <candidateList>
        <item>县地志办最终</item>
      </candidateList>
      <explain>句子可能没有遵循时空、逻辑顺序，或者介词、关联词等位置不当。</explain>
      <paraID>3974C46A</paraID>
      <start>79</start>
      <end>85</end>
      <status>modified</status>
      <modifiedWord>县地志办最终</modifiedWord>
      <trackRevisions>false</trackRevisions>
    </reviewItem>
    <reviewItem>
      <errorID>ac31d0ab-6c4b-4c77-bb5a-5311c8538b0e</errorID>
      <errorWord>。</errorWord>
      <group>L1_AI</group>
      <groupName>深度校对</groupName>
      <ability>L2_AI_Punc</ability>
      <abilityName>标点纠错</abilityName>
      <candidateList>
        <item>，</item>
      </candidateList>
      <explain/>
      <paraID>3974C46A</paraID>
      <start>122</start>
      <end>123</end>
      <status>modified</status>
      <modifiedWord>，</modifiedWord>
      <trackRevisions>false</trackRevisions>
    </reviewItem>
    <reviewItem>
      <errorID>b40677a4-a7c6-4042-af17-09388bc683d3</errorID>
      <errorWord>分析</errorWord>
      <group>L1_AI</group>
      <groupName>深度校对</groupName>
      <ability>L2_AI_Punc</ability>
      <abilityName>标点纠错</abilityName>
      <candidateList>
        <item>分析。</item>
      </candidateList>
      <explain/>
      <paraID> 651BF79</paraID>
      <start>5</start>
      <end>8</end>
      <status>modified</status>
      <modifiedWord>分析。</modifiedWord>
      <trackRevisions>false</trackRevisions>
    </reviewItem>
    <reviewItem>
      <errorID>f7d7439c-8f87-4639-92e1-645d415f067f</errorID>
      <errorWord>情况</errorWord>
      <group>L1_AI</group>
      <groupName>深度校对</groupName>
      <ability>L2_AI_Punc</ability>
      <abilityName>标点纠错</abilityName>
      <candidateList>
        <item>情况。</item>
      </candidateList>
      <explain/>
      <paraID>6BF6F19C</paraID>
      <start>12</start>
      <end>15</end>
      <status>modified</status>
      <modifiedWord>情况。</modifiedWord>
      <trackRevisions>false</trackRevisions>
    </reviewItem>
    <reviewItem>
      <errorID>38bf2850-5525-4422-a3fd-02ed0e40f80f</errorID>
      <errorWord>管理</errorWord>
      <group>L1_AI</group>
      <groupName>深度校对</groupName>
      <ability>L2_AI_Punc</ability>
      <abilityName>标点纠错</abilityName>
      <candidateList>
        <item>管理。</item>
      </candidateList>
      <explain/>
      <paraID>18E76880</paraID>
      <start>5</start>
      <end>8</end>
      <status>modified</status>
      <modifiedWord>管理。</modifiedWord>
      <trackRevisions>false</trackRevisions>
    </reviewItem>
    <reviewItem>
      <errorID>af0d27e9-6547-4ec2-9ea7-13dbe3936378</errorID>
      <errorWord>分别</errorWord>
      <group>L1_AI</group>
      <groupName>深度校对</groupName>
      <ability>L2_AI_Punc</ability>
      <abilityName>标点纠错</abilityName>
      <candidateList>
        <item>，分别</item>
      </candidateList>
      <explain/>
      <paraID>14F83EDD</paraID>
      <start>18</start>
      <end>21</end>
      <status>modified</status>
      <modifiedWord>，分别</modifiedWord>
      <trackRevisions>false</trackRevisions>
    </reviewItem>
    <reviewItem>
      <errorID>5b1238b3-eaeb-44c9-97e6-1124d2203a78</errorID>
      <errorWord>：</errorWord>
      <group>L1_AI</group>
      <groupName>深度校对</groupName>
      <ability>L2_AI_Punc</ability>
      <abilityName>标点纠错</abilityName>
      <candidateList>
        <item/>
      </candidateList>
      <explain/>
      <paraID>14F83EDD</paraID>
      <start>22</start>
      <end>22</end>
      <status>modified</status>
      <modifiedWord/>
      <trackRevisions>false</trackRevisions>
    </reviewItem>
    <reviewItem>
      <errorID>1795b9dd-136d-4c78-a356-514ec2cf0de0</errorID>
      <errorWord>制定</errorWord>
      <group>L1_AI</group>
      <groupName>深度校对</groupName>
      <ability>L2_AI_Punc</ability>
      <abilityName>标点纠错</abilityName>
      <candidateList>
        <item>制定。</item>
      </candidateList>
      <explain/>
      <paraID>5852C135</paraID>
      <start>3</start>
      <end>6</end>
      <status>modified</status>
      <modifiedWord>制定。</modifiedWord>
      <trackRevisions>false</trackRevisions>
    </reviewItem>
    <reviewItem>
      <errorID>001eb021-48fb-4658-a4d5-616ddaeadb9e</errorID>
      <errorWord>。</errorWord>
      <group>L1_AI</group>
      <groupName>深度校对</groupName>
      <ability>L2_AI_Punc</ability>
      <abilityName>标点纠错</abilityName>
      <candidateList>
        <item>，</item>
      </candidateList>
      <explain/>
      <paraID>4059A897</paraID>
      <start>94</start>
      <end>95</end>
      <status>modified</status>
      <modifiedWord>，</modifiedWord>
      <trackRevisions>false</trackRevisions>
    </reviewItem>
    <reviewItem>
      <errorID>cb56a6a7-3009-49eb-8b35-81421c2be38c</errorID>
      <errorWord>实现</errorWord>
      <group>L1_AI</group>
      <groupName>深度校对</groupName>
      <ability>L2_AI_Punc</ability>
      <abilityName>标点纠错</abilityName>
      <candidateList>
        <item>实现。</item>
      </candidateList>
      <explain/>
      <paraID> 51439E4</paraID>
      <start>3</start>
      <end>6</end>
      <status>modified</status>
      <modifiedWord>实现。</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d962d60-14e0-44ab-aedc-be50df41469b}">
  <ds:schemaRefs/>
</ds:datastoreItem>
</file>

<file path=docProps/app.xml><?xml version="1.0" encoding="utf-8"?>
<Properties xmlns="http://schemas.openxmlformats.org/officeDocument/2006/extended-properties" xmlns:vt="http://schemas.openxmlformats.org/officeDocument/2006/docPropsVTypes">
  <Company>Microsoft</Company>
  <Pages>14</Pages>
  <Words>5673</Words>
  <Characters>6226</Characters>
  <Lines>1</Lines>
  <Paragraphs>1</Paragraphs>
  <TotalTime>7</TotalTime>
  <ScaleCrop>false</ScaleCrop>
  <LinksUpToDate>false</LinksUpToDate>
  <CharactersWithSpaces>6264</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2020-04-11T15:49:00Z</dcterms:created>
  <dc:creator>ZC</dc:creator>
  <cp:lastModifiedBy>Administrator</cp:lastModifiedBy>
  <cp:lastPrinted>2025-12-11T02:35:44Z</cp:lastPrinted>
  <dcterms:modified xsi:type="dcterms:W3CDTF">2025-12-11T02:45:03Z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0323C17550B84971857CA4630E76FAC8</vt:lpwstr>
  </property>
  <property fmtid="{D5CDD505-2E9C-101B-9397-08002B2CF9AE}" pid="4" name="KSOTemplateDocerSaveRecord">
    <vt:lpwstr>eyJoZGlkIjoiMzlkMzQ2Y2I1ODA5MzZkNzZhYmIyNGZlZjQwYWNlNDMiLCJ1c2VySWQiOiIyNTYxODExOTYifQ==</vt:lpwstr>
  </property>
</Properties>
</file>