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0F0AF5A">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AF943B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C64179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BA7CAEE">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泸财绩〔2025〕3</w:t>
      </w:r>
      <w:r>
        <w:rPr>
          <w:rFonts w:hint="default" w:ascii="Times New Roman" w:hAnsi="Times New Roman" w:cs="Times New Roman"/>
          <w:sz w:val="32"/>
          <w:szCs w:val="32"/>
          <w:highlight w:val="none"/>
          <w:lang w:val="en-US" w:eastAsia="zh-CN"/>
        </w:rPr>
        <w:t>6</w:t>
      </w:r>
      <w:r>
        <w:rPr>
          <w:rFonts w:hint="default" w:ascii="Times New Roman" w:hAnsi="Times New Roman" w:cs="Times New Roman"/>
          <w:sz w:val="32"/>
          <w:szCs w:val="32"/>
          <w:highlight w:val="none"/>
        </w:rPr>
        <w:t>号</w:t>
      </w:r>
    </w:p>
    <w:p w14:paraId="6E214C05">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1DE306A1">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
        </w:rPr>
        <w:t>泸定县</w:t>
      </w:r>
      <w:r>
        <w:rPr>
          <w:rFonts w:hint="eastAsia" w:ascii="方正小标宋简体" w:hAnsi="方正小标宋简体" w:eastAsia="方正小标宋简体" w:cs="方正小标宋简体"/>
          <w:color w:val="auto"/>
          <w:sz w:val="44"/>
          <w:szCs w:val="44"/>
          <w:highlight w:val="none"/>
          <w:lang w:eastAsia="zh-CN"/>
        </w:rPr>
        <w:t>信访局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0A8BD081">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26210"/>
      <w:bookmarkStart w:id="5" w:name="_Toc8938"/>
      <w:bookmarkStart w:id="6" w:name="_Toc6252"/>
      <w:r>
        <w:rPr>
          <w:rFonts w:hint="default" w:ascii="Times New Roman" w:hAnsi="Times New Roman" w:eastAsia="方正仿宋_GB2312" w:cs="Times New Roman"/>
          <w:color w:val="auto"/>
          <w:sz w:val="32"/>
          <w:szCs w:val="32"/>
          <w:highlight w:val="none"/>
          <w:lang w:val="fr-FR" w:eastAsia="zh-CN"/>
        </w:rPr>
        <w:t>泸定县信访局：</w:t>
      </w:r>
    </w:p>
    <w:p w14:paraId="50FB6A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泸定县信访局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泸定县信访局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泸定县信访局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10147"/>
      <w:bookmarkStart w:id="13" w:name="_Toc4351"/>
      <w:bookmarkStart w:id="14" w:name="_Toc12546"/>
      <w:bookmarkStart w:id="15" w:name="_Toc27571"/>
      <w:bookmarkStart w:id="16" w:name="_Toc18579"/>
      <w:bookmarkStart w:id="17" w:name="_Toc15220"/>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16549"/>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19098"/>
      <w:bookmarkStart w:id="24" w:name="_Toc2337"/>
      <w:bookmarkStart w:id="25" w:name="_Toc18535"/>
      <w:bookmarkStart w:id="26" w:name="_Toc11769"/>
      <w:bookmarkStart w:id="27" w:name="_Toc20865"/>
      <w:bookmarkStart w:id="28" w:name="_Toc24161"/>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泸定县信访局（以下简称县信访局）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孙国奎</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115133226922692961</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四川省泸定县泸桥镇将军街20号</w:t>
      </w:r>
      <w:r>
        <w:rPr>
          <w:rFonts w:hint="default" w:ascii="Times New Roman" w:hAnsi="Times New Roman" w:eastAsia="方正仿宋_GB2312" w:cs="Times New Roman"/>
          <w:color w:val="auto"/>
          <w:sz w:val="32"/>
          <w:szCs w:val="32"/>
          <w:highlight w:val="none"/>
          <w:lang w:val="fr-FR" w:eastAsia="zh-CN"/>
        </w:rPr>
        <w:t xml:space="preserve">。 </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31223"/>
      <w:bookmarkStart w:id="31" w:name="_Toc1278"/>
      <w:bookmarkStart w:id="32" w:name="_Toc17750"/>
      <w:bookmarkStart w:id="33" w:name="_Toc28538"/>
      <w:bookmarkStart w:id="34" w:name="_Toc26703"/>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4B6C714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1.内设机构。泸定县信访局内设机构2个，分别为：综合业务办公室、信访业务办公室。</w:t>
      </w:r>
    </w:p>
    <w:p w14:paraId="37E1CDD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2.人员概况。截至2024年末，泸定县信访局在职人员共计9人，其中行政人员5人，事业人员3人，行政工勤人员1人。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21223"/>
      <w:bookmarkStart w:id="39" w:name="_Toc16740"/>
      <w:bookmarkStart w:id="40" w:name="_Toc12241"/>
      <w:bookmarkStart w:id="41" w:name="_Toc2260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23443A4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109483836"/>
      <w:bookmarkStart w:id="43" w:name="_Toc22594"/>
      <w:bookmarkStart w:id="44" w:name="_Toc15163"/>
      <w:bookmarkStart w:id="45" w:name="_Toc1218480988"/>
      <w:bookmarkStart w:id="46" w:name="_Toc5982"/>
      <w:bookmarkStart w:id="47" w:name="_Toc33"/>
      <w:bookmarkStart w:id="48" w:name="_Toc14896"/>
      <w:bookmarkStart w:id="49" w:name="_Toc26564"/>
      <w:bookmarkStart w:id="50" w:name="_Toc16871"/>
      <w:bookmarkStart w:id="51" w:name="_Toc13707"/>
      <w:r>
        <w:rPr>
          <w:rFonts w:hint="default" w:ascii="Times New Roman" w:hAnsi="Times New Roman" w:eastAsia="方正仿宋_GB2312" w:cs="Times New Roman"/>
          <w:color w:val="auto"/>
          <w:sz w:val="32"/>
          <w:szCs w:val="32"/>
          <w:highlight w:val="none"/>
          <w:lang w:val="en-US" w:eastAsia="zh-CN"/>
        </w:rPr>
        <w:t>贯彻党和政府群众工作的方针、政策；承办上级群众信访部门和领导交办的群众信访事项，审核交办事项的处理意见并督促检查落实；向各部门交办群众信访事项，督促检查重要信访事项的处理和落实；指导全县群众信访业务及“12345”政务热线工作；完成县委、县政府和上级业务部门交办的其他工作。</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zh-CN"/>
        </w:rPr>
      </w:pPr>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54" w:name="_Toc25866"/>
      <w:bookmarkStart w:id="55" w:name="_Toc21428"/>
      <w:bookmarkStart w:id="56" w:name="_Toc29180"/>
      <w:bookmarkStart w:id="57" w:name="_Toc32369"/>
      <w:bookmarkStart w:id="58" w:name="_Toc11105"/>
      <w:bookmarkStart w:id="59" w:name="_Toc1949541301"/>
      <w:bookmarkStart w:id="60" w:name="_Toc15898"/>
      <w:bookmarkStart w:id="61" w:name="_Toc2374"/>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17751"/>
      <w:bookmarkStart w:id="64" w:name="_Toc27073"/>
      <w:bookmarkStart w:id="65" w:name="_Toc21171"/>
      <w:bookmarkStart w:id="66" w:name="_Toc349786989"/>
      <w:bookmarkStart w:id="67" w:name="_Toc27782"/>
      <w:bookmarkStart w:id="68" w:name="_Toc19326"/>
      <w:bookmarkStart w:id="69" w:name="_Toc109483838"/>
      <w:r>
        <w:rPr>
          <w:rFonts w:hint="default" w:ascii="Times New Roman" w:hAnsi="Times New Roman" w:eastAsia="方正仿宋_GB2312" w:cs="Times New Roman"/>
          <w:color w:val="auto"/>
          <w:sz w:val="32"/>
          <w:szCs w:val="32"/>
          <w:highlight w:val="none"/>
          <w:lang w:val="en-US" w:eastAsia="zh-CN"/>
        </w:rPr>
        <w:t>年初预算反映，县信访局2024年预算收入合计 251.07万元，上年结转结余0.00万元，无预算调整。本年收入 251.07万元，全部为一般公共预算财政拨款收入。</w:t>
      </w:r>
    </w:p>
    <w:p w14:paraId="0FB3AD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决算报表反映，县信访局2024年决算收入合计244.52万元，其中：本年收入244.52万元，年初结转和结余0.00万元。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20C0559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18390"/>
      <w:bookmarkStart w:id="74" w:name="_Toc10837"/>
      <w:bookmarkStart w:id="75" w:name="_Toc24721"/>
      <w:bookmarkStart w:id="76" w:name="_Toc809"/>
      <w:bookmarkStart w:id="77" w:name="_Toc1457008154"/>
      <w:bookmarkStart w:id="78" w:name="_Toc13841"/>
      <w:bookmarkStart w:id="79" w:name="_Toc109483839"/>
      <w:r>
        <w:rPr>
          <w:rFonts w:hint="default" w:ascii="Times New Roman" w:hAnsi="Times New Roman" w:eastAsia="方正仿宋_GB2312" w:cs="Times New Roman"/>
          <w:color w:val="auto"/>
          <w:sz w:val="32"/>
          <w:szCs w:val="32"/>
          <w:highlight w:val="none"/>
          <w:lang w:val="en-US" w:eastAsia="zh-CN"/>
        </w:rPr>
        <w:t>年初预算反映，县信访局2024年预算支出合计251.07万元，无年末结转和结余。本年支出中：基本支出201.07万元（人员经费181.88万元、公用经费19.19万元），项目支出50.00万元。</w:t>
      </w:r>
    </w:p>
    <w:p w14:paraId="09E05E6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信访局2024年决算支出合计244.52万元，均为本年支出，无年末结转和结余。本年支出中：无年末结转和结余。本年支出中：基本支出241.82万元（人员经费192.11万元、公用经费49.71万元），项目支出2.70万元，无年末结转和结余。</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仿宋" w:cs="Times New Roman"/>
          <w:kern w:val="0"/>
          <w:sz w:val="32"/>
          <w:szCs w:val="32"/>
        </w:rPr>
      </w:pPr>
      <w:r>
        <w:rPr>
          <w:rFonts w:hint="default" w:ascii="Times New Roman" w:hAnsi="Times New Roman" w:eastAsia="方正仿宋_GB2312" w:cs="Times New Roman"/>
          <w:color w:val="auto"/>
          <w:sz w:val="32"/>
          <w:szCs w:val="32"/>
          <w:highlight w:val="none"/>
          <w:lang w:val="en-US" w:eastAsia="zh-CN"/>
        </w:rPr>
        <w:t>决算报表反映，县信访局2024年末无结余分配和结转结余。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7705"/>
      <w:bookmarkStart w:id="82"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1418"/>
      <w:bookmarkStart w:id="84" w:name="_Toc29501"/>
      <w:bookmarkStart w:id="85" w:name="_Toc28011"/>
      <w:bookmarkStart w:id="86" w:name="_Toc22633"/>
      <w:bookmarkStart w:id="87" w:name="_Toc3573"/>
      <w:bookmarkStart w:id="88" w:name="_Toc19300"/>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02214B4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89" w:name="_Toc4650"/>
      <w:bookmarkStart w:id="90" w:name="_Toc30825"/>
      <w:bookmarkStart w:id="91" w:name="_Toc11959"/>
      <w:bookmarkStart w:id="92" w:name="_Toc132"/>
      <w:bookmarkStart w:id="93" w:name="_Toc6926"/>
      <w:bookmarkStart w:id="94" w:name="_Toc24652"/>
      <w:r>
        <w:rPr>
          <w:rFonts w:hint="default" w:ascii="Times New Roman" w:hAnsi="Times New Roman" w:eastAsia="方正仿宋_GB2312" w:cs="Times New Roman"/>
          <w:color w:val="auto"/>
          <w:sz w:val="32"/>
          <w:szCs w:val="32"/>
          <w:highlight w:val="none"/>
          <w:lang w:val="en-US" w:eastAsia="zh-CN"/>
        </w:rPr>
        <w:t>承办上级群众信访部门和领导交办的群众信访事项，审核交办事项的处理意见并督促检查落实，向各部门交办群众信访事项，督促检查重要信访事项的处理和落实；指导全县群众信访业务及“12345”政务热线工作。</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6491"/>
      <w:bookmarkStart w:id="96" w:name="_Toc17536"/>
      <w:bookmarkStart w:id="97" w:name="_Toc24081"/>
      <w:r>
        <w:rPr>
          <w:rFonts w:hint="default" w:ascii="Times New Roman" w:hAnsi="Times New Roman" w:eastAsia="方正仿宋_GB2312" w:cs="Times New Roman"/>
          <w:color w:val="auto"/>
          <w:sz w:val="32"/>
          <w:szCs w:val="32"/>
          <w:highlight w:val="none"/>
          <w:lang w:val="en-US" w:eastAsia="zh-CN"/>
        </w:rPr>
        <w:t>县信访局2024年认真落实中央、省、州纪委全会部署安排，完成了以下工作任务：</w:t>
      </w:r>
    </w:p>
    <w:p w14:paraId="73A2DAF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8" w:name="_Toc13068"/>
      <w:bookmarkStart w:id="99" w:name="_Toc32189"/>
      <w:bookmarkStart w:id="100" w:name="_Toc21154"/>
      <w:r>
        <w:rPr>
          <w:rFonts w:hint="default" w:ascii="Times New Roman" w:hAnsi="Times New Roman" w:eastAsia="方正仿宋_GB2312" w:cs="Times New Roman"/>
          <w:color w:val="auto"/>
          <w:sz w:val="32"/>
          <w:szCs w:val="32"/>
          <w:highlight w:val="none"/>
          <w:lang w:val="en-US" w:eastAsia="zh-CN"/>
        </w:rPr>
        <w:t>1.推进预防法治化，做到“抓早、抓小、抓了”。要抓早。坚持科学民主决策，坚持依法行政，严格按照法定权限和程序行使权力，公平公正处理问题，防止产生社会矛盾。要抓小。依托一站式矛盾纠纷化解平台等，开展全方位动态排查，提升矛盾纠纷排查化解效能，避免矛盾纠纷向信访问题转化。要抓了。强化协调联动，坚持调解先行，综合运用人民调解、司法调解、行政调解，及时妥善把排查出的矛盾纠纷化解在基层、化解在萌芽状态。</w:t>
      </w:r>
    </w:p>
    <w:p w14:paraId="0281B33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推进受理法治化，做到“转好、分好、办好”。要转好。收到信访事项后，要分清性质、明确管辖，区分情况、转交到位。要分好。责任单位收到信访事项后，要严格按照信访法治化“路线图”，精准分类情形，适用各类告知，落实“三个不予受理、两个不再受理”工作要求。要办好。对符合依法分类处理要求的事项，及时导入相应程序，避免出现以信访答复代替行政处理、以信访程序代替依法履职的情况。</w:t>
      </w:r>
    </w:p>
    <w:p w14:paraId="3D3D1AD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推进办理法治化，做到“三研、三定、三解”。要做好“三研”。研究信访事项，注重事理、情理、法理相结合；研究处理过程，综合分析案件事实、历次处理情况作出处理结论；研究信访群众，有针对性采取教育、疏导、帮扶等措施。要明确“三定”。定责任，逐案明确责任单位、责任领导、责任人员；定质量，认真研究分析，全面详实了解案件情况，及时妥善推进化解；定时限，按照《信访工作条例》规定、问题难易程度等明确化解时限。要落实“三解”。理解，将心比心，换位思考，站在群众立场上想问题、做决策；化解，坚持“有解”思维，因人施治、因案施策；心解，善于用群众工作方法打开群众心结，实现“事了心解人和”的效果。</w:t>
      </w:r>
    </w:p>
    <w:p w14:paraId="4704545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推进监督追责法治化，做到“明责、督责、问责”。要明责。明确信访部门转办、督办责任，责任单位处理问题、化解疏导责任以及领导包案责任，确保信访事项有人管、有人办。要督责。紧盯责任单位办理过程，对存在问题的及时督办，认真履行“三项建议”职责。要问责。落实好新修订的《中国共产党纪律处分条例》，以有力有效的问责推动责任落实落地。</w:t>
      </w:r>
    </w:p>
    <w:p w14:paraId="34F456E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推进维护秩序法治化，做到“引导、疏导、训导”。一要引导。加大对《信访工作条例》的宣传力度，积极引导群众依法理性表达诉求、维护权益。二要疏导。在解决好群众合理合法诉求的同时，做好释法明理、思想开导、心理疏导等工作，真正实现“事心双解”。三要训导。严格规范信访工作行为和群众信访行为，对信访活动中的违法犯罪行为依法处理，对缠访闹访打击处理典型案例加大宣传力度，形成震慑效应。</w:t>
      </w:r>
    </w:p>
    <w:p w14:paraId="5BEABF8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聚焦重要时段安保维稳，做到“起底、化解、稳定”。要强化排查起底，加强对川藏铁路、泸石高速、劳动社保、文化旅游等重点领域引发的社会矛盾纠纷排查力度，对尚未息诉罢访的重复信访、重复越级上访、到省进京非正常上访实行全覆盖排查梳理，切实做到底数清、情况明。要强化处置化解，合理安排值班值守力量，</w:t>
      </w:r>
      <w:r>
        <w:rPr>
          <w:rFonts w:hint="eastAsia" w:ascii="Times New Roman" w:hAnsi="Times New Roman" w:eastAsia="方正仿宋_GB2312" w:cs="Times New Roman"/>
          <w:color w:val="auto"/>
          <w:sz w:val="32"/>
          <w:szCs w:val="32"/>
          <w:highlight w:val="none"/>
          <w:lang w:val="en-US" w:eastAsia="zh-CN"/>
        </w:rPr>
        <w:t>做好</w:t>
      </w:r>
      <w:r>
        <w:rPr>
          <w:rFonts w:hint="default" w:ascii="Times New Roman" w:hAnsi="Times New Roman" w:eastAsia="方正仿宋_GB2312" w:cs="Times New Roman"/>
          <w:color w:val="auto"/>
          <w:sz w:val="32"/>
          <w:szCs w:val="32"/>
          <w:highlight w:val="none"/>
          <w:lang w:val="en-US" w:eastAsia="zh-CN"/>
        </w:rPr>
        <w:t>节庆期间12345政务热线工单激增的工作准备，加强对涉旅、涉众、涉民族宗教等重点领域群众诉求答复意见审核把关，确保节庆期间社会矛盾不积压、不激化、不上行。要强化维护稳定，严格执行重点人员稳控工作和信息报送工作机制，对行业、辖区内重点人员底数进行摸排清理，逐一压实稳控责任，做到不留缝隙、不留盲点、不留死角，保持信息报送渠道畅通，对重要突出隐患风险及时报告、及时预警、妥善处置，坚决防范黑天鹅、“灰犀牛”事件发生。</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8828"/>
      <w:bookmarkStart w:id="102" w:name="_Toc29571"/>
      <w:bookmarkStart w:id="103" w:name="_Toc11694"/>
      <w:bookmarkStart w:id="104" w:name="_Toc7521"/>
      <w:bookmarkStart w:id="105" w:name="_Toc24619"/>
      <w:bookmarkStart w:id="106" w:name="_Toc24977"/>
      <w:bookmarkStart w:id="107" w:name="_Toc428273082"/>
      <w:bookmarkStart w:id="108" w:name="_Toc8903"/>
      <w:bookmarkStart w:id="109" w:name="_Toc4199"/>
      <w:bookmarkStart w:id="110" w:name="_Toc109483840"/>
      <w:bookmarkStart w:id="111" w:name="_Toc27305"/>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县信访局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color="auto" w:fill="auto"/>
          <w:lang w:val="en-US" w:eastAsia="zh-CN"/>
        </w:rPr>
      </w:pPr>
      <w:bookmarkStart w:id="112" w:name="_Toc23900"/>
      <w:bookmarkStart w:id="113" w:name="_Toc3794"/>
      <w:bookmarkStart w:id="114" w:name="_Toc16416"/>
      <w:bookmarkStart w:id="115" w:name="_Toc24380"/>
      <w:bookmarkStart w:id="116" w:name="_Toc30977"/>
      <w:bookmarkStart w:id="117" w:name="_Toc4385"/>
      <w:r>
        <w:rPr>
          <w:rFonts w:hint="default" w:ascii="Times New Roman" w:hAnsi="Times New Roman" w:eastAsia="方正楷体简体" w:cs="Times New Roman"/>
          <w:color w:val="auto"/>
          <w:kern w:val="2"/>
          <w:sz w:val="32"/>
          <w:szCs w:val="32"/>
          <w:highlight w:val="none"/>
          <w:shd w:val="clear" w:color="auto" w:fill="auto"/>
          <w:lang w:val="zh-CN" w:eastAsia="zh-CN"/>
        </w:rPr>
        <w:t>（</w:t>
      </w:r>
      <w:r>
        <w:rPr>
          <w:rFonts w:hint="default" w:ascii="Times New Roman" w:hAnsi="Times New Roman" w:eastAsia="方正楷体简体" w:cs="Times New Roman"/>
          <w:color w:val="auto"/>
          <w:kern w:val="2"/>
          <w:sz w:val="32"/>
          <w:szCs w:val="32"/>
          <w:highlight w:val="none"/>
          <w:shd w:val="clear" w:color="auto" w:fill="auto"/>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color="auto" w:fill="auto"/>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信访局紧紧聚焦信访工作法治化建设开局之年各项目标任务，围绕“五个法治化”工作要求，全力推动群众信访工作再上新台阶，全县信访维稳工作信访形势平稳可控。县信访局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按照设定的评价指标体系，通过对县信访局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4年度县信访局部门整体支出绩效评价指标分值100.00分，得分86.19分。详见下表：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县信访局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7"/>
        <w:gridCol w:w="2292"/>
        <w:gridCol w:w="1318"/>
        <w:gridCol w:w="621"/>
        <w:gridCol w:w="959"/>
        <w:gridCol w:w="824"/>
      </w:tblGrid>
      <w:tr w14:paraId="3111E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8C7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4242"/>
            <w:bookmarkStart w:id="120" w:name="_Toc14707"/>
            <w:bookmarkStart w:id="121" w:name="_Toc109483841"/>
            <w:bookmarkStart w:id="122" w:name="_Toc16394"/>
            <w:bookmarkStart w:id="123" w:name="_Toc1687911260"/>
            <w:bookmarkStart w:id="124" w:name="_Toc26985"/>
            <w:bookmarkStart w:id="125" w:name="_Toc28266"/>
            <w:bookmarkStart w:id="126" w:name="_Toc31945"/>
            <w:bookmarkStart w:id="127" w:name="_Toc24818"/>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5DA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7E4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444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4C3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826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5792B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689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D01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904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F35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529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7E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16350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906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0C5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58C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8C2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0A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1B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7E777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235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534F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882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9D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F1A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9EA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1D9AD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4D2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22A1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E8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1E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63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0.5</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AC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w:t>
            </w:r>
          </w:p>
        </w:tc>
      </w:tr>
      <w:tr w14:paraId="78E75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FD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B0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D0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865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D7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CED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456C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F90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19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B60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DB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8D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43A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2.5</w:t>
            </w:r>
          </w:p>
        </w:tc>
      </w:tr>
      <w:tr w14:paraId="078DC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C13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ADE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29B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812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DA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3.81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037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16.19</w:t>
            </w:r>
          </w:p>
        </w:tc>
      </w:tr>
      <w:tr w14:paraId="3417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B8D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43A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43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983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5C6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B41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r>
      <w:tr w14:paraId="04F13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A88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87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B83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44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15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AE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w:t>
            </w:r>
          </w:p>
        </w:tc>
      </w:tr>
      <w:tr w14:paraId="17276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F16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B9A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633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162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BD7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69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4C371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5E7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7D4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7E7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8BE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70E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51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4E8E4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5A5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D3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D7E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D5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93B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43A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2AD9F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B48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C0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17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13.81</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7D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86.19</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县信访局</w:t>
      </w:r>
      <w:r>
        <w:rPr>
          <w:rFonts w:hint="default" w:ascii="Times New Roman" w:hAnsi="Times New Roman" w:eastAsia="方正仿宋_GB2312" w:cs="Times New Roman"/>
          <w:color w:val="auto"/>
          <w:sz w:val="32"/>
          <w:szCs w:val="32"/>
          <w:highlight w:val="none"/>
          <w:lang w:val="en-US" w:eastAsia="zh"/>
        </w:rPr>
        <w:t>认真落实中央、省、州纪委全会部署安排，在县委、县政府</w:t>
      </w:r>
      <w:r>
        <w:rPr>
          <w:rFonts w:hint="eastAsia" w:ascii="Times New Roman" w:hAnsi="Times New Roman" w:eastAsia="方正仿宋_GB2312" w:cs="Times New Roman"/>
          <w:color w:val="auto"/>
          <w:sz w:val="32"/>
          <w:szCs w:val="32"/>
          <w:highlight w:val="none"/>
          <w:lang w:val="en-US" w:eastAsia="zh-CN"/>
        </w:rPr>
        <w:t>的高度重视、</w:t>
      </w:r>
      <w:r>
        <w:rPr>
          <w:rFonts w:hint="default" w:ascii="Times New Roman" w:hAnsi="Times New Roman" w:eastAsia="方正仿宋_GB2312" w:cs="Times New Roman"/>
          <w:color w:val="auto"/>
          <w:sz w:val="32"/>
          <w:szCs w:val="32"/>
          <w:highlight w:val="none"/>
          <w:lang w:val="en-US" w:eastAsia="zh"/>
        </w:rPr>
        <w:t>上级信访部门的</w:t>
      </w:r>
      <w:r>
        <w:rPr>
          <w:rFonts w:hint="eastAsia" w:ascii="Times New Roman" w:hAnsi="Times New Roman" w:eastAsia="方正仿宋_GB2312" w:cs="Times New Roman"/>
          <w:color w:val="auto"/>
          <w:sz w:val="32"/>
          <w:szCs w:val="32"/>
          <w:highlight w:val="none"/>
          <w:lang w:val="en-US" w:eastAsia="zh-CN"/>
        </w:rPr>
        <w:t>指导</w:t>
      </w:r>
      <w:r>
        <w:rPr>
          <w:rFonts w:hint="default" w:ascii="Times New Roman" w:hAnsi="Times New Roman" w:eastAsia="方正仿宋_GB2312" w:cs="Times New Roman"/>
          <w:color w:val="auto"/>
          <w:sz w:val="32"/>
          <w:szCs w:val="32"/>
          <w:highlight w:val="none"/>
          <w:lang w:val="en-US" w:eastAsia="zh"/>
        </w:rPr>
        <w:t>以及各乡镇、各部门的不懈努力下，我局紧紧聚焦信访工作法治化建设</w:t>
      </w:r>
      <w:r>
        <w:rPr>
          <w:rFonts w:hint="default" w:ascii="Times New Roman" w:hAnsi="Times New Roman" w:eastAsia="方正仿宋_GB2312" w:cs="Times New Roman"/>
          <w:color w:val="auto"/>
          <w:sz w:val="32"/>
          <w:szCs w:val="32"/>
          <w:highlight w:val="none"/>
          <w:lang w:val="en-US" w:eastAsia="zh-CN"/>
        </w:rPr>
        <w:t>开局</w:t>
      </w:r>
      <w:r>
        <w:rPr>
          <w:rFonts w:hint="default" w:ascii="Times New Roman" w:hAnsi="Times New Roman" w:eastAsia="方正仿宋_GB2312" w:cs="Times New Roman"/>
          <w:color w:val="auto"/>
          <w:sz w:val="32"/>
          <w:szCs w:val="32"/>
          <w:highlight w:val="none"/>
          <w:lang w:val="en-US" w:eastAsia="zh"/>
        </w:rPr>
        <w:t>之年各项目标任务，围绕“五个法治化”工作要求，全力推动群众信访工作再上新台阶，全县信访维</w:t>
      </w:r>
      <w:r>
        <w:rPr>
          <w:rFonts w:hint="eastAsia" w:ascii="Times New Roman" w:hAnsi="Times New Roman" w:eastAsia="方正仿宋_GB2312" w:cs="Times New Roman"/>
          <w:color w:val="auto"/>
          <w:sz w:val="32"/>
          <w:szCs w:val="32"/>
          <w:highlight w:val="none"/>
          <w:lang w:val="en-US" w:eastAsia="zh-CN"/>
        </w:rPr>
        <w:t>稳</w:t>
      </w:r>
      <w:r>
        <w:rPr>
          <w:rFonts w:hint="default" w:ascii="Times New Roman" w:hAnsi="Times New Roman" w:eastAsia="方正仿宋_GB2312" w:cs="Times New Roman"/>
          <w:color w:val="auto"/>
          <w:sz w:val="32"/>
          <w:szCs w:val="32"/>
          <w:highlight w:val="none"/>
          <w:lang w:val="en-US" w:eastAsia="zh-CN"/>
        </w:rPr>
        <w:t>形势</w:t>
      </w:r>
      <w:r>
        <w:rPr>
          <w:rFonts w:hint="default" w:ascii="Times New Roman" w:hAnsi="Times New Roman" w:eastAsia="方正仿宋_GB2312" w:cs="Times New Roman"/>
          <w:color w:val="auto"/>
          <w:sz w:val="32"/>
          <w:szCs w:val="32"/>
          <w:highlight w:val="none"/>
          <w:lang w:val="en-US" w:eastAsia="zh"/>
        </w:rPr>
        <w:t>平稳可控。</w:t>
      </w:r>
      <w:r>
        <w:rPr>
          <w:rFonts w:hint="eastAsia" w:ascii="Times New Roman" w:hAnsi="Times New Roman" w:eastAsia="方正仿宋_GB2312" w:cs="Times New Roman"/>
          <w:color w:val="auto"/>
          <w:sz w:val="32"/>
          <w:szCs w:val="32"/>
          <w:highlight w:val="none"/>
          <w:lang w:val="en-US" w:eastAsia="zh-CN"/>
        </w:rPr>
        <w:t>经</w:t>
      </w:r>
      <w:r>
        <w:rPr>
          <w:rFonts w:hint="default" w:ascii="Times New Roman" w:hAnsi="Times New Roman" w:eastAsia="方正仿宋_GB2312" w:cs="Times New Roman"/>
          <w:color w:val="auto"/>
          <w:sz w:val="32"/>
          <w:szCs w:val="32"/>
          <w:highlight w:val="none"/>
          <w:lang w:val="en-US" w:eastAsia="zh-CN"/>
        </w:rPr>
        <w:t>评价组对县信访局进行事后评价，最终县信访局绩效等级为</w:t>
      </w:r>
      <w:r>
        <w:rPr>
          <w:rFonts w:hint="eastAsia" w:ascii="Times New Roman" w:hAnsi="Times New Roman" w:eastAsia="方正仿宋_GB2312" w:cs="Times New Roman"/>
          <w:color w:val="auto"/>
          <w:sz w:val="32"/>
          <w:szCs w:val="32"/>
          <w:highlight w:val="none"/>
          <w:lang w:val="en-US" w:eastAsia="zh-CN"/>
        </w:rPr>
        <w:t>‘良’</w:t>
      </w:r>
      <w:r>
        <w:rPr>
          <w:rFonts w:hint="default" w:ascii="Times New Roman" w:hAnsi="Times New Roman" w:eastAsia="方正仿宋_GB2312" w:cs="Times New Roman"/>
          <w:color w:val="auto"/>
          <w:sz w:val="32"/>
          <w:szCs w:val="32"/>
          <w:highlight w:val="none"/>
          <w:lang w:val="en-US" w:eastAsia="zh-CN"/>
        </w:rPr>
        <w:t>。</w:t>
      </w:r>
      <w:r>
        <w:rPr>
          <w:rFonts w:hint="eastAsia" w:ascii="Times New Roman" w:hAnsi="Times New Roman" w:eastAsia="方正仿宋_GB2312" w:cs="Times New Roman"/>
          <w:color w:val="auto"/>
          <w:sz w:val="32"/>
          <w:szCs w:val="32"/>
          <w:highlight w:val="none"/>
          <w:lang w:val="en-US" w:eastAsia="zh-CN"/>
        </w:rPr>
        <w:t>我局秉承</w:t>
      </w:r>
      <w:r>
        <w:rPr>
          <w:rFonts w:hint="default" w:ascii="Times New Roman" w:hAnsi="Times New Roman" w:eastAsia="方正仿宋_GB2312" w:cs="Times New Roman"/>
          <w:color w:val="auto"/>
          <w:sz w:val="32"/>
          <w:szCs w:val="32"/>
          <w:highlight w:val="none"/>
          <w:lang w:val="en-US" w:eastAsia="zh-CN"/>
        </w:rPr>
        <w:t>科学公正、统筹兼顾、激励约束和公开透明</w:t>
      </w:r>
      <w:r>
        <w:rPr>
          <w:rFonts w:hint="eastAsia" w:ascii="Times New Roman" w:hAnsi="Times New Roman" w:eastAsia="方正仿宋_GB2312" w:cs="Times New Roman"/>
          <w:color w:val="auto"/>
          <w:sz w:val="32"/>
          <w:szCs w:val="32"/>
          <w:highlight w:val="none"/>
          <w:lang w:val="en-US" w:eastAsia="zh-CN"/>
        </w:rPr>
        <w:t>的财政</w:t>
      </w:r>
      <w:r>
        <w:rPr>
          <w:rFonts w:hint="default" w:ascii="Times New Roman" w:hAnsi="Times New Roman" w:eastAsia="方正仿宋_GB2312" w:cs="Times New Roman"/>
          <w:color w:val="auto"/>
          <w:sz w:val="32"/>
          <w:szCs w:val="32"/>
          <w:highlight w:val="none"/>
          <w:lang w:val="en-US" w:eastAsia="zh-CN"/>
        </w:rPr>
        <w:t>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建议泸定县财政局针对部门预算绩效管理，进一步要求县信访局完善绩效目标编制、提高绩效自评质量、加强年初预算编制准确性。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26977"/>
      <w:bookmarkStart w:id="130" w:name="_Toc1139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信访局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根据现场评价情况，泸定县信访局《部门（单位）整体支出绩效目标申报表》目标要素齐全，但存在整体目标不够细化，绩效目标设置不明确等问题。</w:t>
      </w:r>
    </w:p>
    <w:p w14:paraId="4392A5A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本项分值为10.00分，扣4.00分，得分为6.00分。</w:t>
      </w:r>
    </w:p>
    <w:p w14:paraId="051439E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7A13CEA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信访局提供的2024年度年初预算项目绩效目标申报表及项目完成资料，县信访局整体涉及2个数量指标，1个成本指标。根据现场评价情况，实际完成2个数量指标，完成率100%；实际完成1个成本指标，完成率100%。</w:t>
      </w:r>
    </w:p>
    <w:p w14:paraId="35DC9D7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本项分值为10.00分，扣0.00分，得分为10.00分。</w:t>
      </w:r>
    </w:p>
    <w:p w14:paraId="07A8489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30F5CA6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信访局1—6月月预算数256.82万元，实际执行数117.88万元，进度为45.90%；1-9月预算数266.32万元，实际执行数196.21万元，进度为73.67%；1-11月预算数267.51万元，实际执行数235.64万元，进度为88.09%。</w:t>
      </w:r>
    </w:p>
    <w:p w14:paraId="629B923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本项分值为8.00分，扣0.00分，得分为8.00分。</w:t>
      </w:r>
    </w:p>
    <w:p w14:paraId="22956C4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4A1ABDE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2024年县信访局预算项目3个，根据被评价单位提供的可执行指标执行情况表，预算调整项目1个，其中1个随预算调整同步完成绩效目标调整，未调整的项目有1个，如：州级特殊疑难信访经费。</w:t>
      </w:r>
    </w:p>
    <w:p w14:paraId="67B9BB7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本项分值为6.00分，扣0.50分，得分为5.50分。</w:t>
      </w:r>
    </w:p>
    <w:p w14:paraId="2756E4F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22F04D4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2024年财政局未对县信访局开展重点绩效监控，县信访局自行开展了绩效运行监控，未发现绩效相关问题。</w:t>
      </w:r>
    </w:p>
    <w:p w14:paraId="3F0CF77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8F3F60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（3）完成结果</w:t>
      </w:r>
    </w:p>
    <w:p w14:paraId="6AD947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二级指标“完成结果”下设一个三级指标为：预算结余率。</w:t>
      </w:r>
    </w:p>
    <w:p w14:paraId="73B5FAF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根据县信访局2024年度决算报表与可执行指标执行情况表被评价单位2024年度预算项目共计4个，部门预算项目资金结余率小于10%有3个，大于10%有1个。</w:t>
      </w:r>
    </w:p>
    <w:p w14:paraId="4A928BD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本项分值为10.00分，扣2.50分，得分为7.50分。</w:t>
      </w:r>
    </w:p>
    <w:p w14:paraId="38BE5ED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信访局部门预算项目共4个，涉及预算资金52.70万元，评价组抽取项目2个，抽取项目预算资金41.19万元；抽取率为78.16%。抽取项目为：信访工作经费、“12345”政务热线工作经费。评价组抽取项目的绩效评价指标体系均采用《2025年泸定县部门整体支出绩效评价指标体系》。经评价小组复核评分，抽查的预算项目平均得分87.29分。</w:t>
      </w:r>
    </w:p>
    <w:p w14:paraId="4ADF518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本项分值为30.00分，扣3.81分，得分为26.19分。</w:t>
      </w:r>
    </w:p>
    <w:p w14:paraId="6B552CA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3.绩效结果应用</w:t>
      </w:r>
    </w:p>
    <w:p w14:paraId="0AF25A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10E8C4C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截至评价日，县信访局制定了《2024年泸定县信访局信访工作考核细则》，但未制定《预决算制度》，单位绩效管理情况未纳入内部考核体系且内部绩效结果未与预算挂钩。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本项分值为4.00分，扣3.00分，得分为1.00分。</w:t>
      </w:r>
    </w:p>
    <w:p w14:paraId="3DFC40C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信访局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①2024年度，县信访局未收到绩效目标核查、绩效重点监控和重点绩效评价等方面整改意见，无需整改。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②2024年度，县信访局在规定时间内向财政部门反馈绩效结果应用报告，报告内容翔实、问题整改到位、结果应用充分。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信访局2024年部门整体支出绩效自评得分88分（不包括“自评质量”指标分值，满分为94分），根据现场评价情况，评价组对县信访局的考评得分80.19分（不包括“自评质量”指标分值，满分为94分），自评差异率8.87%，低于10.00%。</w:t>
      </w:r>
    </w:p>
    <w:p w14:paraId="62CC150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30339"/>
      <w:bookmarkStart w:id="132" w:name="_Toc21218"/>
      <w:bookmarkStart w:id="133" w:name="_Toc7306"/>
      <w:bookmarkStart w:id="134" w:name="_Toc25603"/>
      <w:bookmarkStart w:id="135" w:name="_Toc14032"/>
      <w:bookmarkStart w:id="136" w:name="_Toc823448808"/>
      <w:bookmarkStart w:id="137" w:name="_Toc4350"/>
      <w:bookmarkStart w:id="138" w:name="_Toc5060"/>
      <w:bookmarkStart w:id="139" w:name="_Toc30515"/>
      <w:bookmarkStart w:id="140" w:name="_Toc248033833"/>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79E0C316">
      <w:pPr>
        <w:keepNext w:val="0"/>
        <w:keepLines w:val="0"/>
        <w:pageBreakBefore w:val="0"/>
        <w:widowControl w:val="0"/>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b w:val="0"/>
          <w:bCs w:val="0"/>
          <w:sz w:val="32"/>
          <w:szCs w:val="32"/>
        </w:rPr>
      </w:pPr>
      <w:bookmarkStart w:id="143" w:name="_Toc5324"/>
      <w:bookmarkStart w:id="144" w:name="_Toc22775"/>
      <w:bookmarkStart w:id="145" w:name="_Toc15651"/>
      <w:bookmarkStart w:id="146" w:name="_Toc29227"/>
      <w:bookmarkStart w:id="147" w:name="_Toc10426"/>
      <w:bookmarkStart w:id="148" w:name="_Toc464104487"/>
      <w:bookmarkStart w:id="149" w:name="_Toc22968"/>
      <w:bookmarkStart w:id="150" w:name="_Toc3240"/>
      <w:bookmarkStart w:id="151" w:name="_Toc31629"/>
      <w:bookmarkStart w:id="152" w:name="_Toc771997543"/>
      <w:r>
        <w:rPr>
          <w:rFonts w:hint="default" w:ascii="Times New Roman" w:hAnsi="Times New Roman" w:eastAsia="方正楷体简体" w:cs="Times New Roman"/>
          <w:b w:val="0"/>
          <w:bCs w:val="0"/>
          <w:sz w:val="32"/>
          <w:szCs w:val="32"/>
        </w:rPr>
        <w:t>（一）绩效目标编制和上报不准确</w:t>
      </w:r>
    </w:p>
    <w:p w14:paraId="294FFBF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信访局2024年部门综合绩效目标与个别预算项目绩效目标均不同程度存在编制不规范，指标设置不够科学准确、具体明确等问题，导致绩效目标科学性、合理性不够强，不便于考核评价。具体情况表现为：</w:t>
      </w:r>
    </w:p>
    <w:p w14:paraId="2DD5B45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1.部门整体绩效目标</w:t>
      </w:r>
    </w:p>
    <w:p w14:paraId="01D6EBD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信访局《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不明确，不便于考核，如社会效益指标中的“维护社会和谐稳定”其指标值为“社会和谐稳定”，该指标值设置不够明确，未具体明确细化考核任务，不便于考核。三是成本指标设置不够完整，该经济成本指标仅设置了一项三级指标“成本控制数”其指标值为“≤251.07万元”；未设置部门分类经济成本指标情况，如：人员经费成本控制，其指标值“≤181.88万元”，项目经费成本控制，其指标值“≤50万元”，建议补充部门各项开支经济成本指标，细化量化成本指标。</w:t>
      </w:r>
    </w:p>
    <w:p w14:paraId="3FF64A5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031FF192">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信访局预算3个项目，各项目均编制了绩效目标申报表，但存在年度整体目标设置不够细化情况。具体情况为：年度整体目标设置不够细化，如：“县级配套特殊疑难信访经费”中的年度目标为“解决全县范围内的特殊疑难信访事项，确保社会安定和谐”，该年度整体目标未与数量指标质量指标挂钩，缺乏具体的数量，建议在年度目标中加入主要任务或大额资金项目的可量化指标。</w:t>
      </w:r>
    </w:p>
    <w:p w14:paraId="09918E6D">
      <w:pPr>
        <w:keepNext w:val="0"/>
        <w:keepLines w:val="0"/>
        <w:pageBreakBefore w:val="0"/>
        <w:widowControl w:val="0"/>
        <w:numPr>
          <w:ilvl w:val="0"/>
          <w:numId w:val="0"/>
        </w:numPr>
        <w:tabs>
          <w:tab w:val="left" w:pos="479"/>
        </w:tabs>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（二）部门绩效目标制定未纳入本部门集体决策范围</w:t>
      </w:r>
    </w:p>
    <w:p w14:paraId="27D230D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2024年，泸定县信访局已编报《部门（单位）整体支出绩效目标申报表》，绩效目标随预算已上报人大完成审核，但未对部门整体项目进行集体决策，未将部门绩效目标纳入集体决策范围。</w:t>
      </w:r>
    </w:p>
    <w:p w14:paraId="2A18B8D6">
      <w:pPr>
        <w:keepNext w:val="0"/>
        <w:keepLines w:val="0"/>
        <w:pageBreakBefore w:val="0"/>
        <w:widowControl w:val="0"/>
        <w:numPr>
          <w:ilvl w:val="0"/>
          <w:numId w:val="3"/>
        </w:numPr>
        <w:kinsoku/>
        <w:wordWrap/>
        <w:overflowPunct/>
        <w:topLinePunct w:val="0"/>
        <w:bidi w:val="0"/>
        <w:snapToGrid w:val="0"/>
        <w:spacing w:line="560" w:lineRule="exact"/>
        <w:ind w:left="0"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预算结余率较高</w:t>
      </w:r>
    </w:p>
    <w:p w14:paraId="1D2445E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根据县信访局2024年度决算报表与可执行指标执行情况表被评价单位 2024年度预算项目共计4个，部门预算项目资金结余率小于10%有2个，大于10%有1个。预算结余率为32.7%。</w:t>
      </w:r>
    </w:p>
    <w:p w14:paraId="2E181C32">
      <w:pPr>
        <w:keepNext w:val="0"/>
        <w:keepLines w:val="0"/>
        <w:pageBreakBefore w:val="0"/>
        <w:widowControl w:val="0"/>
        <w:numPr>
          <w:ilvl w:val="0"/>
          <w:numId w:val="3"/>
        </w:numPr>
        <w:kinsoku/>
        <w:wordWrap/>
        <w:overflowPunct/>
        <w:topLinePunct w:val="0"/>
        <w:bidi w:val="0"/>
        <w:snapToGrid w:val="0"/>
        <w:spacing w:line="560" w:lineRule="exact"/>
        <w:ind w:left="0"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预算绩效管理制度机制不够健全完善</w:t>
      </w:r>
    </w:p>
    <w:p w14:paraId="1962AB4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截至评价日，县信访局未制定《预决算制度》，单位绩效管理情况未纳入内部考核体系且内部绩效结果未与预算挂钩。</w:t>
      </w:r>
    </w:p>
    <w:p w14:paraId="6F74FE01">
      <w:pPr>
        <w:keepNext w:val="0"/>
        <w:keepLines w:val="0"/>
        <w:pageBreakBefore w:val="0"/>
        <w:widowControl w:val="0"/>
        <w:numPr>
          <w:ilvl w:val="0"/>
          <w:numId w:val="3"/>
        </w:numPr>
        <w:kinsoku/>
        <w:wordWrap/>
        <w:overflowPunct/>
        <w:topLinePunct w:val="0"/>
        <w:bidi w:val="0"/>
        <w:snapToGrid w:val="0"/>
        <w:spacing w:line="560" w:lineRule="exact"/>
        <w:ind w:left="0"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决算编制不准确</w:t>
      </w:r>
    </w:p>
    <w:p w14:paraId="6B7D442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根据决算报表与可执行指标执行情况表，可执行指标执行情况表中项目支出金额合计35.44万元，决算表Z01 收入支出决算总表中项目支出2.7万元，决算编制不够准确。</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bookmarkEnd w:id="141"/>
    <w:bookmarkEnd w:id="142"/>
    <w:p w14:paraId="23B0536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（一）规范项目绩效目标设置</w:t>
      </w:r>
    </w:p>
    <w:p w14:paraId="37729C05">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33DDEE29">
      <w:pPr>
        <w:keepNext w:val="0"/>
        <w:keepLines w:val="0"/>
        <w:pageBreakBefore w:val="0"/>
        <w:widowControl w:val="0"/>
        <w:numPr>
          <w:ilvl w:val="0"/>
          <w:numId w:val="0"/>
        </w:numPr>
        <w:tabs>
          <w:tab w:val="left" w:pos="479"/>
        </w:tabs>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kern w:val="2"/>
          <w:sz w:val="32"/>
          <w:szCs w:val="32"/>
          <w:lang w:val="en-US" w:eastAsia="zh-CN" w:bidi="ar-SA"/>
        </w:rPr>
        <w:t>（二）绩</w:t>
      </w:r>
      <w:r>
        <w:rPr>
          <w:rFonts w:hint="default" w:ascii="Times New Roman" w:hAnsi="Times New Roman" w:eastAsia="方正楷体简体" w:cs="Times New Roman"/>
          <w:sz w:val="32"/>
          <w:szCs w:val="32"/>
          <w:lang w:val="en-US" w:eastAsia="zh-CN"/>
        </w:rPr>
        <w:t>效目标制定纳入部门集体决策范围</w:t>
      </w:r>
    </w:p>
    <w:p w14:paraId="1F43F24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10206D46">
      <w:pPr>
        <w:keepNext w:val="0"/>
        <w:keepLines w:val="0"/>
        <w:pageBreakBefore w:val="0"/>
        <w:widowControl w:val="0"/>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三</w:t>
      </w: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提高预算执行率</w:t>
      </w:r>
    </w:p>
    <w:p w14:paraId="1308C35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0B6FA130">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（四）健全完善预算绩效管理制度建设</w:t>
      </w:r>
    </w:p>
    <w:p w14:paraId="583CF8B0">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6CF3F3F3">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（五）规范编制决算报表，做到账表相符</w:t>
      </w:r>
    </w:p>
    <w:p w14:paraId="391A877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各部门、各单位应当按照本级政府财政部门的工作部署，依法依规编制决算，做到收支真实、数额准确、内容完整、报送及时。应及时清理收支账目、往来款项，核对年度预算收支和各项缴拨款项，做到账实相符、账证相符、账表相符、表表相符。根据预算会计核算生成的数据、财政部门对预算的批复文件等编制决算，如实反映年度内全部收支，不得以估计数据替代，不得弄虚作假。</w:t>
      </w:r>
    </w:p>
    <w:p w14:paraId="5A3E0915">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en-US" w:eastAsia="zh-CN"/>
        </w:rPr>
      </w:pPr>
    </w:p>
    <w:p w14:paraId="6FC6A30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泸定县信访局部门整体支出绩效评价指标体系表（评分表）</w:t>
      </w:r>
    </w:p>
    <w:p w14:paraId="03CDB3A5">
      <w:pPr>
        <w:pStyle w:val="7"/>
        <w:rPr>
          <w:rFonts w:hint="default" w:ascii="Times New Roman" w:hAnsi="Times New Roman" w:eastAsia="仿宋" w:cs="Times New Roman"/>
          <w:b w:val="0"/>
          <w:bCs w:val="0"/>
          <w:color w:val="auto"/>
          <w:sz w:val="32"/>
          <w:szCs w:val="32"/>
          <w:highlight w:val="none"/>
          <w:lang w:val="en-US" w:eastAsia="zh-CN"/>
        </w:rPr>
      </w:pPr>
    </w:p>
    <w:p w14:paraId="7E1714C9">
      <w:pPr>
        <w:rPr>
          <w:rFonts w:hint="default" w:ascii="Times New Roman" w:hAnsi="Times New Roman" w:cs="Times New Roman"/>
          <w:sz w:val="32"/>
          <w:szCs w:val="32"/>
          <w:highlight w:val="none"/>
          <w:lang w:val="en-US" w:eastAsia="zh-CN"/>
        </w:rPr>
      </w:pPr>
      <w:bookmarkStart w:id="153" w:name="_GoBack"/>
      <w:bookmarkEnd w:id="153"/>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23520D5B">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r>
        <w:rPr>
          <w:rFonts w:hint="default" w:ascii="Times New Roman" w:hAnsi="Times New Roman" w:eastAsia="方正仿宋_GB2312" w:cs="Times New Roman"/>
          <w:sz w:val="32"/>
          <w:szCs w:val="32"/>
          <w:highlight w:val="none"/>
        </w:rPr>
        <w:t>　　　　　　　　　　　2025年11月11日</w:t>
      </w: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F94FF7B0-7BF2-46BE-8351-91A172FC627B}"/>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0851C4FF-4AF0-45AE-85B0-C9A7F0586CF4}"/>
  </w:font>
  <w:font w:name="方正黑体简体">
    <w:panose1 w:val="03000509000000000000"/>
    <w:charset w:val="86"/>
    <w:family w:val="auto"/>
    <w:pitch w:val="default"/>
    <w:sig w:usb0="00000001" w:usb1="080E0000" w:usb2="00000000" w:usb3="00000000" w:csb0="00040000" w:csb1="00000000"/>
    <w:embedRegular r:id="rId3" w:fontKey="{66812671-F7DC-4212-BBFA-13730F22CA94}"/>
  </w:font>
  <w:font w:name="方正楷体简体">
    <w:panose1 w:val="03000509000000000000"/>
    <w:charset w:val="86"/>
    <w:family w:val="auto"/>
    <w:pitch w:val="default"/>
    <w:sig w:usb0="00000001" w:usb1="080E0000" w:usb2="00000000" w:usb3="00000000" w:csb0="00040000" w:csb1="00000000"/>
    <w:embedRegular r:id="rId4" w:fontKey="{42082BF0-4834-4A0D-8788-39DC734FF79B}"/>
  </w:font>
  <w:font w:name="方正小标宋简体">
    <w:panose1 w:val="03000509000000000000"/>
    <w:charset w:val="86"/>
    <w:family w:val="auto"/>
    <w:pitch w:val="default"/>
    <w:sig w:usb0="00000001" w:usb1="080E0000" w:usb2="00000000" w:usb3="00000000" w:csb0="00040000" w:csb1="00000000"/>
    <w:embedRegular r:id="rId5" w:fontKey="{D30B9D0B-2DAC-4CD6-B86C-2F3E62A5735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26AD0"/>
    <w:multiLevelType w:val="singleLevel"/>
    <w:tmpl w:val="23826AD0"/>
    <w:lvl w:ilvl="0" w:tentative="0">
      <w:start w:val="3"/>
      <w:numFmt w:val="chineseCounting"/>
      <w:suff w:val="nothing"/>
      <w:lvlText w:val="（%1）"/>
      <w:lvlJc w:val="left"/>
      <w:rPr>
        <w:rFonts w:hint="eastAsia"/>
      </w:rPr>
    </w:lvl>
  </w:abstractNum>
  <w:abstractNum w:abstractNumId="1">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83B50"/>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A002BCE"/>
    <w:rsid w:val="0A5847B8"/>
    <w:rsid w:val="0AA10A64"/>
    <w:rsid w:val="0AAA2B3A"/>
    <w:rsid w:val="0BBE3A30"/>
    <w:rsid w:val="0BD10723"/>
    <w:rsid w:val="0C0A3890"/>
    <w:rsid w:val="0C82214A"/>
    <w:rsid w:val="0CC90B55"/>
    <w:rsid w:val="0CF63E15"/>
    <w:rsid w:val="0D4639D6"/>
    <w:rsid w:val="0D7C008D"/>
    <w:rsid w:val="0DA06897"/>
    <w:rsid w:val="0DF462ED"/>
    <w:rsid w:val="0DF90060"/>
    <w:rsid w:val="0E19564B"/>
    <w:rsid w:val="0E3E5A73"/>
    <w:rsid w:val="0E3F552E"/>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4D4368"/>
    <w:rsid w:val="195A2D50"/>
    <w:rsid w:val="196B6F54"/>
    <w:rsid w:val="19CD71FA"/>
    <w:rsid w:val="19E605C7"/>
    <w:rsid w:val="1A48253C"/>
    <w:rsid w:val="1A94413A"/>
    <w:rsid w:val="1AC02064"/>
    <w:rsid w:val="1AF776D6"/>
    <w:rsid w:val="1B0B2AA5"/>
    <w:rsid w:val="1B334486"/>
    <w:rsid w:val="1B9068E9"/>
    <w:rsid w:val="1BDF6BC8"/>
    <w:rsid w:val="1C2C3D72"/>
    <w:rsid w:val="1C535707"/>
    <w:rsid w:val="1C580E62"/>
    <w:rsid w:val="1C975E00"/>
    <w:rsid w:val="1CDB6BE8"/>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E83AFC"/>
    <w:rsid w:val="21F711A6"/>
    <w:rsid w:val="22460F43"/>
    <w:rsid w:val="22612BC4"/>
    <w:rsid w:val="2297354C"/>
    <w:rsid w:val="22DD16D2"/>
    <w:rsid w:val="22F7E8FF"/>
    <w:rsid w:val="234C0C7F"/>
    <w:rsid w:val="23950905"/>
    <w:rsid w:val="23A67EEB"/>
    <w:rsid w:val="23F46FD7"/>
    <w:rsid w:val="24283899"/>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8DD3F57"/>
    <w:rsid w:val="390E6F8C"/>
    <w:rsid w:val="39131F2C"/>
    <w:rsid w:val="39374DDA"/>
    <w:rsid w:val="393C614A"/>
    <w:rsid w:val="39411EEC"/>
    <w:rsid w:val="39744940"/>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7D85F40"/>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D7665F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DF3B64"/>
    <w:rsid w:val="52EF2BDF"/>
    <w:rsid w:val="535B753F"/>
    <w:rsid w:val="535F3A8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B708B6"/>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2F10A5"/>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0B5EB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81BF1"/>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4FA627A"/>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B25E17"/>
    <w:rsid w:val="79D42C0A"/>
    <w:rsid w:val="79FFF26D"/>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Default"/>
    <w:next w:val="25"/>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5">
    <w:name w:val="_Style 1"/>
    <w:basedOn w:val="1"/>
    <w:next w:val="1"/>
    <w:qFormat/>
    <w:uiPriority w:val="0"/>
    <w:pPr>
      <w:pBdr>
        <w:top w:val="single" w:color="auto" w:sz="6" w:space="1"/>
      </w:pBdr>
      <w:jc w:val="center"/>
    </w:pPr>
    <w:rPr>
      <w:rFonts w:ascii="Arial" w:eastAsia="宋体"/>
      <w:vanish/>
      <w:sz w:val="16"/>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37a42d6b-6c02-4d03-9f13-800f25f70b63</errorID>
      <errorWord>高度重视</errorWord>
      <group>L1_AI</group>
      <groupName>深度校对</groupName>
      <ability>L2_AI_Grammar</ability>
      <abilityName>语法纠错</abilityName>
      <candidateList>
        <item>的高度重视</item>
      </candidateList>
      <explain/>
      <paraID>3974C46A</paraID>
      <start>30</start>
      <end>35</end>
      <status>modified</status>
      <modifiedWord>的高度重视</modifiedWord>
      <trackRevisions>false</trackRevisions>
    </reviewItem>
    <reviewItem>
      <errorID>0fc770d4-195b-4929-9feb-ed00ccf08788</errorID>
      <errorWord>“良”</errorWord>
      <group>L1_AI</group>
      <groupName>深度校对</groupName>
      <ability>L2_AI_Punc</ability>
      <abilityName>标点纠错</abilityName>
      <candidateList>
        <item>‘良’</item>
      </candidateList>
      <explain/>
      <paraID>3974C46A</paraID>
      <start>157</start>
      <end>160</end>
      <status>modified</status>
      <modifiedWord>‘良’</modifiedWord>
      <trackRevisions>false</trackRevisions>
    </reviewItem>
    <reviewItem>
      <errorID>e62d93b5-7dc8-45aa-9ac1-0785bd3f5ce0</errorID>
      <errorWord>秉承</errorWord>
      <group>L1_AI</group>
      <groupName>深度校对</groupName>
      <ability>L2_AI_Grammar</ability>
      <abilityName>语法纠错</abilityName>
      <candidateList>
        <item>我局秉承</item>
      </candidateList>
      <explain/>
      <paraID>3974C46A</paraID>
      <start>161</start>
      <end>165</end>
      <status>modified</status>
      <modifiedWord>我局秉承</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322e6c-a2f1-4e32-b707-b08a9eb43c2a}">
  <ds:schemaRefs/>
</ds:datastoreItem>
</file>

<file path=docProps/app.xml><?xml version="1.0" encoding="utf-8"?>
<Properties xmlns="http://schemas.openxmlformats.org/officeDocument/2006/extended-properties" xmlns:vt="http://schemas.openxmlformats.org/officeDocument/2006/docPropsVTypes">
  <Company>Microsoft</Company>
  <Pages>16</Pages>
  <Words>7158</Words>
  <Characters>7742</Characters>
  <Lines>1</Lines>
  <Paragraphs>1</Paragraphs>
  <TotalTime>6</TotalTime>
  <ScaleCrop>false</ScaleCrop>
  <LinksUpToDate>false</LinksUpToDate>
  <CharactersWithSpaces>7762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