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2314"/>
      <w:bookmarkStart w:id="1" w:name="_Toc29524"/>
      <w:bookmarkStart w:id="2" w:name="_Toc14462_WPSOffice_Level1"/>
    </w:p>
    <w:p w14:paraId="7DC37AA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6FEA07DF">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1CB03E5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04962EF1">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1FFB3EA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2437AA33">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泸财绩〔2025〕3</w:t>
      </w:r>
      <w:r>
        <w:rPr>
          <w:rFonts w:hint="default" w:ascii="Times New Roman" w:hAnsi="Times New Roman" w:cs="Times New Roman"/>
          <w:sz w:val="32"/>
          <w:szCs w:val="32"/>
          <w:highlight w:val="none"/>
          <w:lang w:val="en-US" w:eastAsia="zh-CN"/>
        </w:rPr>
        <w:t>7</w:t>
      </w:r>
      <w:r>
        <w:rPr>
          <w:rFonts w:hint="default" w:ascii="Times New Roman" w:hAnsi="Times New Roman" w:cs="Times New Roman"/>
          <w:sz w:val="32"/>
          <w:szCs w:val="32"/>
          <w:highlight w:val="none"/>
        </w:rPr>
        <w:t>号</w:t>
      </w:r>
    </w:p>
    <w:p w14:paraId="5BCFF582">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5B33A297">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1DA9DDBB">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CN"/>
        </w:rPr>
        <w:t>泸定县科学技术协会</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18"/>
        <w:keepNext w:val="0"/>
        <w:keepLines w:val="0"/>
        <w:pageBreakBefore w:val="0"/>
        <w:kinsoku/>
        <w:wordWrap/>
        <w:overflowPunct/>
        <w:topLinePunct w:val="0"/>
        <w:autoSpaceDE/>
        <w:autoSpaceDN/>
        <w:bidi w:val="0"/>
        <w:spacing w:after="0" w:line="600" w:lineRule="exact"/>
        <w:ind w:left="0" w:firstLine="560"/>
        <w:rPr>
          <w:rFonts w:hint="default" w:ascii="Times New Roman" w:hAnsi="Times New Roman" w:eastAsia="仿宋" w:cs="Times New Roman"/>
          <w:color w:val="auto"/>
          <w:sz w:val="32"/>
          <w:szCs w:val="32"/>
          <w:highlight w:val="none"/>
          <w:lang w:val="fr-FR"/>
        </w:rPr>
      </w:pPr>
    </w:p>
    <w:p w14:paraId="0323099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textAlignment w:val="auto"/>
        <w:rPr>
          <w:rFonts w:hint="default" w:ascii="Times New Roman" w:hAnsi="Times New Roman" w:eastAsia="方正仿宋_GB2312" w:cs="Times New Roman"/>
          <w:color w:val="auto"/>
          <w:sz w:val="32"/>
          <w:szCs w:val="32"/>
          <w:highlight w:val="none"/>
          <w:lang w:val="fr-FR" w:eastAsia="zh-CN"/>
        </w:rPr>
      </w:pPr>
      <w:bookmarkStart w:id="4" w:name="_Toc6252"/>
      <w:bookmarkStart w:id="5" w:name="_Toc8938"/>
      <w:bookmarkStart w:id="6" w:name="_Toc26210"/>
      <w:r>
        <w:rPr>
          <w:rFonts w:hint="default" w:ascii="Times New Roman" w:hAnsi="Times New Roman" w:eastAsia="方正仿宋_GB2312" w:cs="Times New Roman"/>
          <w:color w:val="auto"/>
          <w:sz w:val="32"/>
          <w:szCs w:val="32"/>
          <w:highlight w:val="none"/>
          <w:lang w:val="fr-FR" w:eastAsia="zh-CN"/>
        </w:rPr>
        <w:t>泸定县科学技术协会：</w:t>
      </w:r>
    </w:p>
    <w:p w14:paraId="50FB6A3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泸定县科学技术协会</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泸定县科学技术协会</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泸定县科学技术协会</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8555"/>
      <w:bookmarkStart w:id="8" w:name="_Toc12185"/>
      <w:bookmarkStart w:id="9"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26009"/>
      <w:bookmarkStart w:id="11" w:name="_Toc799907804"/>
      <w:bookmarkStart w:id="12" w:name="_Toc4351"/>
      <w:bookmarkStart w:id="13" w:name="_Toc12546"/>
      <w:bookmarkStart w:id="14" w:name="_Toc27571"/>
      <w:bookmarkStart w:id="15" w:name="_Toc18579"/>
      <w:bookmarkStart w:id="16" w:name="_Toc10147"/>
      <w:bookmarkStart w:id="17" w:name="_Toc15220"/>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30550"/>
      <w:bookmarkStart w:id="19" w:name="_Toc16549"/>
      <w:bookmarkStart w:id="20" w:name="_Toc109483834"/>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419097264"/>
      <w:bookmarkStart w:id="22" w:name="_Toc7513"/>
      <w:bookmarkStart w:id="23" w:name="_Toc24161"/>
      <w:bookmarkStart w:id="24" w:name="_Toc19098"/>
      <w:bookmarkStart w:id="25" w:name="_Toc2337"/>
      <w:bookmarkStart w:id="26" w:name="_Toc20865"/>
      <w:bookmarkStart w:id="27" w:name="_Toc18535"/>
      <w:bookmarkStart w:id="28" w:name="_Toc11769"/>
      <w:r>
        <w:rPr>
          <w:rFonts w:hint="default" w:ascii="Times New Roman" w:hAnsi="Times New Roman" w:eastAsia="方正楷体简体" w:cs="Times New Roman"/>
          <w:color w:val="auto"/>
          <w:kern w:val="2"/>
          <w:sz w:val="32"/>
          <w:szCs w:val="32"/>
          <w:highlight w:val="none"/>
          <w:shd w:val="clear"/>
          <w:lang w:val="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fr-FR" w:eastAsia="zh-CN"/>
        </w:rPr>
        <w:t>泸定县科学技术协会</w:t>
      </w:r>
      <w:r>
        <w:rPr>
          <w:rFonts w:hint="default" w:ascii="Times New Roman" w:hAnsi="Times New Roman" w:eastAsia="方正仿宋_GB2312" w:cs="Times New Roman"/>
          <w:color w:val="auto"/>
          <w:sz w:val="32"/>
          <w:szCs w:val="32"/>
          <w:highlight w:val="none"/>
          <w:lang w:val="en-US" w:eastAsia="zh-CN"/>
        </w:rPr>
        <w:t>（以下简称县科协）</w:t>
      </w:r>
      <w:r>
        <w:rPr>
          <w:rFonts w:hint="default" w:ascii="Times New Roman" w:hAnsi="Times New Roman" w:eastAsia="方正仿宋_GB2312" w:cs="Times New Roman"/>
          <w:color w:val="auto"/>
          <w:sz w:val="32"/>
          <w:szCs w:val="32"/>
          <w:highlight w:val="none"/>
          <w:lang w:val="fr-FR" w:eastAsia="zh-CN"/>
        </w:rPr>
        <w:t>，属财政补助（收支统管、全额保障）的一级预算单位，机构性质：</w:t>
      </w:r>
      <w:r>
        <w:rPr>
          <w:rFonts w:hint="default" w:ascii="Times New Roman" w:hAnsi="Times New Roman" w:eastAsia="方正仿宋_GB2312" w:cs="Times New Roman"/>
          <w:color w:val="auto"/>
          <w:sz w:val="32"/>
          <w:szCs w:val="32"/>
          <w:highlight w:val="none"/>
          <w:lang w:val="en-US" w:eastAsia="zh-CN"/>
        </w:rPr>
        <w:t>群众团体</w:t>
      </w:r>
      <w:r>
        <w:rPr>
          <w:rFonts w:hint="default" w:ascii="Times New Roman" w:hAnsi="Times New Roman" w:eastAsia="方正仿宋_GB2312" w:cs="Times New Roman"/>
          <w:color w:val="auto"/>
          <w:sz w:val="32"/>
          <w:szCs w:val="32"/>
          <w:highlight w:val="none"/>
          <w:lang w:val="fr-FR" w:eastAsia="zh-CN"/>
        </w:rPr>
        <w:t xml:space="preserve">；单位负责人：强秋明；统一社会信用代码：135133220089812293；单位所在地：四川省甘孜藏族自治州泸定县泸桥镇瑞金路359号。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1278"/>
      <w:bookmarkStart w:id="31" w:name="_Toc31223"/>
      <w:bookmarkStart w:id="32" w:name="_Toc17750"/>
      <w:bookmarkStart w:id="33" w:name="_Toc16904"/>
      <w:bookmarkStart w:id="34" w:name="_Toc28538"/>
      <w:bookmarkStart w:id="35" w:name="_Toc26703"/>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20FA589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（1）内设机构。县科协</w:t>
      </w:r>
      <w:r>
        <w:rPr>
          <w:rFonts w:hint="default" w:ascii="Times New Roman" w:hAnsi="Times New Roman" w:eastAsia="方正仿宋_GB2312" w:cs="Times New Roman"/>
          <w:color w:val="auto"/>
          <w:sz w:val="32"/>
          <w:szCs w:val="32"/>
          <w:highlight w:val="none"/>
          <w:lang w:val="fr-FR" w:eastAsia="zh-CN"/>
        </w:rPr>
        <w:t>是由自然科学、技术科学领域的县级学会、协会、研究会组织的科技工作者的群众组织，是县委、县政府联系科技工作者的桥梁纽带和发展科学技术事业的助手，是发展科学技术事业和推进科普工作的主要社会力量。</w:t>
      </w:r>
      <w:r>
        <w:rPr>
          <w:rFonts w:hint="default" w:ascii="Times New Roman" w:hAnsi="Times New Roman" w:eastAsia="方正仿宋_GB2312" w:cs="Times New Roman"/>
          <w:color w:val="auto"/>
          <w:sz w:val="32"/>
          <w:szCs w:val="32"/>
          <w:highlight w:val="none"/>
          <w:lang w:val="en-US" w:eastAsia="zh-CN"/>
        </w:rPr>
        <w:t>无二级预算单位。</w:t>
      </w:r>
    </w:p>
    <w:p w14:paraId="7997714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（2）人员概况。截至2024年末，县科协编制3名，其中：参公编制3人，年末实有人数2人。</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16978"/>
      <w:bookmarkStart w:id="37" w:name="_Toc568184988"/>
      <w:bookmarkStart w:id="38" w:name="_Toc16740"/>
      <w:bookmarkStart w:id="39" w:name="_Toc12241"/>
      <w:bookmarkStart w:id="40" w:name="_Toc21223"/>
      <w:bookmarkStart w:id="41" w:name="_Toc22604"/>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10DEF07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fr-FR" w:eastAsia="zh-CN"/>
        </w:rPr>
      </w:pPr>
      <w:bookmarkStart w:id="42" w:name="_Toc109483836"/>
      <w:bookmarkStart w:id="43" w:name="_Toc33"/>
      <w:r>
        <w:rPr>
          <w:rFonts w:hint="default" w:ascii="Times New Roman" w:hAnsi="Times New Roman" w:eastAsia="方正仿宋_GB2312" w:cs="Times New Roman"/>
          <w:color w:val="auto"/>
          <w:sz w:val="32"/>
          <w:szCs w:val="32"/>
          <w:highlight w:val="none"/>
          <w:lang w:val="fr-FR" w:eastAsia="zh-CN"/>
        </w:rPr>
        <w:t>县科协的主要职责是：</w:t>
      </w:r>
    </w:p>
    <w:p w14:paraId="115730A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开展学术交流，活跃学术思想，促进学科发展，推动决策的科学化和民主化；普及科学技术知识，推广先进技术，开展青少年科技教育活动；维护科技工作者的合法权益，为科技团体和科技工作者服务；表彰和奖励科技工作者，促进科技人才的成长和尊重知识、尊重人才社会风气的形成。开展继续教育和技术培训工作，进行技术咨询服务，推动科技成果向现实生产力转化。开展国际和港、澳、台地区民间科技交流和合作，促进对外开放，推进祖国和平统一。参与科技政策、法规以及科技计划、规划的制定。对直属县级学会、协会、研究会进行管理。负责对农村专业技术协会的业务指导。管理审查县级自然科学类学会、协会、研究会，代管</w:t>
      </w:r>
      <w:r>
        <w:rPr>
          <w:rFonts w:hint="eastAsia" w:ascii="Times New Roman" w:hAnsi="Times New Roman" w:eastAsia="方正仿宋_GB2312" w:cs="Times New Roman"/>
          <w:color w:val="auto"/>
          <w:sz w:val="32"/>
          <w:szCs w:val="32"/>
          <w:highlight w:val="none"/>
          <w:lang w:val="fr-FR" w:eastAsia="zh-CN"/>
        </w:rPr>
        <w:t>县级社</w:t>
      </w:r>
      <w:r>
        <w:rPr>
          <w:rFonts w:hint="default" w:ascii="Times New Roman" w:hAnsi="Times New Roman" w:eastAsia="方正仿宋_GB2312" w:cs="Times New Roman"/>
          <w:color w:val="auto"/>
          <w:sz w:val="32"/>
          <w:szCs w:val="32"/>
          <w:highlight w:val="none"/>
          <w:lang w:val="fr-FR" w:eastAsia="zh-CN"/>
        </w:rPr>
        <w:t>会科学社会团体。按照《中国科学技术协会章程》开展工作，履行职责。承担县委、县政府和上级科协机关交办的其他事项。</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zh-CN"/>
        </w:rPr>
      </w:pPr>
      <w:bookmarkStart w:id="44" w:name="_Toc14896"/>
      <w:bookmarkStart w:id="45" w:name="_Toc15163"/>
      <w:bookmarkStart w:id="46" w:name="_Toc5982"/>
      <w:bookmarkStart w:id="47" w:name="_Toc22594"/>
      <w:bookmarkStart w:id="48" w:name="_Toc1218480988"/>
      <w:bookmarkStart w:id="49" w:name="_Toc16871"/>
      <w:bookmarkStart w:id="50" w:name="_Toc26564"/>
      <w:bookmarkStart w:id="51" w:name="_Toc13707"/>
      <w:r>
        <w:rPr>
          <w:rFonts w:hint="default" w:ascii="Times New Roman" w:hAnsi="Times New Roman" w:eastAsia="方正黑体简体" w:cs="Times New Roman"/>
          <w:color w:val="auto"/>
          <w:kern w:val="0"/>
          <w:sz w:val="32"/>
          <w:szCs w:val="32"/>
          <w:highlight w:val="none"/>
          <w:shd w:val="clear" w:color="auto" w:fill="FFFFFF"/>
          <w:lang w:val="zh-CN"/>
        </w:rPr>
        <w:t>二、</w:t>
      </w:r>
      <w:r>
        <w:rPr>
          <w:rFonts w:hint="default" w:ascii="Times New Roman" w:hAnsi="Times New Roman" w:eastAsia="方正黑体简体" w:cs="Times New Roman"/>
          <w:color w:val="auto"/>
          <w:kern w:val="0"/>
          <w:sz w:val="32"/>
          <w:szCs w:val="32"/>
          <w:highlight w:val="none"/>
          <w:shd w:val="clear" w:color="auto" w:fill="FFFFFF"/>
          <w:lang w:val="en-US" w:eastAsia="zh-CN"/>
        </w:rPr>
        <w:t>部门收支</w:t>
      </w:r>
      <w:r>
        <w:rPr>
          <w:rFonts w:hint="default" w:ascii="Times New Roman" w:hAnsi="Times New Roman" w:eastAsia="方正黑体简体" w:cs="Times New Roman"/>
          <w:color w:val="auto"/>
          <w:kern w:val="0"/>
          <w:sz w:val="32"/>
          <w:szCs w:val="32"/>
          <w:highlight w:val="none"/>
          <w:shd w:val="clear" w:color="auto" w:fill="FFFFFF"/>
          <w:lang w:val="zh-CN"/>
        </w:rPr>
        <w:t>情况</w:t>
      </w:r>
      <w:bookmarkEnd w:id="42"/>
      <w:bookmarkEnd w:id="43"/>
      <w:bookmarkEnd w:id="44"/>
      <w:bookmarkEnd w:id="45"/>
      <w:bookmarkEnd w:id="46"/>
      <w:bookmarkEnd w:id="47"/>
      <w:bookmarkEnd w:id="48"/>
      <w:bookmarkEnd w:id="49"/>
      <w:bookmarkEnd w:id="50"/>
      <w:bookmarkEnd w:id="51"/>
      <w:bookmarkStart w:id="52" w:name="_Toc109483837"/>
      <w:bookmarkStart w:id="53" w:name="_Toc2659"/>
    </w:p>
    <w:bookmarkEnd w:id="52"/>
    <w:bookmarkEnd w:id="53"/>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54" w:name="_Toc15898"/>
      <w:bookmarkStart w:id="55" w:name="_Toc2374"/>
      <w:bookmarkStart w:id="56" w:name="_Toc11105"/>
      <w:bookmarkStart w:id="57" w:name="_Toc21428"/>
      <w:bookmarkStart w:id="58" w:name="_Toc29180"/>
      <w:bookmarkStart w:id="59" w:name="_Toc1949541301"/>
      <w:bookmarkStart w:id="60" w:name="_Toc25866"/>
      <w:bookmarkStart w:id="61" w:name="_Toc32369"/>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fr-FR"/>
        </w:rPr>
        <w:t>一</w:t>
      </w:r>
      <w:r>
        <w:rPr>
          <w:rFonts w:hint="default" w:ascii="Times New Roman" w:hAnsi="Times New Roman" w:eastAsia="方正楷体简体" w:cs="Times New Roman"/>
          <w:color w:val="auto"/>
          <w:kern w:val="2"/>
          <w:sz w:val="32"/>
          <w:szCs w:val="32"/>
          <w:highlight w:val="none"/>
          <w:shd w:val="clear"/>
          <w:lang w:val="zh-CN"/>
        </w:rPr>
        <w:t>）收入情况</w:t>
      </w:r>
      <w:bookmarkEnd w:id="54"/>
      <w:bookmarkEnd w:id="55"/>
      <w:bookmarkEnd w:id="56"/>
      <w:bookmarkEnd w:id="57"/>
      <w:bookmarkEnd w:id="58"/>
      <w:bookmarkEnd w:id="59"/>
      <w:bookmarkEnd w:id="60"/>
      <w:bookmarkEnd w:id="61"/>
      <w:bookmarkStart w:id="62" w:name="_Toc19132"/>
    </w:p>
    <w:bookmarkEnd w:id="62"/>
    <w:p w14:paraId="412DDDD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bookmarkStart w:id="63" w:name="_Toc21171"/>
      <w:bookmarkStart w:id="64" w:name="_Toc27073"/>
      <w:bookmarkStart w:id="65" w:name="_Toc19326"/>
      <w:bookmarkStart w:id="66" w:name="_Toc17751"/>
      <w:bookmarkStart w:id="67" w:name="_Toc349786989"/>
      <w:bookmarkStart w:id="68" w:name="_Toc109483838"/>
      <w:bookmarkStart w:id="69" w:name="_Toc27782"/>
      <w:r>
        <w:rPr>
          <w:rFonts w:hint="default" w:ascii="Times New Roman" w:hAnsi="Times New Roman" w:eastAsia="方正仿宋_GB2312" w:cs="Times New Roman"/>
          <w:color w:val="auto"/>
          <w:sz w:val="32"/>
          <w:szCs w:val="32"/>
          <w:highlight w:val="none"/>
          <w:lang w:val="en-US" w:eastAsia="zh-CN"/>
        </w:rPr>
        <w:t>年初预算反映，县科协2024年预算收入合计71.13万元，上年结转结余0.00万元，无预算调整。本年收入71.13万元，全部为一般公共预算财政拨款收入。</w:t>
      </w:r>
    </w:p>
    <w:p w14:paraId="001FEF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zh-CN" w:eastAsia="zh"/>
        </w:rPr>
      </w:pPr>
      <w:r>
        <w:rPr>
          <w:rFonts w:hint="default" w:ascii="Times New Roman" w:hAnsi="Times New Roman" w:eastAsia="方正仿宋_GB2312" w:cs="Times New Roman"/>
          <w:color w:val="auto"/>
          <w:sz w:val="32"/>
          <w:szCs w:val="32"/>
          <w:highlight w:val="none"/>
          <w:lang w:val="en-US" w:eastAsia="zh-CN"/>
        </w:rPr>
        <w:t>决算报表反映，县科协2024年决算收入合计81.03万元，全部为一般公共预算财政拨款收入，无年初结转和结余</w:t>
      </w:r>
      <w:r>
        <w:rPr>
          <w:rFonts w:hint="default" w:ascii="Times New Roman" w:hAnsi="Times New Roman" w:eastAsia="方正仿宋_GB2312" w:cs="Times New Roman"/>
          <w:color w:val="auto"/>
          <w:sz w:val="32"/>
          <w:szCs w:val="32"/>
          <w:highlight w:val="none"/>
          <w:lang w:val="zh-CN" w:eastAsia="zh"/>
        </w:rPr>
        <w:t>。</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70" w:name="_Toc16309"/>
      <w:bookmarkStart w:id="71" w:name="_Toc30600"/>
      <w:bookmarkStart w:id="72" w:name="_Toc15130"/>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190EFD1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bookmarkStart w:id="73" w:name="_Toc24721"/>
      <w:bookmarkStart w:id="74" w:name="_Toc18390"/>
      <w:bookmarkStart w:id="75" w:name="_Toc10837"/>
      <w:bookmarkStart w:id="76" w:name="_Toc1457008154"/>
      <w:bookmarkStart w:id="77" w:name="_Toc109483839"/>
      <w:bookmarkStart w:id="78" w:name="_Toc809"/>
      <w:bookmarkStart w:id="79" w:name="_Toc13841"/>
      <w:r>
        <w:rPr>
          <w:rFonts w:hint="default" w:ascii="Times New Roman" w:hAnsi="Times New Roman" w:eastAsia="方正仿宋_GB2312" w:cs="Times New Roman"/>
          <w:color w:val="auto"/>
          <w:sz w:val="32"/>
          <w:szCs w:val="32"/>
          <w:highlight w:val="none"/>
          <w:lang w:val="en-US" w:eastAsia="zh-CN"/>
        </w:rPr>
        <w:t>年初预算反映，县科协2024年预算支出合计81.03万元，无年末结转和结余。本年支出中：基本支出63.13万元（人员经费55.93万元、公用经费7.20万元），项目支出8.00万元。</w:t>
      </w:r>
    </w:p>
    <w:p w14:paraId="70A2FEF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决算报表反映，县科协2024年决算支出合计81.03万元，均为本年支出，无年末结转和结余。本年支出中：基本支出68.03万元（人员经费63.67万元、公用经费4.35万元），项目支出13.00万元。</w:t>
      </w:r>
    </w:p>
    <w:p w14:paraId="03B600DB">
      <w:pPr>
        <w:spacing w:line="360" w:lineRule="auto"/>
        <w:ind w:firstLine="640"/>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决算报表反映，县科协2024年末无结余分配和结转结余。</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7705"/>
      <w:bookmarkStart w:id="81" w:name="_Toc16353"/>
      <w:bookmarkStart w:id="82" w:name="_Toc10974"/>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22633"/>
      <w:bookmarkStart w:id="84" w:name="_Toc19300"/>
      <w:bookmarkStart w:id="85" w:name="_Toc28011"/>
      <w:bookmarkStart w:id="86" w:name="_Toc3573"/>
      <w:bookmarkStart w:id="87" w:name="_Toc29501"/>
      <w:bookmarkStart w:id="88" w:name="_Toc1418"/>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3B7BFA3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bookmarkStart w:id="89" w:name="_Toc11959"/>
      <w:bookmarkStart w:id="90" w:name="_Toc132"/>
      <w:bookmarkStart w:id="91" w:name="_Toc24652"/>
      <w:r>
        <w:rPr>
          <w:rFonts w:hint="default" w:ascii="Times New Roman" w:hAnsi="Times New Roman" w:eastAsia="方正仿宋_GB2312" w:cs="Times New Roman"/>
          <w:color w:val="auto"/>
          <w:sz w:val="32"/>
          <w:szCs w:val="32"/>
          <w:highlight w:val="none"/>
          <w:lang w:val="en-US" w:eastAsia="zh-CN"/>
        </w:rPr>
        <w:t>开展形式多样、内容丰富的科学技术推广普及活动10次。将现代科学技术和科技知识送到群众手中，在提升城乡居民生产技能和品质的同时有效地提升城乡居民科学素养，</w:t>
      </w:r>
      <w:r>
        <w:rPr>
          <w:rFonts w:hint="eastAsia" w:ascii="Times New Roman" w:hAnsi="Times New Roman" w:eastAsia="方正仿宋_GB2312" w:cs="Times New Roman"/>
          <w:color w:val="auto"/>
          <w:sz w:val="32"/>
          <w:szCs w:val="32"/>
          <w:highlight w:val="none"/>
          <w:lang w:val="en-US" w:eastAsia="zh-CN"/>
        </w:rPr>
        <w:t>使学</w:t>
      </w:r>
      <w:r>
        <w:rPr>
          <w:rFonts w:hint="default" w:ascii="Times New Roman" w:hAnsi="Times New Roman" w:eastAsia="方正仿宋_GB2312" w:cs="Times New Roman"/>
          <w:color w:val="auto"/>
          <w:sz w:val="32"/>
          <w:szCs w:val="32"/>
          <w:highlight w:val="none"/>
          <w:lang w:val="en-US" w:eastAsia="zh-CN"/>
        </w:rPr>
        <w:t>科学、用科学、爱科学的氛围日益浓厚，促进社会经济和谐健康发展。</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92" w:name="_Toc30825"/>
      <w:bookmarkStart w:id="93" w:name="_Toc6926"/>
      <w:bookmarkStart w:id="94" w:name="_Toc4650"/>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bookmarkStart w:id="95" w:name="_Toc24081"/>
      <w:bookmarkStart w:id="96" w:name="_Toc17536"/>
      <w:bookmarkStart w:id="97" w:name="_Toc6491"/>
      <w:r>
        <w:rPr>
          <w:rFonts w:hint="default" w:ascii="Times New Roman" w:hAnsi="Times New Roman" w:eastAsia="方正仿宋_GB2312" w:cs="Times New Roman"/>
          <w:color w:val="auto"/>
          <w:sz w:val="32"/>
          <w:szCs w:val="32"/>
          <w:highlight w:val="none"/>
          <w:lang w:val="en-US" w:eastAsia="zh-CN"/>
        </w:rPr>
        <w:t>县科协2024年认真落实中央、省、州纪委全会部署安排，重点完成以下工作任务：</w:t>
      </w:r>
    </w:p>
    <w:p w14:paraId="244AF3E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一是开展好科普活动；二是推进青少年科学素质教育；三是拓展科技创新在生产一线的应用；四是推广应用天府科技云。</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98" w:name="_Toc21154"/>
      <w:bookmarkStart w:id="99" w:name="_Toc13068"/>
      <w:bookmarkStart w:id="100" w:name="_Toc32189"/>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11694"/>
      <w:bookmarkStart w:id="102" w:name="_Toc24977"/>
      <w:bookmarkStart w:id="103" w:name="_Toc24619"/>
      <w:bookmarkStart w:id="104" w:name="_Toc28828"/>
      <w:bookmarkStart w:id="105" w:name="_Toc29571"/>
      <w:bookmarkStart w:id="106" w:name="_Toc7521"/>
      <w:bookmarkStart w:id="107" w:name="_Toc428273082"/>
      <w:bookmarkStart w:id="108" w:name="_Toc8903"/>
      <w:bookmarkStart w:id="109" w:name="_Toc27305"/>
      <w:bookmarkStart w:id="110" w:name="_Toc4199"/>
      <w:bookmarkStart w:id="111" w:name="_Toc109483840"/>
      <w:r>
        <w:rPr>
          <w:rFonts w:hint="default" w:ascii="Times New Roman" w:hAnsi="Times New Roman" w:eastAsia="方正楷体简体" w:cs="Times New Roman"/>
          <w:color w:val="auto"/>
          <w:kern w:val="2"/>
          <w:sz w:val="32"/>
          <w:szCs w:val="32"/>
          <w:highlight w:val="none"/>
          <w:shd w:val="clear"/>
          <w:lang w:val="zh-CN"/>
        </w:rPr>
        <w:t>（一）</w:t>
      </w:r>
      <w:r>
        <w:rPr>
          <w:rFonts w:hint="default" w:ascii="Times New Roman" w:hAnsi="Times New Roman" w:eastAsia="方正楷体简体" w:cs="Times New Roman"/>
          <w:color w:val="auto"/>
          <w:kern w:val="2"/>
          <w:sz w:val="32"/>
          <w:szCs w:val="32"/>
          <w:highlight w:val="none"/>
          <w:shd w:val="clear"/>
          <w:lang w:val="zh-CN" w:eastAsia="zh-CN"/>
        </w:rPr>
        <w:t>绩效评价实施过程</w:t>
      </w:r>
      <w:bookmarkEnd w:id="101"/>
      <w:bookmarkEnd w:id="102"/>
      <w:bookmarkEnd w:id="103"/>
      <w:bookmarkEnd w:id="104"/>
      <w:bookmarkEnd w:id="105"/>
      <w:bookmarkEnd w:id="106"/>
    </w:p>
    <w:p w14:paraId="3E043EB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评价小组按照评价日程安排，对</w:t>
      </w:r>
      <w:r>
        <w:rPr>
          <w:rFonts w:hint="default" w:ascii="Times New Roman" w:hAnsi="Times New Roman" w:eastAsia="方正仿宋_GB2312" w:cs="Times New Roman"/>
          <w:color w:val="auto"/>
          <w:sz w:val="32"/>
          <w:szCs w:val="32"/>
          <w:highlight w:val="none"/>
          <w:lang w:val="en-US" w:eastAsia="zh-CN"/>
        </w:rPr>
        <w:t>县科协</w:t>
      </w:r>
      <w:r>
        <w:rPr>
          <w:rFonts w:hint="default" w:ascii="Times New Roman" w:hAnsi="Times New Roman" w:eastAsia="方正仿宋_GB2312" w:cs="Times New Roman"/>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1.对相关资料进行研读，对整体评价有基本的把握，归纳出进一步评价所需的信息供下一步取数参考。</w:t>
      </w:r>
    </w:p>
    <w:p w14:paraId="5D575BB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2.集中对各个评价指标逐一进行分析，以保证取数的准确性。</w:t>
      </w:r>
    </w:p>
    <w:p w14:paraId="777A176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3.评价小组汇总分析评价过程中发现的问题并对存在问题进行讨论，根据取得的数据分别计算各评价指标所得分数，形成评价结果。</w:t>
      </w:r>
    </w:p>
    <w:p w14:paraId="3B0DF91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4.根据评价结果，撰写评价报告。</w:t>
      </w:r>
    </w:p>
    <w:p w14:paraId="0280D38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5.与绩效评价相关者沟通，完善并形成绩效评价报告终稿。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12" w:name="_Toc3794"/>
      <w:bookmarkStart w:id="113" w:name="_Toc23900"/>
      <w:bookmarkStart w:id="114" w:name="_Toc30977"/>
      <w:bookmarkStart w:id="115" w:name="_Toc16416"/>
      <w:bookmarkStart w:id="116" w:name="_Toc4385"/>
      <w:bookmarkStart w:id="117" w:name="_Toc24380"/>
      <w:r>
        <w:rPr>
          <w:rFonts w:hint="default" w:ascii="Times New Roman" w:hAnsi="Times New Roman" w:eastAsia="方正楷体简体" w:cs="Times New Roman"/>
          <w:color w:val="auto"/>
          <w:kern w:val="2"/>
          <w:sz w:val="32"/>
          <w:szCs w:val="32"/>
          <w:highlight w:val="none"/>
          <w:shd w:val="clear"/>
          <w:lang w:val="zh-CN" w:eastAsia="zh-CN"/>
        </w:rPr>
        <w:t>（</w:t>
      </w:r>
      <w:r>
        <w:rPr>
          <w:rFonts w:hint="default" w:ascii="Times New Roman" w:hAnsi="Times New Roman" w:eastAsia="方正楷体简体" w:cs="Times New Roman"/>
          <w:color w:val="auto"/>
          <w:kern w:val="2"/>
          <w:sz w:val="32"/>
          <w:szCs w:val="32"/>
          <w:highlight w:val="none"/>
          <w:shd w:val="clear"/>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4年度，县科协</w:t>
      </w:r>
      <w:r>
        <w:rPr>
          <w:rFonts w:hint="default" w:ascii="Times New Roman" w:hAnsi="Times New Roman" w:eastAsia="方正仿宋_GB2312" w:cs="Times New Roman"/>
          <w:color w:val="auto"/>
          <w:sz w:val="32"/>
          <w:szCs w:val="32"/>
          <w:highlight w:val="none"/>
          <w:lang w:val="en-US" w:eastAsia="zh"/>
        </w:rPr>
        <w:t>坚持以习近平新时代中国特色社会主义思想为指导，深入学习贯彻党的二十大精神和习近平总书记来川视察重要指示精神，认真落实中央、省、州纪委全会部署安排，积极主动围绕中心</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服务大局，坚定不移正风肃纪反腐，扎实推进主题教育和教育整顿，精准聚焦</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六个关键点</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，纵深推进纪检监察工作高质量发展</w:t>
      </w:r>
      <w:r>
        <w:rPr>
          <w:rFonts w:hint="eastAsia" w:ascii="Times New Roman" w:hAnsi="Times New Roman" w:eastAsia="方正仿宋_GB2312" w:cs="Times New Roman"/>
          <w:color w:val="auto"/>
          <w:sz w:val="32"/>
          <w:szCs w:val="32"/>
          <w:highlight w:val="none"/>
          <w:lang w:val="en-US" w:eastAsia="zh-CN"/>
        </w:rPr>
        <w:t>，有力</w:t>
      </w:r>
      <w:r>
        <w:rPr>
          <w:rFonts w:hint="default" w:ascii="Times New Roman" w:hAnsi="Times New Roman" w:eastAsia="方正仿宋_GB2312" w:cs="Times New Roman"/>
          <w:color w:val="auto"/>
          <w:sz w:val="32"/>
          <w:szCs w:val="32"/>
          <w:highlight w:val="none"/>
          <w:lang w:val="en-US" w:eastAsia="zh"/>
        </w:rPr>
        <w:t>助推泸定政治生态实现</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三大变化</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目标</w:t>
      </w:r>
      <w:r>
        <w:rPr>
          <w:rFonts w:hint="eastAsia"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CN"/>
        </w:rPr>
        <w:t>县科协在维持部门运转的基础上，完成了部门职责范围内的各项工作，部门履职情况较好。</w:t>
      </w:r>
    </w:p>
    <w:p w14:paraId="38EC819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按照设定的评价指标体系，通过对县科协</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4年度部门整体支出情况在预算编制、预算执行、完成结果、信息公开、整改反馈、自评质量方面进行综合评价，</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4年度县科协部门整体支出绩效评价指标分值100.00分，得分94.97分。详见下表：</w:t>
      </w:r>
    </w:p>
    <w:p w14:paraId="586E1AED">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县科协</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9"/>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89"/>
        <w:gridCol w:w="2293"/>
        <w:gridCol w:w="1318"/>
        <w:gridCol w:w="621"/>
        <w:gridCol w:w="959"/>
        <w:gridCol w:w="831"/>
      </w:tblGrid>
      <w:tr w14:paraId="46C05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8D1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13729"/>
            <w:bookmarkStart w:id="119" w:name="_Toc4242"/>
            <w:bookmarkStart w:id="120" w:name="_Toc14707"/>
            <w:bookmarkStart w:id="121" w:name="_Toc16394"/>
            <w:bookmarkStart w:id="122" w:name="_Toc26985"/>
            <w:bookmarkStart w:id="123" w:name="_Toc109483841"/>
            <w:bookmarkStart w:id="124" w:name="_Toc1687911260"/>
            <w:bookmarkStart w:id="125" w:name="_Toc24818"/>
            <w:bookmarkStart w:id="126" w:name="_Toc31945"/>
            <w:bookmarkStart w:id="127" w:name="_Toc28266"/>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908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D9D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6C8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D54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96F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1C52B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D2BC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55DB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626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B2A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BF0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C72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w:t>
            </w:r>
          </w:p>
        </w:tc>
      </w:tr>
      <w:tr w14:paraId="29BAE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C69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A7C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FE1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7CE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9E9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2ED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5DE90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10F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CC73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4A2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689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321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0.03</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060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3.97</w:t>
            </w:r>
          </w:p>
        </w:tc>
      </w:tr>
      <w:tr w14:paraId="5D366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DFE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9E2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C2C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D66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03A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664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72C61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90D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B10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03A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109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151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6BC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75723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876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6A6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3A1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DFE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617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D45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0BDD2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DBC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CB8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EBC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5CB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545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370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19</w:t>
            </w:r>
          </w:p>
        </w:tc>
      </w:tr>
      <w:tr w14:paraId="3E9E8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A94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0CB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3BB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1CA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F4E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D28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r>
      <w:tr w14:paraId="588E9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4652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FC8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D22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FCE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0CE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616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r>
      <w:tr w14:paraId="52451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1C4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E60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997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A00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41A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8ED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34122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ABC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E74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72C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1C1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951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1BC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3E572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13C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66A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361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8C8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C7D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6FE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46F61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5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063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3C1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7A7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5.03</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C03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94.97</w:t>
            </w:r>
          </w:p>
        </w:tc>
      </w:tr>
    </w:tbl>
    <w:p w14:paraId="7CAEDB5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县科协</w:t>
      </w:r>
      <w:r>
        <w:rPr>
          <w:rFonts w:hint="default" w:ascii="Times New Roman" w:hAnsi="Times New Roman" w:eastAsia="方正仿宋_GB2312" w:cs="Times New Roman"/>
          <w:color w:val="auto"/>
          <w:sz w:val="32"/>
          <w:szCs w:val="32"/>
          <w:highlight w:val="none"/>
          <w:lang w:val="en-US" w:eastAsia="zh"/>
        </w:rPr>
        <w:t>认真落实中央、省、州纪委全会部署安排，积极主动围绕中心</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服务大局，坚定不移正风肃纪反腐，扎实推进主题教育和教育整顿</w:t>
      </w:r>
      <w:r>
        <w:rPr>
          <w:rFonts w:hint="default" w:ascii="Times New Roman" w:hAnsi="Times New Roman" w:eastAsia="方正仿宋_GB2312" w:cs="Times New Roman"/>
          <w:color w:val="auto"/>
          <w:sz w:val="32"/>
          <w:szCs w:val="32"/>
          <w:highlight w:val="none"/>
          <w:lang w:val="en-US" w:eastAsia="zh-CN"/>
        </w:rPr>
        <w:t>。通过评价组对县科协进行事后评价，最终县科协绩效等级为“优”。秉承科学公正、统筹兼顾、激励约束和公开透明的财政绩效原则。</w:t>
      </w:r>
      <w:r>
        <w:rPr>
          <w:rFonts w:hint="eastAsia" w:eastAsia="方正仿宋_GB2312" w:cs="Times New Roman"/>
          <w:color w:val="auto"/>
          <w:sz w:val="32"/>
          <w:szCs w:val="32"/>
          <w:highlight w:val="none"/>
          <w:lang w:val="en-US" w:eastAsia="zh-CN"/>
        </w:rPr>
        <w:t>我局</w:t>
      </w:r>
      <w:r>
        <w:rPr>
          <w:rFonts w:hint="default" w:ascii="Times New Roman" w:hAnsi="Times New Roman" w:eastAsia="方正仿宋_GB2312" w:cs="Times New Roman"/>
          <w:color w:val="auto"/>
          <w:sz w:val="32"/>
          <w:szCs w:val="32"/>
          <w:highlight w:val="none"/>
          <w:lang w:val="en-US" w:eastAsia="zh-CN"/>
        </w:rPr>
        <w:t>建议泸定县财政局针对部门预算绩效管理，进一步要求县科协完善绩效目标编制、提高绩效自评质量、加强年初预算编制准确性。</w:t>
      </w:r>
    </w:p>
    <w:p w14:paraId="0651BF7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11390"/>
      <w:bookmarkStart w:id="129" w:name="_Toc6100"/>
      <w:bookmarkStart w:id="130" w:name="_Toc26977"/>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4059A89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科协在泸定县人民政府门户网站公开的2024年度部门预算和绩效目标，制定了年度部门及项目整体支出绩效目标，绩效目标涵盖数量、质量、时效、效益等指标，但存在整体绩效目标不够细化、指标设置不合理、部门整体绩效自评不严谨等情况。扣除2.00分。</w:t>
      </w:r>
    </w:p>
    <w:p w14:paraId="4392A5A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本项分值为10.00分，扣2.00分，得分为8.00分。</w:t>
      </w:r>
    </w:p>
    <w:p w14:paraId="051439E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692F37B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科协提供的2024年度年初预算项目绩效目标申报表及项目完成资料，县科协整体涉及3个数量指标、1个质量指标、1个时效指标、1个成本指标、2个效益指标、1个满意度指标。根据现场评价情况，实际完成3个数量指标，完成率100%；实际完成1个成本指标，完成率100%。</w:t>
      </w:r>
    </w:p>
    <w:p w14:paraId="35DC9D7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本项分值为5.00分，扣0.00分，得分为5.00分。</w:t>
      </w:r>
    </w:p>
    <w:p w14:paraId="07A8489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6916126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科协1—6月预算数84.51万元，实际执行数39.92万元，进度为47.23%；1—9月预算数84.51万元，实际执行数55.52万元，进度为65.70%；1—11月预算数84.51万元，实际执行数75.87万元，进度为89.77%。</w:t>
      </w:r>
    </w:p>
    <w:p w14:paraId="453EC0F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上述三个阶段中，根据可执行指标执行情况表被评价单位1-6月、1-11月实际支出进度均已达到目标进度，1-9月实际支出进度未达到目标进度。</w:t>
      </w:r>
    </w:p>
    <w:p w14:paraId="51F3DF0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本项分值为4.00分，扣0.03分，得分为3.97分。</w:t>
      </w:r>
    </w:p>
    <w:p w14:paraId="22956C4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6C6EECA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2024年县科协预算项目2个，根据被评价单位提供的可执行指标执行情况表，预算调整项目1个，已随预算调整同步完成绩效目标调整。</w:t>
      </w:r>
    </w:p>
    <w:p w14:paraId="67B9BB7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756E4F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7D6D253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2024年，县财政局对县科协开展绩效运行监控，未提出预算收回的意见，根据《泸定县科学技术协会部门绩效运行监控分析报告》及部门整体支出绩效监控情况表，主要存在“个别项目支付进度缓慢”的问题。                       </w:t>
      </w:r>
    </w:p>
    <w:p w14:paraId="3F0CF77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8F3F60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（3）完成效率</w:t>
      </w:r>
    </w:p>
    <w:p w14:paraId="6AD9472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二级指标“完成效率”下设一个三级指标为：预算结余率。</w:t>
      </w:r>
    </w:p>
    <w:p w14:paraId="73B5FAF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根据县科协2024年度决算报表与可执行指标执行情况表被评价单位2024年度预算项目共计2个，部门预算项目资金结余率小于10%有2个，大于10%有0个。</w:t>
      </w:r>
    </w:p>
    <w:p w14:paraId="4A928BD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本项分值为5.00分，扣0.00分，得分为5.00分。</w:t>
      </w:r>
    </w:p>
    <w:p w14:paraId="38BE5ED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2.部门预算项目绩效管理情况</w:t>
      </w:r>
    </w:p>
    <w:p w14:paraId="5AC6685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（1）完成效果</w:t>
      </w:r>
    </w:p>
    <w:p w14:paraId="2B68E03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科协部门预算项目共2个，涉及预算资金13.00万元，评价组抽取项目的绩效评价指标体系均采用《2025年泸定县部门整体支出绩效评价指标体系》，抽取的项目为科普活动，抽取项目预算资金8.00万元。经评价小组复核评分，抽查的预算项目平均得分95.00分。</w:t>
      </w:r>
    </w:p>
    <w:p w14:paraId="4ADF518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本项分值为20.00分，扣1.00分，得分为19.00分。</w:t>
      </w:r>
    </w:p>
    <w:p w14:paraId="3B1C687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3.专项预算绩效管理情况</w:t>
      </w:r>
    </w:p>
    <w:p w14:paraId="19A5BE0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（1）整体完成</w:t>
      </w:r>
    </w:p>
    <w:p w14:paraId="1B9DC6F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二级指标“整体完成”下设一个三级指标为：完成率。</w:t>
      </w:r>
    </w:p>
    <w:p w14:paraId="7C2923A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2024年，县科协预算项目2个，评价组抽取专项预算项目1个，抽取项目预算资金5.00万元，抽取项目为泸定县天府科技云运维运转。经评价小组复核评分，抽查的预算项目平均得分100.00分。</w:t>
      </w:r>
    </w:p>
    <w:p w14:paraId="7C50EB7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本项分值为30.00分，扣0.00分，得分为30.00分。</w:t>
      </w:r>
    </w:p>
    <w:p w14:paraId="6B552CA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4.绩效结果应用</w:t>
      </w:r>
    </w:p>
    <w:p w14:paraId="0AF25A0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45E97E4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截至评价日，县科协未将单位绩效管理情况未纳入内部考核体系且内部绩效结果未与预算挂钩。</w:t>
      </w:r>
    </w:p>
    <w:p w14:paraId="26F62B8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本项分值为4.00分，扣2.00分，得分为2.00分。</w:t>
      </w:r>
    </w:p>
    <w:p w14:paraId="3DFC40C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0704524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科协于2024年4月1日在泸定县人民政府网上进行了部门预算及项目绩效目标的公开。截至评价日（2025年9月4日），代表大会常务委员会暂未召开，未对2024年泸定县决算（草案）和决算报告进行审查，故未进行2024年决算信息的公开。</w:t>
      </w:r>
    </w:p>
    <w:p w14:paraId="4A2F8C2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53A4A77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问题整改。2024年度，县科协接受绩效监控核查，根据《泸定县科学技术协会部门绩效运行监控分析报告》及部门整体支出绩效监控情况表，主要存在“个别项目支付进度缓慢”的问题；查看2024年度可执行指标执行情况表，县科协2024年度项目无结余资金，支付进度均达到100%。</w:t>
      </w:r>
    </w:p>
    <w:p w14:paraId="0E6FAB3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②应用反馈。2024年度，县科协在规定时间内向财政部门反馈绩效结果应用报告，报告内容翔实、问题整改到位、结果应用充分。</w:t>
      </w:r>
    </w:p>
    <w:p w14:paraId="192AD22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科协2024年部门整体支出绩效自评得分92分（不包括“自评质量”指标分值，满分为94分），根据现场评价情况，评价组对县科协的考评得分88.97分（不包括“自评质量”指标分值，满分为94分），自评差异率3.29%，低于10.00%。</w:t>
      </w:r>
    </w:p>
    <w:p w14:paraId="62CC15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21218"/>
      <w:bookmarkStart w:id="132" w:name="_Toc30515"/>
      <w:bookmarkStart w:id="133" w:name="_Toc30339"/>
      <w:bookmarkStart w:id="134" w:name="_Toc5060"/>
      <w:bookmarkStart w:id="135" w:name="_Toc248033833"/>
      <w:bookmarkStart w:id="136" w:name="_Toc823448808"/>
      <w:bookmarkStart w:id="137" w:name="_Toc14032"/>
      <w:bookmarkStart w:id="138" w:name="_Toc7306"/>
      <w:bookmarkStart w:id="139" w:name="_Toc4350"/>
      <w:bookmarkStart w:id="140" w:name="_Toc25603"/>
      <w:bookmarkStart w:id="141" w:name="_Toc8336"/>
      <w:bookmarkStart w:id="142" w:name="_Toc19973"/>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4161B4D3">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143" w:name="_Toc15651"/>
      <w:bookmarkStart w:id="144" w:name="_Toc464104487"/>
      <w:bookmarkStart w:id="145" w:name="_Toc771997543"/>
      <w:bookmarkStart w:id="146" w:name="_Toc3240"/>
      <w:bookmarkStart w:id="147" w:name="_Toc10426"/>
      <w:bookmarkStart w:id="148" w:name="_Toc31629"/>
      <w:bookmarkStart w:id="149" w:name="_Toc22968"/>
      <w:r>
        <w:rPr>
          <w:rFonts w:hint="default" w:ascii="Times New Roman" w:hAnsi="Times New Roman" w:eastAsia="方正楷体简体" w:cs="Times New Roman"/>
          <w:color w:val="auto"/>
          <w:kern w:val="2"/>
          <w:sz w:val="32"/>
          <w:szCs w:val="32"/>
          <w:highlight w:val="none"/>
          <w:shd w:val="clear"/>
          <w:lang w:val="zh-CN"/>
        </w:rPr>
        <w:t>（一）绩效目标编制和上报不准确</w:t>
      </w:r>
    </w:p>
    <w:p w14:paraId="302F22E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评价中发现，县科协2024年部门综合绩效目标与个别预算项目绩效目标均不同程度存在编制不规范，指标设置不够细化、指标值不合理等问题，导致绩效目标科学性、合理性不够强，不便于考核评价。</w:t>
      </w:r>
    </w:p>
    <w:p w14:paraId="5DB0182F">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（二）部门绩效目标制定未纳入本部门集体决策范围</w:t>
      </w:r>
    </w:p>
    <w:p w14:paraId="74026EB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2024年，县科协已编报《部门（单位）整体支出绩效目标申报表》，绩效目标随预算已上报人大完成审核，但未对部门整体项目进行集体决策，未将部门绩效目标纳入集体决策范围。</w:t>
      </w:r>
    </w:p>
    <w:p w14:paraId="0F284CBB">
      <w:pPr>
        <w:pStyle w:val="27"/>
        <w:rPr>
          <w:rFonts w:hint="default" w:ascii="Times New Roman" w:hAnsi="Times New Roman" w:eastAsia="仿宋" w:cs="Times New Roman"/>
          <w:bCs/>
          <w:kern w:val="2"/>
          <w:sz w:val="32"/>
          <w:szCs w:val="32"/>
          <w:highlight w:val="yellow"/>
          <w:lang w:val="en-US" w:eastAsia="zh-CN" w:bidi="ar-SA"/>
        </w:rPr>
      </w:pPr>
    </w:p>
    <w:p w14:paraId="2ED0C50A">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（三）部门绩效自评不严谨</w:t>
      </w:r>
    </w:p>
    <w:p w14:paraId="3C777A0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经查看《泸定县科学技术协会2024年度部门预算绩效自评报告》及自评打分表，绩效自评报告中“2024年度部门整体支出绩效自评92分”，部门整体支出绩效评价指标体系中总分为86分，存在部门绩效自评自相矛盾、不严谨的情况。</w:t>
      </w:r>
    </w:p>
    <w:p w14:paraId="6BA6023F">
      <w:pPr>
        <w:pStyle w:val="27"/>
        <w:rPr>
          <w:rFonts w:hint="default" w:ascii="Times New Roman" w:hAnsi="Times New Roman" w:cs="Times New Roman"/>
          <w:bCs/>
          <w:kern w:val="2"/>
          <w:sz w:val="32"/>
          <w:szCs w:val="32"/>
          <w:highlight w:val="yellow"/>
          <w:lang w:val="en-US" w:eastAsia="zh-CN" w:bidi="ar-SA"/>
        </w:rPr>
      </w:pPr>
    </w:p>
    <w:p w14:paraId="6F299C79">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（四）预算绩效管理制度机制不够健全完善</w:t>
      </w:r>
    </w:p>
    <w:p w14:paraId="38D044E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截至评价日，县科协未将单位绩效管理情况未纳入内部考核体系且内部绩效结果未与预算挂钩。</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50" w:name="_Toc29227"/>
      <w:bookmarkStart w:id="151" w:name="_Toc5324"/>
      <w:bookmarkStart w:id="152" w:name="_Toc22775"/>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p w14:paraId="0385D5D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（一）规范项目绩效目标设置</w:t>
      </w:r>
    </w:p>
    <w:p w14:paraId="32B2BF9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绩效目标的审核，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2F56402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（二）绩效目标制定纳入部门集体决策范围</w:t>
      </w:r>
    </w:p>
    <w:p w14:paraId="214057D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建议将绩效目标制定纳入部门集体决策范围，通过集体决策增强绩效目标制定的科学性、可行性与准确性。</w:t>
      </w:r>
    </w:p>
    <w:p w14:paraId="585AA9F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（三）据实开展项目绩效自评，实现项目自评精细化</w:t>
      </w:r>
    </w:p>
    <w:p w14:paraId="4585449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严格按照《泸定县财政局关于开展2025年县本级财政支出项目绩效评价工作的通知》要求进行项目自评，根据项目实际情况反映项目进展情况，实现项目自评同步的情况，确保实现绩效自评的精细化，确保金额与实际工作任务相互匹配、指标逻辑对应、数据相互支撑。</w:t>
      </w:r>
    </w:p>
    <w:p w14:paraId="7638CE2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shd w:val="clear" w:fill="FFFFFF"/>
          <w:lang w:val="en-US" w:eastAsia="zh-CN" w:bidi="ar-SA"/>
        </w:rPr>
        <w:t>（四）</w:t>
      </w:r>
      <w:r>
        <w:rPr>
          <w:rFonts w:hint="default" w:ascii="Times New Roman" w:hAnsi="Times New Roman" w:eastAsia="方正楷体简体" w:cs="Times New Roman"/>
          <w:color w:val="auto"/>
          <w:kern w:val="0"/>
          <w:sz w:val="32"/>
          <w:szCs w:val="32"/>
          <w:highlight w:val="none"/>
          <w:shd w:val="clear" w:color="auto" w:fill="FFFFFF"/>
          <w:lang w:val="en-US" w:eastAsia="zh-CN"/>
        </w:rPr>
        <w:t>健全完善预算绩效管理制度建设</w:t>
      </w:r>
    </w:p>
    <w:p w14:paraId="7DCAA2F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p>
    <w:bookmarkEnd w:id="141"/>
    <w:bookmarkEnd w:id="142"/>
    <w:p w14:paraId="5E24A6C6">
      <w:pPr>
        <w:pStyle w:val="18"/>
        <w:ind w:firstLine="0" w:firstLineChars="0"/>
        <w:rPr>
          <w:rFonts w:hint="default" w:ascii="Times New Roman" w:hAnsi="Times New Roman" w:cs="Times New Roman"/>
          <w:sz w:val="32"/>
          <w:szCs w:val="32"/>
          <w:lang w:eastAsia="zh-CN"/>
        </w:rPr>
      </w:pPr>
    </w:p>
    <w:p w14:paraId="395A3C9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cs="Times New Roman"/>
          <w:sz w:val="32"/>
          <w:szCs w:val="32"/>
          <w:highlight w:val="none"/>
          <w:lang w:val="en-US" w:eastAsia="zh-CN"/>
        </w:rPr>
      </w:pPr>
      <w:bookmarkStart w:id="153" w:name="_Toc3238"/>
      <w:r>
        <w:rPr>
          <w:rFonts w:hint="default" w:ascii="Times New Roman" w:hAnsi="Times New Roman" w:eastAsia="方正仿宋_GB2312" w:cs="Times New Roman"/>
          <w:color w:val="auto"/>
          <w:sz w:val="32"/>
          <w:szCs w:val="32"/>
          <w:highlight w:val="none"/>
          <w:lang w:val="en-US" w:eastAsia="zh-CN"/>
        </w:rPr>
        <w:t>附件</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泸定县科学技术协会部门整体支出绩效评价指标体系表（评分表）</w:t>
      </w:r>
      <w:bookmarkEnd w:id="153"/>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仿宋" w:cs="Times New Roman"/>
          <w:b w:val="0"/>
          <w:bCs w:val="0"/>
          <w:sz w:val="32"/>
          <w:szCs w:val="32"/>
          <w:highlight w:val="none"/>
          <w:lang w:eastAsia="zh-CN"/>
        </w:rPr>
        <w:t>　　　　</w:t>
      </w:r>
      <w:r>
        <w:rPr>
          <w:rFonts w:hint="default" w:ascii="Times New Roman" w:hAnsi="Times New Roman" w:eastAsia="方正仿宋_GB2312" w:cs="Times New Roman"/>
          <w:sz w:val="32"/>
          <w:szCs w:val="32"/>
          <w:highlight w:val="none"/>
        </w:rPr>
        <w:t>泸定县财政局</w:t>
      </w:r>
    </w:p>
    <w:p w14:paraId="684009E6">
      <w:pPr>
        <w:spacing w:line="600" w:lineRule="exact"/>
        <w:ind w:firstLine="640"/>
        <w:jc w:val="right"/>
        <w:rPr>
          <w:rFonts w:hint="default" w:ascii="Times New Roman" w:hAnsi="Times New Roman" w:cs="Times New Roman"/>
          <w:highlight w:val="none"/>
          <w:lang w:val="en-US" w:eastAsia="zh-CN"/>
        </w:rPr>
      </w:pPr>
      <w:r>
        <w:rPr>
          <w:rFonts w:hint="default" w:ascii="Times New Roman" w:hAnsi="Times New Roman" w:eastAsia="方正仿宋_GB2312" w:cs="Times New Roman"/>
          <w:sz w:val="32"/>
          <w:szCs w:val="32"/>
          <w:highlight w:val="none"/>
        </w:rPr>
        <w:t>　　　　　　　　　　　2025年11月11日</w:t>
      </w:r>
      <w:bookmarkStart w:id="154" w:name="_GoBack"/>
      <w:bookmarkEnd w:id="154"/>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1" w:fontKey="{F4ACCD4F-791D-4351-B0C9-6E280AC15A9D}"/>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2" w:fontKey="{2A08E3A6-D4DD-4616-9A1B-8463395B0A8C}"/>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7E3E2E71-40E5-495D-99C2-6C0FBC684E2F}"/>
  </w:font>
  <w:font w:name="方正黑体简体">
    <w:panose1 w:val="03000509000000000000"/>
    <w:charset w:val="86"/>
    <w:family w:val="auto"/>
    <w:pitch w:val="default"/>
    <w:sig w:usb0="00000001" w:usb1="080E0000" w:usb2="00000000" w:usb3="00000000" w:csb0="00040000" w:csb1="00000000"/>
    <w:embedRegular r:id="rId4" w:fontKey="{9AA29255-A176-4D90-AB9C-D00919074527}"/>
  </w:font>
  <w:font w:name="方正楷体简体">
    <w:panose1 w:val="03000509000000000000"/>
    <w:charset w:val="86"/>
    <w:family w:val="auto"/>
    <w:pitch w:val="default"/>
    <w:sig w:usb0="00000001" w:usb1="080E0000" w:usb2="00000000" w:usb3="00000000" w:csb0="00040000" w:csb1="00000000"/>
    <w:embedRegular r:id="rId5" w:fontKey="{6314BC8F-B675-4CC3-A0D8-AEA9B2C3431E}"/>
  </w:font>
  <w:font w:name="方正小标宋简体">
    <w:panose1 w:val="03000509000000000000"/>
    <w:charset w:val="86"/>
    <w:family w:val="auto"/>
    <w:pitch w:val="default"/>
    <w:sig w:usb0="00000001" w:usb1="080E0000" w:usb2="00000000" w:usb3="00000000" w:csb0="00040000" w:csb1="00000000"/>
    <w:embedRegular r:id="rId6" w:fontKey="{EE700923-FB96-4EF3-B81C-0145E8FE0CE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2"/>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395070"/>
    <w:rsid w:val="015B3238"/>
    <w:rsid w:val="0174274A"/>
    <w:rsid w:val="01AE1362"/>
    <w:rsid w:val="0209008E"/>
    <w:rsid w:val="0221101D"/>
    <w:rsid w:val="023A109F"/>
    <w:rsid w:val="028212C5"/>
    <w:rsid w:val="02AA3FAB"/>
    <w:rsid w:val="02B56978"/>
    <w:rsid w:val="031D77B8"/>
    <w:rsid w:val="03435D32"/>
    <w:rsid w:val="034B0AC6"/>
    <w:rsid w:val="03BD26AA"/>
    <w:rsid w:val="03C46413"/>
    <w:rsid w:val="03F043C9"/>
    <w:rsid w:val="03F5560D"/>
    <w:rsid w:val="04874344"/>
    <w:rsid w:val="05370DC3"/>
    <w:rsid w:val="05704583"/>
    <w:rsid w:val="05AE5131"/>
    <w:rsid w:val="05CD222A"/>
    <w:rsid w:val="069B1F26"/>
    <w:rsid w:val="06E2185D"/>
    <w:rsid w:val="071C5217"/>
    <w:rsid w:val="074574B7"/>
    <w:rsid w:val="077F711D"/>
    <w:rsid w:val="0815093A"/>
    <w:rsid w:val="08280844"/>
    <w:rsid w:val="08321414"/>
    <w:rsid w:val="08BC09C7"/>
    <w:rsid w:val="08CA0DBA"/>
    <w:rsid w:val="0AA10A64"/>
    <w:rsid w:val="0AAA2B3A"/>
    <w:rsid w:val="0BB16EFA"/>
    <w:rsid w:val="0BD10723"/>
    <w:rsid w:val="0C0A3890"/>
    <w:rsid w:val="0C82214A"/>
    <w:rsid w:val="0CC90B55"/>
    <w:rsid w:val="0CF63E15"/>
    <w:rsid w:val="0D0C53E6"/>
    <w:rsid w:val="0D4639D6"/>
    <w:rsid w:val="0D7279BB"/>
    <w:rsid w:val="0D7C008D"/>
    <w:rsid w:val="0DA06897"/>
    <w:rsid w:val="0DF462ED"/>
    <w:rsid w:val="0DF90060"/>
    <w:rsid w:val="0E19564B"/>
    <w:rsid w:val="0E3E5A73"/>
    <w:rsid w:val="0E522B49"/>
    <w:rsid w:val="0E5E23AA"/>
    <w:rsid w:val="0E6050D4"/>
    <w:rsid w:val="0E7F3C56"/>
    <w:rsid w:val="0EE4486D"/>
    <w:rsid w:val="0EF40828"/>
    <w:rsid w:val="0EF610D2"/>
    <w:rsid w:val="0EF97BEC"/>
    <w:rsid w:val="0F207817"/>
    <w:rsid w:val="0F24115F"/>
    <w:rsid w:val="0F7D48CD"/>
    <w:rsid w:val="0F851480"/>
    <w:rsid w:val="0F895427"/>
    <w:rsid w:val="0FA36556"/>
    <w:rsid w:val="100F5919"/>
    <w:rsid w:val="10433815"/>
    <w:rsid w:val="10607EBA"/>
    <w:rsid w:val="10A609B0"/>
    <w:rsid w:val="10C177C0"/>
    <w:rsid w:val="10FB12CE"/>
    <w:rsid w:val="11034D52"/>
    <w:rsid w:val="11641A35"/>
    <w:rsid w:val="11A54F88"/>
    <w:rsid w:val="11A55E09"/>
    <w:rsid w:val="1256364C"/>
    <w:rsid w:val="12F71BB3"/>
    <w:rsid w:val="130C25E4"/>
    <w:rsid w:val="13185DC7"/>
    <w:rsid w:val="13445E84"/>
    <w:rsid w:val="13463C67"/>
    <w:rsid w:val="134E407D"/>
    <w:rsid w:val="136916A0"/>
    <w:rsid w:val="13BF191E"/>
    <w:rsid w:val="13DD5D2E"/>
    <w:rsid w:val="144B4CE8"/>
    <w:rsid w:val="14827494"/>
    <w:rsid w:val="14DA48CB"/>
    <w:rsid w:val="14DA73CD"/>
    <w:rsid w:val="14DE1D5E"/>
    <w:rsid w:val="151B6B0E"/>
    <w:rsid w:val="153C7438"/>
    <w:rsid w:val="155B04E5"/>
    <w:rsid w:val="15762967"/>
    <w:rsid w:val="15C0420D"/>
    <w:rsid w:val="15C42D02"/>
    <w:rsid w:val="16310CFC"/>
    <w:rsid w:val="164E7445"/>
    <w:rsid w:val="16521418"/>
    <w:rsid w:val="167B192A"/>
    <w:rsid w:val="168D3A3C"/>
    <w:rsid w:val="169F376F"/>
    <w:rsid w:val="16BA737C"/>
    <w:rsid w:val="17404D18"/>
    <w:rsid w:val="177A4C27"/>
    <w:rsid w:val="178D5376"/>
    <w:rsid w:val="179E79D9"/>
    <w:rsid w:val="17FD7EEE"/>
    <w:rsid w:val="180A196B"/>
    <w:rsid w:val="181B0371"/>
    <w:rsid w:val="186A5A33"/>
    <w:rsid w:val="18A93AFC"/>
    <w:rsid w:val="18BC4164"/>
    <w:rsid w:val="18DA3FE0"/>
    <w:rsid w:val="18DD5A8A"/>
    <w:rsid w:val="190A1D86"/>
    <w:rsid w:val="195A2D50"/>
    <w:rsid w:val="196B6F54"/>
    <w:rsid w:val="19CD71FA"/>
    <w:rsid w:val="19E605C7"/>
    <w:rsid w:val="1A48253C"/>
    <w:rsid w:val="1A94413A"/>
    <w:rsid w:val="1AA475A6"/>
    <w:rsid w:val="1AC02064"/>
    <w:rsid w:val="1AF776D6"/>
    <w:rsid w:val="1B0B2AA5"/>
    <w:rsid w:val="1B334486"/>
    <w:rsid w:val="1BDF6BC8"/>
    <w:rsid w:val="1BEC2FB3"/>
    <w:rsid w:val="1C141C3C"/>
    <w:rsid w:val="1C2C3D72"/>
    <w:rsid w:val="1C535707"/>
    <w:rsid w:val="1C580E62"/>
    <w:rsid w:val="1C975E00"/>
    <w:rsid w:val="1CEE6A53"/>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B262C1"/>
    <w:rsid w:val="1FD20322"/>
    <w:rsid w:val="1FE92B41"/>
    <w:rsid w:val="1FFEDEEE"/>
    <w:rsid w:val="201E1FEE"/>
    <w:rsid w:val="202E7632"/>
    <w:rsid w:val="20533B33"/>
    <w:rsid w:val="207456E4"/>
    <w:rsid w:val="20823EE5"/>
    <w:rsid w:val="20A3724F"/>
    <w:rsid w:val="20CB7E98"/>
    <w:rsid w:val="21355B3E"/>
    <w:rsid w:val="21CC56B8"/>
    <w:rsid w:val="21F711A6"/>
    <w:rsid w:val="22460F43"/>
    <w:rsid w:val="22612BC4"/>
    <w:rsid w:val="2297354C"/>
    <w:rsid w:val="22DD16D2"/>
    <w:rsid w:val="22F7E8FF"/>
    <w:rsid w:val="23386ADD"/>
    <w:rsid w:val="234C0C7F"/>
    <w:rsid w:val="23A67EEB"/>
    <w:rsid w:val="23F46FD7"/>
    <w:rsid w:val="24283899"/>
    <w:rsid w:val="24436E8F"/>
    <w:rsid w:val="248C4080"/>
    <w:rsid w:val="24AC4BD5"/>
    <w:rsid w:val="24C04FDC"/>
    <w:rsid w:val="24FD16C3"/>
    <w:rsid w:val="25790BDA"/>
    <w:rsid w:val="257A162F"/>
    <w:rsid w:val="25F533FB"/>
    <w:rsid w:val="261C4DA3"/>
    <w:rsid w:val="26331263"/>
    <w:rsid w:val="263F3713"/>
    <w:rsid w:val="265058AE"/>
    <w:rsid w:val="265F3B15"/>
    <w:rsid w:val="269C2300"/>
    <w:rsid w:val="271534C4"/>
    <w:rsid w:val="271E56C4"/>
    <w:rsid w:val="27391076"/>
    <w:rsid w:val="273B0505"/>
    <w:rsid w:val="277338DD"/>
    <w:rsid w:val="27A6495D"/>
    <w:rsid w:val="27F31AB9"/>
    <w:rsid w:val="27F60C89"/>
    <w:rsid w:val="27FFC5C7"/>
    <w:rsid w:val="282B56B9"/>
    <w:rsid w:val="28371A2F"/>
    <w:rsid w:val="284452E7"/>
    <w:rsid w:val="28523CBE"/>
    <w:rsid w:val="28757938"/>
    <w:rsid w:val="28860508"/>
    <w:rsid w:val="28950ECF"/>
    <w:rsid w:val="291B3F45"/>
    <w:rsid w:val="294B0B24"/>
    <w:rsid w:val="29581F66"/>
    <w:rsid w:val="29942B89"/>
    <w:rsid w:val="2A0E67EA"/>
    <w:rsid w:val="2A14341E"/>
    <w:rsid w:val="2A257690"/>
    <w:rsid w:val="2A3049B2"/>
    <w:rsid w:val="2A817549"/>
    <w:rsid w:val="2AC554D1"/>
    <w:rsid w:val="2ADB2B70"/>
    <w:rsid w:val="2B275DB5"/>
    <w:rsid w:val="2B625A5F"/>
    <w:rsid w:val="2BBE5215"/>
    <w:rsid w:val="2BD70482"/>
    <w:rsid w:val="2C2F0835"/>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4607D4"/>
    <w:rsid w:val="2F6C3146"/>
    <w:rsid w:val="2FBBA5AB"/>
    <w:rsid w:val="2FBF381C"/>
    <w:rsid w:val="2FC260AC"/>
    <w:rsid w:val="2FD91648"/>
    <w:rsid w:val="2FEF2A5C"/>
    <w:rsid w:val="3052247A"/>
    <w:rsid w:val="305D77B8"/>
    <w:rsid w:val="3090670D"/>
    <w:rsid w:val="30A614FD"/>
    <w:rsid w:val="312B48AF"/>
    <w:rsid w:val="31B5579D"/>
    <w:rsid w:val="32A47AB4"/>
    <w:rsid w:val="32CB27BC"/>
    <w:rsid w:val="33105381"/>
    <w:rsid w:val="336B6A5B"/>
    <w:rsid w:val="337B49B9"/>
    <w:rsid w:val="33BD27DF"/>
    <w:rsid w:val="33EB569F"/>
    <w:rsid w:val="33FA0C54"/>
    <w:rsid w:val="34113BD6"/>
    <w:rsid w:val="34140406"/>
    <w:rsid w:val="342C7375"/>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90E6F8C"/>
    <w:rsid w:val="39131F2C"/>
    <w:rsid w:val="39374DDA"/>
    <w:rsid w:val="393C614A"/>
    <w:rsid w:val="39411EEC"/>
    <w:rsid w:val="39935632"/>
    <w:rsid w:val="39E6508D"/>
    <w:rsid w:val="3A3949DD"/>
    <w:rsid w:val="3A4A7C37"/>
    <w:rsid w:val="3A7649A2"/>
    <w:rsid w:val="3A81279A"/>
    <w:rsid w:val="3AE5274E"/>
    <w:rsid w:val="3B072D35"/>
    <w:rsid w:val="3B3301C2"/>
    <w:rsid w:val="3B626037"/>
    <w:rsid w:val="3BD70C1C"/>
    <w:rsid w:val="3C065573"/>
    <w:rsid w:val="3C4B567C"/>
    <w:rsid w:val="3C837FE5"/>
    <w:rsid w:val="3CB15DE8"/>
    <w:rsid w:val="3D1F22E5"/>
    <w:rsid w:val="3D3960CA"/>
    <w:rsid w:val="3D997564"/>
    <w:rsid w:val="3DB744C0"/>
    <w:rsid w:val="3DB8289D"/>
    <w:rsid w:val="3DE87F46"/>
    <w:rsid w:val="3DFC2E05"/>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12070D7"/>
    <w:rsid w:val="41322966"/>
    <w:rsid w:val="414508EB"/>
    <w:rsid w:val="41670862"/>
    <w:rsid w:val="41731B45"/>
    <w:rsid w:val="41DC7289"/>
    <w:rsid w:val="41FD2ABB"/>
    <w:rsid w:val="421C165C"/>
    <w:rsid w:val="423D5A66"/>
    <w:rsid w:val="42811671"/>
    <w:rsid w:val="428B71EF"/>
    <w:rsid w:val="42A2347D"/>
    <w:rsid w:val="43251644"/>
    <w:rsid w:val="43802285"/>
    <w:rsid w:val="43A7F1A6"/>
    <w:rsid w:val="43D2284D"/>
    <w:rsid w:val="43ED42A2"/>
    <w:rsid w:val="44865DC2"/>
    <w:rsid w:val="44986F84"/>
    <w:rsid w:val="44A86EA6"/>
    <w:rsid w:val="44B03869"/>
    <w:rsid w:val="44B958DC"/>
    <w:rsid w:val="44D974B6"/>
    <w:rsid w:val="44E65F41"/>
    <w:rsid w:val="44FE2B7A"/>
    <w:rsid w:val="45221C05"/>
    <w:rsid w:val="45576E3F"/>
    <w:rsid w:val="455812EC"/>
    <w:rsid w:val="456F5F37"/>
    <w:rsid w:val="45761D23"/>
    <w:rsid w:val="4593493B"/>
    <w:rsid w:val="459B16D3"/>
    <w:rsid w:val="459E4A6E"/>
    <w:rsid w:val="45C269AF"/>
    <w:rsid w:val="45F31D67"/>
    <w:rsid w:val="45FF29D4"/>
    <w:rsid w:val="462A15BD"/>
    <w:rsid w:val="4633306D"/>
    <w:rsid w:val="46625636"/>
    <w:rsid w:val="46E2098A"/>
    <w:rsid w:val="470879FF"/>
    <w:rsid w:val="4712301E"/>
    <w:rsid w:val="477D22C4"/>
    <w:rsid w:val="478C7274"/>
    <w:rsid w:val="47970F04"/>
    <w:rsid w:val="48D56225"/>
    <w:rsid w:val="493C0826"/>
    <w:rsid w:val="49D23684"/>
    <w:rsid w:val="49E41186"/>
    <w:rsid w:val="49F243D5"/>
    <w:rsid w:val="4A3F0AC3"/>
    <w:rsid w:val="4A6E0EB3"/>
    <w:rsid w:val="4AAC5450"/>
    <w:rsid w:val="4AD1435D"/>
    <w:rsid w:val="4AFA2C7B"/>
    <w:rsid w:val="4B0435C5"/>
    <w:rsid w:val="4B58271A"/>
    <w:rsid w:val="4B6B11A9"/>
    <w:rsid w:val="4B9C6B82"/>
    <w:rsid w:val="4BDE4024"/>
    <w:rsid w:val="4C1635B0"/>
    <w:rsid w:val="4C907F6D"/>
    <w:rsid w:val="4CA46E0E"/>
    <w:rsid w:val="4CAE35BE"/>
    <w:rsid w:val="4CFC2039"/>
    <w:rsid w:val="4D101EA3"/>
    <w:rsid w:val="4D111FCA"/>
    <w:rsid w:val="4D3E2370"/>
    <w:rsid w:val="4D6E449B"/>
    <w:rsid w:val="4F0A34DF"/>
    <w:rsid w:val="4F5F5C7E"/>
    <w:rsid w:val="4F7241B1"/>
    <w:rsid w:val="4FCD04DF"/>
    <w:rsid w:val="4FF7181A"/>
    <w:rsid w:val="4FFE309A"/>
    <w:rsid w:val="507D0BBC"/>
    <w:rsid w:val="507E6B2A"/>
    <w:rsid w:val="50F87728"/>
    <w:rsid w:val="51290B58"/>
    <w:rsid w:val="51381763"/>
    <w:rsid w:val="51842D6A"/>
    <w:rsid w:val="51930D59"/>
    <w:rsid w:val="51960840"/>
    <w:rsid w:val="51D7639A"/>
    <w:rsid w:val="51E2208C"/>
    <w:rsid w:val="5221572C"/>
    <w:rsid w:val="52265F38"/>
    <w:rsid w:val="52291B63"/>
    <w:rsid w:val="527E3C5D"/>
    <w:rsid w:val="52EF2BDF"/>
    <w:rsid w:val="535B753F"/>
    <w:rsid w:val="53B16AD7"/>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4F3C5E"/>
    <w:rsid w:val="59561F19"/>
    <w:rsid w:val="596B1981"/>
    <w:rsid w:val="59821BED"/>
    <w:rsid w:val="59891767"/>
    <w:rsid w:val="59CF4D9E"/>
    <w:rsid w:val="59DE4A58"/>
    <w:rsid w:val="59EE791A"/>
    <w:rsid w:val="5A56101C"/>
    <w:rsid w:val="5AB4383C"/>
    <w:rsid w:val="5AED719F"/>
    <w:rsid w:val="5B0A7A07"/>
    <w:rsid w:val="5B1433B1"/>
    <w:rsid w:val="5B353327"/>
    <w:rsid w:val="5B3C271A"/>
    <w:rsid w:val="5B3F384B"/>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DB5F93"/>
    <w:rsid w:val="5F246AEA"/>
    <w:rsid w:val="5F3B183F"/>
    <w:rsid w:val="5F5617FE"/>
    <w:rsid w:val="5F562031"/>
    <w:rsid w:val="5F774ACC"/>
    <w:rsid w:val="5F9C373E"/>
    <w:rsid w:val="5FBF7263"/>
    <w:rsid w:val="5FCF84ED"/>
    <w:rsid w:val="5FDB26EF"/>
    <w:rsid w:val="5FDFC83C"/>
    <w:rsid w:val="5FF7A0DE"/>
    <w:rsid w:val="60017C7C"/>
    <w:rsid w:val="6020741B"/>
    <w:rsid w:val="60695F4D"/>
    <w:rsid w:val="608914CC"/>
    <w:rsid w:val="6094289E"/>
    <w:rsid w:val="60A725D1"/>
    <w:rsid w:val="60D13AF2"/>
    <w:rsid w:val="60F11867"/>
    <w:rsid w:val="60F577E0"/>
    <w:rsid w:val="61035425"/>
    <w:rsid w:val="61492D1C"/>
    <w:rsid w:val="61570E81"/>
    <w:rsid w:val="615C16D6"/>
    <w:rsid w:val="618A3DC3"/>
    <w:rsid w:val="61C15430"/>
    <w:rsid w:val="61E46B12"/>
    <w:rsid w:val="6200643D"/>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835D1E"/>
    <w:rsid w:val="65BF660F"/>
    <w:rsid w:val="65C7404D"/>
    <w:rsid w:val="65F17436"/>
    <w:rsid w:val="664669D8"/>
    <w:rsid w:val="66BB8914"/>
    <w:rsid w:val="66C0483B"/>
    <w:rsid w:val="66CC410D"/>
    <w:rsid w:val="66EE54A9"/>
    <w:rsid w:val="67152FB8"/>
    <w:rsid w:val="67492A5C"/>
    <w:rsid w:val="67551304"/>
    <w:rsid w:val="676254A4"/>
    <w:rsid w:val="678D0D6C"/>
    <w:rsid w:val="67AB4C59"/>
    <w:rsid w:val="67C96B35"/>
    <w:rsid w:val="67D8ED11"/>
    <w:rsid w:val="684306E9"/>
    <w:rsid w:val="68723580"/>
    <w:rsid w:val="68994500"/>
    <w:rsid w:val="69172000"/>
    <w:rsid w:val="697F1380"/>
    <w:rsid w:val="699A1F8A"/>
    <w:rsid w:val="69A93917"/>
    <w:rsid w:val="69F84725"/>
    <w:rsid w:val="6A4A3BFD"/>
    <w:rsid w:val="6B43739A"/>
    <w:rsid w:val="6BCE4EB6"/>
    <w:rsid w:val="6BFFA4D9"/>
    <w:rsid w:val="6C196A9A"/>
    <w:rsid w:val="6C590980"/>
    <w:rsid w:val="6C75429C"/>
    <w:rsid w:val="6C7D23DE"/>
    <w:rsid w:val="6C8163CC"/>
    <w:rsid w:val="6C862912"/>
    <w:rsid w:val="6CFA1652"/>
    <w:rsid w:val="6CFC1EF7"/>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6F4C02"/>
    <w:rsid w:val="6FBF4705"/>
    <w:rsid w:val="6FC06BC3"/>
    <w:rsid w:val="6FC24E02"/>
    <w:rsid w:val="6FCD2B35"/>
    <w:rsid w:val="6FEFDAF3"/>
    <w:rsid w:val="6FF658FB"/>
    <w:rsid w:val="6FFB1FF0"/>
    <w:rsid w:val="6FFEF6BD"/>
    <w:rsid w:val="70161521"/>
    <w:rsid w:val="70756248"/>
    <w:rsid w:val="70983CE4"/>
    <w:rsid w:val="70BB65E4"/>
    <w:rsid w:val="70C04FE9"/>
    <w:rsid w:val="70E817A2"/>
    <w:rsid w:val="70EF71B7"/>
    <w:rsid w:val="70FAFB2A"/>
    <w:rsid w:val="71506ACE"/>
    <w:rsid w:val="716138A0"/>
    <w:rsid w:val="71753151"/>
    <w:rsid w:val="71867FE1"/>
    <w:rsid w:val="71A73D3E"/>
    <w:rsid w:val="71AD1A11"/>
    <w:rsid w:val="71D4087A"/>
    <w:rsid w:val="71E34413"/>
    <w:rsid w:val="71FE401B"/>
    <w:rsid w:val="726A16B0"/>
    <w:rsid w:val="727D4F24"/>
    <w:rsid w:val="72822E9E"/>
    <w:rsid w:val="72A146DD"/>
    <w:rsid w:val="72A70FAA"/>
    <w:rsid w:val="72DD1E82"/>
    <w:rsid w:val="72E66F89"/>
    <w:rsid w:val="73113F43"/>
    <w:rsid w:val="734944D8"/>
    <w:rsid w:val="7357511D"/>
    <w:rsid w:val="737446DD"/>
    <w:rsid w:val="737A3B75"/>
    <w:rsid w:val="737C1264"/>
    <w:rsid w:val="739B12EB"/>
    <w:rsid w:val="73A007FF"/>
    <w:rsid w:val="73AB6533"/>
    <w:rsid w:val="74620891"/>
    <w:rsid w:val="74D774D1"/>
    <w:rsid w:val="74E42203"/>
    <w:rsid w:val="751F197F"/>
    <w:rsid w:val="75297601"/>
    <w:rsid w:val="752C5839"/>
    <w:rsid w:val="758650B4"/>
    <w:rsid w:val="759E9462"/>
    <w:rsid w:val="75AB7F59"/>
    <w:rsid w:val="75D9457B"/>
    <w:rsid w:val="75E579CC"/>
    <w:rsid w:val="75FA2210"/>
    <w:rsid w:val="7613520C"/>
    <w:rsid w:val="76301170"/>
    <w:rsid w:val="763E70DC"/>
    <w:rsid w:val="76937428"/>
    <w:rsid w:val="76DD68F5"/>
    <w:rsid w:val="76EB7264"/>
    <w:rsid w:val="76EEE66D"/>
    <w:rsid w:val="76EF82A2"/>
    <w:rsid w:val="76F20DAE"/>
    <w:rsid w:val="76FBFBCD"/>
    <w:rsid w:val="77245415"/>
    <w:rsid w:val="77503BA8"/>
    <w:rsid w:val="77B03C03"/>
    <w:rsid w:val="77B627D2"/>
    <w:rsid w:val="77BDFB3C"/>
    <w:rsid w:val="77BF2551"/>
    <w:rsid w:val="77CB4ADD"/>
    <w:rsid w:val="77F50D0E"/>
    <w:rsid w:val="77FCCDF3"/>
    <w:rsid w:val="7821727C"/>
    <w:rsid w:val="78243701"/>
    <w:rsid w:val="782E0A91"/>
    <w:rsid w:val="7866291A"/>
    <w:rsid w:val="788E7EA5"/>
    <w:rsid w:val="78A639F9"/>
    <w:rsid w:val="78F74A7F"/>
    <w:rsid w:val="7922343B"/>
    <w:rsid w:val="7926388B"/>
    <w:rsid w:val="79521C10"/>
    <w:rsid w:val="795E17F1"/>
    <w:rsid w:val="795FF9E4"/>
    <w:rsid w:val="79D42C0A"/>
    <w:rsid w:val="79FFF26D"/>
    <w:rsid w:val="7A267238"/>
    <w:rsid w:val="7A30225F"/>
    <w:rsid w:val="7A6F1F5A"/>
    <w:rsid w:val="7AAE7979"/>
    <w:rsid w:val="7AD5E80B"/>
    <w:rsid w:val="7AE7FD2B"/>
    <w:rsid w:val="7AF3D7EA"/>
    <w:rsid w:val="7AFE98C0"/>
    <w:rsid w:val="7B0A37F3"/>
    <w:rsid w:val="7B2EC99E"/>
    <w:rsid w:val="7B3E4BF5"/>
    <w:rsid w:val="7B3E7254"/>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835EA"/>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link w:val="43"/>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Plain Text"/>
    <w:basedOn w:val="1"/>
    <w:qFormat/>
    <w:uiPriority w:val="0"/>
    <w:rPr>
      <w:rFonts w:ascii="宋体" w:hAnsi="Courier New"/>
    </w:rPr>
  </w:style>
  <w:style w:type="paragraph" w:styleId="11">
    <w:name w:val="Body Text Indent 2"/>
    <w:basedOn w:val="1"/>
    <w:qFormat/>
    <w:uiPriority w:val="0"/>
    <w:pPr>
      <w:ind w:firstLine="645"/>
      <w:outlineLvl w:val="0"/>
    </w:pPr>
    <w:rPr>
      <w:rFonts w:ascii="仿宋_GB2312"/>
      <w:spacing w:val="-4"/>
      <w:sz w:val="32"/>
    </w:rPr>
  </w:style>
  <w:style w:type="paragraph" w:styleId="12">
    <w:name w:val="footer"/>
    <w:basedOn w:val="1"/>
    <w:link w:val="30"/>
    <w:unhideWhenUsed/>
    <w:qFormat/>
    <w:uiPriority w:val="99"/>
    <w:pPr>
      <w:tabs>
        <w:tab w:val="center" w:pos="4153"/>
        <w:tab w:val="right" w:pos="8306"/>
      </w:tabs>
      <w:snapToGrid w:val="0"/>
      <w:jc w:val="left"/>
    </w:pPr>
    <w:rPr>
      <w:sz w:val="18"/>
      <w:szCs w:val="18"/>
    </w:rPr>
  </w:style>
  <w:style w:type="paragraph" w:styleId="13">
    <w:name w:val="header"/>
    <w:basedOn w:val="1"/>
    <w:next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left" w:pos="709"/>
        <w:tab w:val="right" w:leader="dot" w:pos="8296"/>
      </w:tabs>
    </w:p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spacing w:before="100" w:beforeAutospacing="1" w:after="100" w:afterAutospacing="1"/>
      <w:jc w:val="left"/>
    </w:pPr>
    <w:rPr>
      <w:rFonts w:cs="Times New Roman"/>
      <w:kern w:val="0"/>
      <w:sz w:val="24"/>
    </w:rPr>
  </w:style>
  <w:style w:type="paragraph" w:styleId="17">
    <w:name w:val="Title"/>
    <w:basedOn w:val="1"/>
    <w:link w:val="42"/>
    <w:qFormat/>
    <w:uiPriority w:val="10"/>
    <w:pPr>
      <w:spacing w:before="240" w:after="60"/>
      <w:jc w:val="center"/>
      <w:outlineLvl w:val="0"/>
    </w:pPr>
    <w:rPr>
      <w:rFonts w:ascii="Arial" w:hAnsi="Arial"/>
      <w:b/>
      <w:sz w:val="32"/>
    </w:rPr>
  </w:style>
  <w:style w:type="paragraph" w:styleId="18">
    <w:name w:val="Body Text First Indent 2"/>
    <w:basedOn w:val="8"/>
    <w:qFormat/>
    <w:uiPriority w:val="0"/>
    <w:pPr>
      <w:ind w:firstLine="420"/>
    </w:p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Emphasis"/>
    <w:basedOn w:val="21"/>
    <w:qFormat/>
    <w:uiPriority w:val="20"/>
    <w:rPr>
      <w:i/>
    </w:rPr>
  </w:style>
  <w:style w:type="character" w:styleId="23">
    <w:name w:val="Hyperlink"/>
    <w:unhideWhenUsed/>
    <w:qFormat/>
    <w:uiPriority w:val="99"/>
    <w:rPr>
      <w:color w:val="4D4D4D"/>
      <w:u w:val="none"/>
    </w:rPr>
  </w:style>
  <w:style w:type="character" w:styleId="24">
    <w:name w:val="annotation reference"/>
    <w:basedOn w:val="21"/>
    <w:semiHidden/>
    <w:unhideWhenUsed/>
    <w:qFormat/>
    <w:uiPriority w:val="99"/>
    <w:rPr>
      <w:sz w:val="21"/>
      <w:szCs w:val="21"/>
    </w:rPr>
  </w:style>
  <w:style w:type="paragraph" w:customStyle="1" w:styleId="25">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6">
    <w:name w:val="Default"/>
    <w:next w:val="27"/>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7">
    <w:name w:val="_Style 1"/>
    <w:basedOn w:val="1"/>
    <w:next w:val="1"/>
    <w:qFormat/>
    <w:uiPriority w:val="0"/>
    <w:pPr>
      <w:pBdr>
        <w:top w:val="single" w:color="auto" w:sz="6" w:space="1"/>
      </w:pBdr>
      <w:jc w:val="center"/>
    </w:pPr>
    <w:rPr>
      <w:rFonts w:ascii="Arial" w:eastAsia="宋体"/>
      <w:vanish/>
      <w:sz w:val="16"/>
    </w:rPr>
  </w:style>
  <w:style w:type="paragraph" w:customStyle="1" w:styleId="28">
    <w:name w:val="常用样式（方正仿宋简）"/>
    <w:basedOn w:val="1"/>
    <w:qFormat/>
    <w:uiPriority w:val="0"/>
    <w:pPr>
      <w:spacing w:line="560" w:lineRule="exact"/>
      <w:ind w:firstLine="640"/>
    </w:pPr>
    <w:rPr>
      <w:rFonts w:eastAsia="仿宋"/>
      <w:sz w:val="32"/>
    </w:rPr>
  </w:style>
  <w:style w:type="character" w:customStyle="1" w:styleId="29">
    <w:name w:val="页眉 字符"/>
    <w:basedOn w:val="21"/>
    <w:link w:val="13"/>
    <w:qFormat/>
    <w:uiPriority w:val="99"/>
    <w:rPr>
      <w:sz w:val="18"/>
      <w:szCs w:val="18"/>
    </w:rPr>
  </w:style>
  <w:style w:type="character" w:customStyle="1" w:styleId="30">
    <w:name w:val="页脚 字符"/>
    <w:basedOn w:val="21"/>
    <w:link w:val="12"/>
    <w:qFormat/>
    <w:uiPriority w:val="99"/>
    <w:rPr>
      <w:sz w:val="18"/>
      <w:szCs w:val="18"/>
    </w:rPr>
  </w:style>
  <w:style w:type="character" w:customStyle="1" w:styleId="31">
    <w:name w:val="font11"/>
    <w:basedOn w:val="21"/>
    <w:qFormat/>
    <w:uiPriority w:val="0"/>
    <w:rPr>
      <w:rFonts w:hint="eastAsia" w:ascii="宋体" w:hAnsi="宋体" w:eastAsia="宋体" w:cs="宋体"/>
      <w:color w:val="000000"/>
      <w:sz w:val="21"/>
      <w:szCs w:val="21"/>
      <w:u w:val="none"/>
    </w:rPr>
  </w:style>
  <w:style w:type="character" w:customStyle="1" w:styleId="32">
    <w:name w:val="font01"/>
    <w:basedOn w:val="21"/>
    <w:qFormat/>
    <w:uiPriority w:val="0"/>
    <w:rPr>
      <w:rFonts w:hint="default" w:ascii="Calibri" w:hAnsi="Calibri" w:cs="Calibri"/>
      <w:color w:val="000000"/>
      <w:sz w:val="21"/>
      <w:szCs w:val="21"/>
      <w:u w:val="none"/>
    </w:rPr>
  </w:style>
  <w:style w:type="character" w:customStyle="1" w:styleId="33">
    <w:name w:val="font71"/>
    <w:basedOn w:val="21"/>
    <w:qFormat/>
    <w:uiPriority w:val="0"/>
    <w:rPr>
      <w:rFonts w:hint="eastAsia" w:ascii="仿宋" w:hAnsi="仿宋" w:eastAsia="仿宋" w:cs="仿宋"/>
      <w:b/>
      <w:color w:val="000000"/>
      <w:sz w:val="24"/>
      <w:szCs w:val="24"/>
      <w:u w:val="none"/>
    </w:rPr>
  </w:style>
  <w:style w:type="character" w:customStyle="1" w:styleId="34">
    <w:name w:val="font51"/>
    <w:basedOn w:val="21"/>
    <w:qFormat/>
    <w:uiPriority w:val="0"/>
    <w:rPr>
      <w:rFonts w:hint="eastAsia" w:ascii="仿宋" w:hAnsi="仿宋" w:eastAsia="仿宋" w:cs="仿宋"/>
      <w:color w:val="000000"/>
      <w:sz w:val="24"/>
      <w:szCs w:val="24"/>
      <w:u w:val="none"/>
    </w:rPr>
  </w:style>
  <w:style w:type="character" w:customStyle="1" w:styleId="35">
    <w:name w:val="font31"/>
    <w:basedOn w:val="21"/>
    <w:qFormat/>
    <w:uiPriority w:val="0"/>
    <w:rPr>
      <w:rFonts w:hint="eastAsia" w:ascii="宋体" w:hAnsi="宋体" w:eastAsia="宋体" w:cs="宋体"/>
      <w:b/>
      <w:color w:val="000000"/>
      <w:sz w:val="22"/>
      <w:szCs w:val="22"/>
      <w:u w:val="none"/>
    </w:rPr>
  </w:style>
  <w:style w:type="character" w:customStyle="1" w:styleId="36">
    <w:name w:val="font21"/>
    <w:basedOn w:val="21"/>
    <w:qFormat/>
    <w:uiPriority w:val="0"/>
    <w:rPr>
      <w:rFonts w:hint="eastAsia" w:ascii="宋体" w:hAnsi="宋体" w:eastAsia="宋体" w:cs="宋体"/>
      <w:color w:val="000000"/>
      <w:sz w:val="20"/>
      <w:szCs w:val="20"/>
      <w:u w:val="none"/>
    </w:rPr>
  </w:style>
  <w:style w:type="character" w:customStyle="1" w:styleId="37">
    <w:name w:val="font41"/>
    <w:basedOn w:val="21"/>
    <w:qFormat/>
    <w:uiPriority w:val="0"/>
    <w:rPr>
      <w:rFonts w:hint="default" w:ascii="Times New Roman" w:hAnsi="Times New Roman" w:cs="Times New Roman"/>
      <w:b/>
      <w:color w:val="000000"/>
      <w:sz w:val="20"/>
      <w:szCs w:val="20"/>
      <w:u w:val="none"/>
    </w:rPr>
  </w:style>
  <w:style w:type="paragraph" w:customStyle="1" w:styleId="38">
    <w:name w:val="WPSOffice手动目录 1"/>
    <w:qFormat/>
    <w:uiPriority w:val="0"/>
    <w:rPr>
      <w:rFonts w:ascii="Times New Roman" w:hAnsi="Times New Roman" w:eastAsia="宋体" w:cs="Times New Roman"/>
      <w:lang w:val="en-US" w:eastAsia="zh-CN" w:bidi="ar-SA"/>
    </w:rPr>
  </w:style>
  <w:style w:type="paragraph" w:customStyle="1" w:styleId="3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0">
    <w:name w:val="表格"/>
    <w:basedOn w:val="1"/>
    <w:qFormat/>
    <w:uiPriority w:val="0"/>
    <w:rPr>
      <w:rFonts w:hint="eastAsia"/>
      <w:kern w:val="0"/>
      <w:sz w:val="24"/>
      <w:szCs w:val="20"/>
    </w:rPr>
  </w:style>
  <w:style w:type="paragraph" w:customStyle="1" w:styleId="41">
    <w:name w:val="页眉或页脚 (2)"/>
    <w:basedOn w:val="1"/>
    <w:qFormat/>
    <w:uiPriority w:val="0"/>
    <w:rPr>
      <w:rFonts w:eastAsia="Times New Roman" w:cs="Times New Roman"/>
      <w:sz w:val="20"/>
      <w:szCs w:val="20"/>
      <w:lang w:val="zh-CN" w:bidi="zh-CN"/>
    </w:rPr>
  </w:style>
  <w:style w:type="character" w:customStyle="1" w:styleId="42">
    <w:name w:val="标题 字符"/>
    <w:basedOn w:val="21"/>
    <w:link w:val="17"/>
    <w:qFormat/>
    <w:uiPriority w:val="0"/>
    <w:rPr>
      <w:rFonts w:ascii="等线 Light" w:hAnsi="等线 Light" w:eastAsia="等线 Light" w:cs="Times New Roman"/>
      <w:b/>
      <w:bCs/>
      <w:kern w:val="2"/>
      <w:sz w:val="32"/>
      <w:szCs w:val="32"/>
    </w:rPr>
  </w:style>
  <w:style w:type="character" w:customStyle="1" w:styleId="43">
    <w:name w:val="正文文本缩进 字符"/>
    <w:basedOn w:val="21"/>
    <w:link w:val="8"/>
    <w:qFormat/>
    <w:uiPriority w:val="0"/>
    <w:rPr>
      <w:kern w:val="2"/>
      <w:sz w:val="32"/>
      <w:szCs w:val="24"/>
    </w:rPr>
  </w:style>
  <w:style w:type="paragraph" w:customStyle="1" w:styleId="44">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5">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6">
    <w:name w:val="15"/>
    <w:basedOn w:val="21"/>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0657fb31-aa9d-4294-b4de-4ec032a7f373</errorID>
      <errorWord>（1）内设机构。</errorWord>
      <group>L1_AI</group>
      <groupName>深度校对</groupName>
      <ability>L2_AI_Title</ability>
      <abilityName>标题检查</abilityName>
      <candidateList/>
      <explain>相同层级标题序号格式前后文不一致。前文二级标题下的三级标题使用“（一）”“（二）”“（三）”格式，此处三级标题使用“（1）”格式，与前文同层级标题序号格式不一致；后续“（2）人员概况。”也存在相同问题</explain>
      <paraID>20FA589F</paraID>
      <start>0</start>
      <end>8</end>
      <status>ignored</status>
      <modifiedWord/>
      <trackRevisions>false</trackRevisions>
    </reviewItem>
    <reviewItem>
      <errorID>fc125954-5042-4110-b3d3-4a647f0abada</errorID>
      <errorWord>社</errorWord>
      <group>L1_Grammar</group>
      <groupName>语法问题</groupName>
      <ability>L2_Order</ability>
      <abilityName>语序不当</abilityName>
      <candidateList>
        <item>县级社</item>
      </candidateList>
      <explain>句子可能没有遵循时空、逻辑顺序，或者介词、关联词等位置不当。</explain>
      <paraID>115730AA</paraID>
      <start>284</start>
      <end>287</end>
      <status>modified</status>
      <modifiedWord>县级社</modifiedWord>
      <trackRevisions>false</trackRevisions>
    </reviewItem>
    <reviewItem>
      <errorID>c2fc5ccc-3c4d-4506-9d23-8a6cf9d3e13a</errorID>
      <errorWord>学</errorWord>
      <group>L1_Grammar</group>
      <groupName>语法问题</groupName>
      <ability>L2_Missing</ability>
      <abilityName>成分残缺</abilityName>
      <candidateList>
        <item>使学</item>
      </candidateList>
      <explain>句子中可能存在主谓宾、修饰语或者必要的词语残缺。</explain>
      <paraID>3B7BFA33</paraID>
      <start>76</start>
      <end>78</end>
      <status>modified</status>
      <modifiedWord>使学</modifiedWord>
      <trackRevisions>false</trackRevisions>
    </reviewItem>
    <reviewItem>
      <errorID>bc9b826a-638d-4355-ae8d-99d8aa393571</errorID>
      <errorWord>一是开展好科普活动；</errorWord>
      <group>L1_AI</group>
      <groupName>深度校对</groupName>
      <ability>L2_AI_Title</ability>
      <abilityName>标题检查</abilityName>
      <candidateList/>
      <explain>相同层级标题序号格式前后文不一致。前文二级标题使用“（一）”“（二）”“（三）”格式，此处二级标题使用“一是”格式，与前文同层级标题序号格式不一致；后续“二是推进青少年科学素质教育；”“三是拓展科技创新在生产一线的应用；”“四是推广应用天府科技云。”也存在相同问题</explain>
      <paraID>244AF3EF</paraID>
      <start>0</start>
      <end>10</end>
      <status>ignored</status>
      <modifiedWord/>
      <trackRevisions>false</trackRevisions>
    </reviewItem>
    <reviewItem>
      <errorID>7110073f-1c24-4c4f-9b6f-62e71b3e18e4</errorID>
      <errorWord>1.对相关资料进行研读，对整体评价有基本的把握，归纳出进一步评价所需的信息供下一步取数参考。</errorWord>
      <group>L1_AI</group>
      <groupName>深度校对</groupName>
      <ability>L2_AI_Title</ability>
      <abilityName>标题检查</abilityName>
      <candidateList/>
      <explain>相同层级标题序号格式前后文不一致。前文二级标题下的三级标题使用“（一）”“（二）”格式，此处三级标题使用“1.”格式，与前文同层级标题序号格式不一致；后续“2.集中对各个评价指标逐一进行分析，以保证取数的准确性。”“3.评价小组汇总分析评价过程中发现的问题并对存在问题进行讨论，根据取得的数据分别计算各评价指标所得分数，形成评价结果。”“4.根据评价结果，撰写评价报告。”“5.与绩效评价相关者沟通，完善并形成绩效评价报告终稿。”也存在相同问题</explain>
      <paraID>5A0A3725</paraID>
      <start>0</start>
      <end>46</end>
      <status>ignored</status>
      <modifiedWord/>
      <trackRevisions>false</trackRevisions>
    </reviewItem>
    <reviewItem>
      <errorID>7371419b-c467-4838-aaf5-3ffde7f07d48</errorID>
      <errorWord>有力</errorWord>
      <group>L1_AI</group>
      <groupName>深度校对</groupName>
      <ability>L2_AI_Punc</ability>
      <abilityName>标点纠错</abilityName>
      <candidateList>
        <item>，有力</item>
      </candidateList>
      <explain/>
      <paraID>11D0484D</paraID>
      <start>149</start>
      <end>152</end>
      <status>modified</status>
      <modifiedWord>，有力</modifiedWord>
      <trackRevisions>false</trackRevisions>
    </reviewItem>
    <reviewItem>
      <errorID>7d36b078-6c47-4cde-b088-67c810e9541e</errorID>
      <errorWord>，</errorWord>
      <group>L1_AI</group>
      <groupName>深度校对</groupName>
      <ability>L2_AI_Punc</ability>
      <abilityName>标点纠错</abilityName>
      <candidateList>
        <item>。</item>
      </candidateList>
      <explain/>
      <paraID>11D0484D</paraID>
      <start>170</start>
      <end>171</end>
      <status>modified</status>
      <modifiedWord>。</modifiedWord>
      <trackRevisions>false</trackRevisions>
    </reviewItem>
    <reviewItem>
      <errorID>e3478521-4fa7-401b-a536-af9aee661d66</errorID>
      <errorWord>1.部门预算总体绩效管理情况</errorWord>
      <group>L1_AI</group>
      <groupName>深度校对</groupName>
      <ability>L2_AI_Title</ability>
      <abilityName>标题检查</abilityName>
      <candidateList/>
      <explain>相同层级标题序号格式前后文不一致。前文二级标题使用“（一）”“（二）”“（三）”“（四）”格式，此处二级标题使用“1.”格式，与前文同层级标题序号格式不一致；后续“2.部门预算总体绩效管理情况”也存在相同问题</explain>
      <paraID>6BF6F19C</paraID>
      <start>0</start>
      <end>14</end>
      <status>ignored</status>
      <modifiedWord/>
      <trackRevisions>false</trackRevisions>
    </reviewItem>
    <reviewItem>
      <errorID>636d7593-a47e-4397-abba-7cf747a610b1</errorID>
      <errorWord>（1）目标管理</errorWord>
      <group>L1_AI</group>
      <groupName>深度校对</groupName>
      <ability>L2_AI_Title</ability>
      <abilityName>标题检查</abilityName>
      <candidateList/>
      <explain>相同层级标题序号格式前后文不一致。前文二级标题下的三级标题使用“1.”格式，此处三级标题使用“（1）”格式，与前文同层级标题序号格式不一致；后续“（2）过程控制”也存在相同问题</explain>
      <paraID>18E76880</paraID>
      <start>0</start>
      <end>7</end>
      <status>ignored</status>
      <modifiedWord/>
      <trackRevisions>false</trackRevisions>
    </reviewItem>
    <reviewItem>
      <errorID>e7e934f6-2d65-44dd-baaa-d13df3a1f317</errorID>
      <errorWord>①目标制定</errorWord>
      <group>L1_AI</group>
      <groupName>深度校对</groupName>
      <ability>L2_AI_Title</ability>
      <abilityName>标题检查</abilityName>
      <candidateList/>
      <explain>相同层级标题序号格式前后文不一致。前文未出现四级标题，此处四级标题使用“①”格式，与前文同层级标题序号格式不一致；后续“②目标实现”也存在相同问题</explain>
      <paraID>5852C135</paraID>
      <start>0</start>
      <end>5</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ac0e15-80dc-4bea-8ee0-9ee37a47bf6f}">
  <ds:schemaRefs/>
</ds:datastoreItem>
</file>

<file path=docProps/app.xml><?xml version="1.0" encoding="utf-8"?>
<Properties xmlns="http://schemas.openxmlformats.org/officeDocument/2006/extended-properties" xmlns:vt="http://schemas.openxmlformats.org/officeDocument/2006/docPropsVTypes">
  <Company>Microsoft</Company>
  <Pages>13</Pages>
  <Words>5459</Words>
  <Characters>5978</Characters>
  <Lines>1</Lines>
  <Paragraphs>1</Paragraphs>
  <TotalTime>6</TotalTime>
  <ScaleCrop>false</ScaleCrop>
  <LinksUpToDate>false</LinksUpToDate>
  <CharactersWithSpaces>6020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2024-11-08T07:16:00Z</cp:lastPrinted>
  <dcterms:modified xsi:type="dcterms:W3CDTF">2025-12-11T02:40:34Z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