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B4CD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bookmarkStart w:id="0" w:name="_Toc29524"/>
      <w:bookmarkStart w:id="1" w:name="_Toc22314"/>
      <w:bookmarkStart w:id="2" w:name="_Toc14462_WPSOffice_Level1"/>
    </w:p>
    <w:p w14:paraId="54012919">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29F557FA">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642AD7FB">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5CE12AA8">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65107F35">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2EC1222B">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76DD2394">
      <w:pPr>
        <w:spacing w:line="600" w:lineRule="exact"/>
        <w:ind w:firstLine="0" w:firstLineChars="0"/>
        <w:jc w:val="center"/>
        <w:rPr>
          <w:rFonts w:hint="default" w:ascii="Times New Roman" w:hAnsi="Times New Roman" w:cs="Times New Roman"/>
          <w:sz w:val="32"/>
          <w:szCs w:val="32"/>
          <w:highlight w:val="none"/>
        </w:rPr>
      </w:pPr>
      <w:r>
        <w:rPr>
          <w:rFonts w:hint="default" w:ascii="Times New Roman" w:hAnsi="Times New Roman" w:cs="Times New Roman"/>
          <w:sz w:val="32"/>
          <w:szCs w:val="32"/>
          <w:highlight w:val="none"/>
        </w:rPr>
        <w:t>泸财绩〔2025〕3</w:t>
      </w:r>
      <w:r>
        <w:rPr>
          <w:rFonts w:hint="default" w:ascii="Times New Roman" w:hAnsi="Times New Roman" w:cs="Times New Roman"/>
          <w:sz w:val="32"/>
          <w:szCs w:val="32"/>
          <w:highlight w:val="none"/>
          <w:lang w:val="en-US" w:eastAsia="zh-CN"/>
        </w:rPr>
        <w:t>8</w:t>
      </w:r>
      <w:r>
        <w:rPr>
          <w:rFonts w:hint="default" w:ascii="Times New Roman" w:hAnsi="Times New Roman" w:cs="Times New Roman"/>
          <w:sz w:val="32"/>
          <w:szCs w:val="32"/>
          <w:highlight w:val="none"/>
        </w:rPr>
        <w:t>号</w:t>
      </w:r>
    </w:p>
    <w:p w14:paraId="132DC111">
      <w:pPr>
        <w:keepNext w:val="0"/>
        <w:keepLines w:val="0"/>
        <w:pageBreakBefore w:val="0"/>
        <w:widowControl/>
        <w:kinsoku/>
        <w:wordWrap/>
        <w:overflowPunct/>
        <w:topLinePunct w:val="0"/>
        <w:autoSpaceDE/>
        <w:autoSpaceDN/>
        <w:bidi w:val="0"/>
        <w:spacing w:line="600" w:lineRule="exact"/>
        <w:ind w:left="0" w:firstLine="0" w:firstLineChars="0"/>
        <w:jc w:val="center"/>
        <w:rPr>
          <w:rFonts w:hint="default" w:ascii="Times New Roman" w:hAnsi="Times New Roman" w:eastAsia="仿宋" w:cs="Times New Roman"/>
          <w:color w:val="333333"/>
          <w:kern w:val="0"/>
          <w:sz w:val="32"/>
          <w:szCs w:val="32"/>
          <w:highlight w:val="none"/>
        </w:rPr>
      </w:pPr>
    </w:p>
    <w:p w14:paraId="14DBB894">
      <w:pPr>
        <w:pStyle w:val="11"/>
        <w:keepNext w:val="0"/>
        <w:keepLines w:val="0"/>
        <w:pageBreakBefore w:val="0"/>
        <w:kinsoku/>
        <w:wordWrap/>
        <w:overflowPunct/>
        <w:topLinePunct w:val="0"/>
        <w:autoSpaceDE/>
        <w:autoSpaceDN/>
        <w:bidi w:val="0"/>
        <w:spacing w:line="600" w:lineRule="exact"/>
        <w:ind w:left="0" w:firstLine="0" w:firstLineChars="0"/>
        <w:jc w:val="center"/>
        <w:outlineLvl w:val="9"/>
        <w:rPr>
          <w:rFonts w:hint="default" w:ascii="Times New Roman" w:hAnsi="Times New Roman" w:eastAsia="仿宋" w:cs="Times New Roman"/>
          <w:color w:val="333333"/>
          <w:kern w:val="0"/>
          <w:sz w:val="32"/>
          <w:szCs w:val="32"/>
          <w:highlight w:val="none"/>
        </w:rPr>
      </w:pPr>
    </w:p>
    <w:p w14:paraId="21A0569B">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highlight w:val="none"/>
          <w:lang w:eastAsia="zh-CN"/>
        </w:rPr>
      </w:pPr>
      <w:bookmarkStart w:id="3" w:name="_Toc27398"/>
      <w:r>
        <w:rPr>
          <w:rFonts w:hint="eastAsia" w:ascii="方正小标宋简体" w:hAnsi="方正小标宋简体" w:eastAsia="方正小标宋简体" w:cs="方正小标宋简体"/>
          <w:color w:val="auto"/>
          <w:sz w:val="44"/>
          <w:szCs w:val="44"/>
          <w:highlight w:val="none"/>
          <w:lang w:eastAsia="zh-CN"/>
        </w:rPr>
        <w:t>泸定县民族宗教事务局</w:t>
      </w:r>
    </w:p>
    <w:p w14:paraId="014B69B0">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highlight w:val="none"/>
        </w:rPr>
      </w:pPr>
      <w:r>
        <w:rPr>
          <w:rFonts w:hint="eastAsia" w:ascii="方正小标宋简体" w:hAnsi="方正小标宋简体" w:eastAsia="方正小标宋简体" w:cs="方正小标宋简体"/>
          <w:color w:val="auto"/>
          <w:sz w:val="44"/>
          <w:szCs w:val="44"/>
          <w:highlight w:val="none"/>
          <w:lang w:eastAsia="zh"/>
        </w:rPr>
        <w:t>202</w:t>
      </w:r>
      <w:r>
        <w:rPr>
          <w:rFonts w:hint="eastAsia" w:ascii="方正小标宋简体" w:hAnsi="方正小标宋简体" w:eastAsia="方正小标宋简体" w:cs="方正小标宋简体"/>
          <w:color w:val="auto"/>
          <w:sz w:val="44"/>
          <w:szCs w:val="44"/>
          <w:highlight w:val="none"/>
          <w:lang w:val="en-US" w:eastAsia="zh-CN"/>
        </w:rPr>
        <w:t>4</w:t>
      </w:r>
      <w:r>
        <w:rPr>
          <w:rFonts w:hint="eastAsia" w:ascii="方正小标宋简体" w:hAnsi="方正小标宋简体" w:eastAsia="方正小标宋简体" w:cs="方正小标宋简体"/>
          <w:color w:val="auto"/>
          <w:sz w:val="44"/>
          <w:szCs w:val="44"/>
          <w:highlight w:val="none"/>
        </w:rPr>
        <w:t>年部门整体支出绩效评价报告</w:t>
      </w:r>
      <w:bookmarkEnd w:id="0"/>
      <w:bookmarkEnd w:id="1"/>
      <w:bookmarkEnd w:id="3"/>
    </w:p>
    <w:p w14:paraId="394EE5A3">
      <w:pPr>
        <w:pStyle w:val="9"/>
        <w:keepNext w:val="0"/>
        <w:keepLines w:val="0"/>
        <w:pageBreakBefore w:val="0"/>
        <w:kinsoku/>
        <w:wordWrap/>
        <w:overflowPunct/>
        <w:topLinePunct w:val="0"/>
        <w:autoSpaceDE/>
        <w:autoSpaceDN/>
        <w:bidi w:val="0"/>
        <w:spacing w:after="0" w:line="600" w:lineRule="exact"/>
        <w:ind w:left="0" w:firstLine="560"/>
        <w:rPr>
          <w:rFonts w:hint="default" w:ascii="Times New Roman" w:hAnsi="Times New Roman" w:eastAsia="仿宋" w:cs="Times New Roman"/>
          <w:color w:val="auto"/>
          <w:sz w:val="32"/>
          <w:szCs w:val="32"/>
          <w:highlight w:val="none"/>
          <w:lang w:val="fr-FR"/>
        </w:rPr>
      </w:pPr>
    </w:p>
    <w:p w14:paraId="43A369C6">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rPr>
          <w:rFonts w:hint="default" w:ascii="Times New Roman" w:hAnsi="Times New Roman" w:eastAsia="方正仿宋_GB2312" w:cs="Times New Roman"/>
          <w:color w:val="auto"/>
          <w:sz w:val="32"/>
          <w:szCs w:val="32"/>
          <w:highlight w:val="none"/>
          <w:lang w:val="fr-FR" w:eastAsia="zh-CN"/>
        </w:rPr>
      </w:pPr>
      <w:bookmarkStart w:id="4" w:name="_Toc8938"/>
      <w:bookmarkStart w:id="5" w:name="_Toc6252"/>
      <w:bookmarkStart w:id="6" w:name="_Toc26210"/>
      <w:r>
        <w:rPr>
          <w:rFonts w:hint="default" w:ascii="Times New Roman" w:hAnsi="Times New Roman" w:eastAsia="方正仿宋_GB2312" w:cs="Times New Roman"/>
          <w:color w:val="auto"/>
          <w:sz w:val="32"/>
          <w:szCs w:val="32"/>
          <w:highlight w:val="none"/>
          <w:lang w:val="fr-FR" w:eastAsia="zh-CN"/>
        </w:rPr>
        <w:t>泸定县民族宗教事务局：</w:t>
      </w:r>
    </w:p>
    <w:p w14:paraId="50FB6A3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fr-FR"/>
        </w:rPr>
      </w:pPr>
      <w:r>
        <w:rPr>
          <w:rFonts w:hint="eastAsia" w:eastAsia="方正仿宋_GB2312" w:cs="Times New Roman"/>
          <w:sz w:val="32"/>
          <w:szCs w:val="32"/>
          <w:highlight w:val="none"/>
        </w:rPr>
        <w:t>根</w:t>
      </w:r>
      <w:r>
        <w:rPr>
          <w:rFonts w:eastAsia="方正仿宋_GB2312" w:cs="Times New Roman"/>
          <w:sz w:val="32"/>
          <w:szCs w:val="32"/>
          <w:highlight w:val="none"/>
        </w:rPr>
        <w:t>据《泸定县财政局</w:t>
      </w:r>
      <w:r>
        <w:rPr>
          <w:rFonts w:eastAsia="方正仿宋_GB2312" w:cs="Times New Roman"/>
          <w:sz w:val="32"/>
          <w:szCs w:val="32"/>
          <w:highlight w:val="none"/>
          <w:lang w:eastAsia="zh"/>
        </w:rPr>
        <w:t>关于开展202</w:t>
      </w:r>
      <w:r>
        <w:rPr>
          <w:rFonts w:eastAsia="方正仿宋_GB2312" w:cs="Times New Roman"/>
          <w:sz w:val="32"/>
          <w:szCs w:val="32"/>
          <w:highlight w:val="none"/>
        </w:rPr>
        <w:t>5</w:t>
      </w:r>
      <w:r>
        <w:rPr>
          <w:rFonts w:eastAsia="方正仿宋_GB2312" w:cs="Times New Roman"/>
          <w:sz w:val="32"/>
          <w:szCs w:val="32"/>
          <w:highlight w:val="none"/>
          <w:lang w:eastAsia="zh"/>
        </w:rPr>
        <w:t>年度部门整体绩效评价工作的通知</w:t>
      </w:r>
      <w:r>
        <w:rPr>
          <w:rFonts w:eastAsia="方正仿宋_GB2312" w:cs="Times New Roman"/>
          <w:sz w:val="32"/>
          <w:szCs w:val="32"/>
          <w:highlight w:val="none"/>
        </w:rPr>
        <w:t>》（</w:t>
      </w:r>
      <w:r>
        <w:rPr>
          <w:rFonts w:eastAsia="方正仿宋_GB2312" w:cs="Times New Roman"/>
          <w:sz w:val="32"/>
          <w:szCs w:val="32"/>
          <w:highlight w:val="none"/>
          <w:lang w:eastAsia="zh"/>
        </w:rPr>
        <w:t>泸财〔202</w:t>
      </w:r>
      <w:r>
        <w:rPr>
          <w:rFonts w:eastAsia="方正仿宋_GB2312" w:cs="Times New Roman"/>
          <w:sz w:val="32"/>
          <w:szCs w:val="32"/>
          <w:highlight w:val="none"/>
        </w:rPr>
        <w:t>5</w:t>
      </w:r>
      <w:r>
        <w:rPr>
          <w:rFonts w:eastAsia="方正仿宋_GB2312" w:cs="Times New Roman"/>
          <w:sz w:val="32"/>
          <w:szCs w:val="32"/>
          <w:highlight w:val="none"/>
          <w:lang w:eastAsia="zh"/>
        </w:rPr>
        <w:t>〕</w:t>
      </w:r>
      <w:r>
        <w:rPr>
          <w:rFonts w:eastAsia="方正仿宋_GB2312" w:cs="Times New Roman"/>
          <w:sz w:val="32"/>
          <w:szCs w:val="32"/>
          <w:highlight w:val="none"/>
        </w:rPr>
        <w:t>67</w:t>
      </w:r>
      <w:r>
        <w:rPr>
          <w:rFonts w:eastAsia="方正仿宋_GB2312" w:cs="Times New Roman"/>
          <w:sz w:val="32"/>
          <w:szCs w:val="32"/>
          <w:highlight w:val="none"/>
          <w:lang w:eastAsia="zh"/>
        </w:rPr>
        <w:t>号</w:t>
      </w:r>
      <w:r>
        <w:rPr>
          <w:rFonts w:eastAsia="方正仿宋_GB2312" w:cs="Times New Roman"/>
          <w:sz w:val="32"/>
          <w:szCs w:val="32"/>
          <w:highlight w:val="none"/>
        </w:rPr>
        <w:t>）要求</w:t>
      </w:r>
      <w:bookmarkStart w:id="153" w:name="_GoBack"/>
      <w:bookmarkEnd w:id="153"/>
      <w:r>
        <w:rPr>
          <w:rFonts w:eastAsia="方正仿宋_GB2312" w:cs="Times New Roman"/>
          <w:sz w:val="32"/>
          <w:szCs w:val="32"/>
          <w:highlight w:val="none"/>
        </w:rPr>
        <w:t>，</w:t>
      </w:r>
      <w:r>
        <w:rPr>
          <w:rFonts w:hint="eastAsia" w:eastAsia="方正仿宋_GB2312" w:cs="Times New Roman"/>
          <w:sz w:val="32"/>
          <w:szCs w:val="32"/>
          <w:highlight w:val="none"/>
        </w:rPr>
        <w:t>由我局工作人员和第三方机构专业人员组成绩效评价组，</w:t>
      </w:r>
      <w:r>
        <w:rPr>
          <w:rFonts w:hint="default" w:ascii="Times New Roman" w:hAnsi="Times New Roman" w:eastAsia="方正仿宋_GB2312" w:cs="Times New Roman"/>
          <w:color w:val="auto"/>
          <w:sz w:val="32"/>
          <w:szCs w:val="32"/>
          <w:highlight w:val="none"/>
          <w:lang w:val="fr-FR"/>
        </w:rPr>
        <w:t>对</w:t>
      </w:r>
      <w:r>
        <w:rPr>
          <w:rFonts w:hint="default" w:ascii="Times New Roman" w:hAnsi="Times New Roman" w:eastAsia="方正仿宋_GB2312" w:cs="Times New Roman"/>
          <w:color w:val="auto"/>
          <w:sz w:val="32"/>
          <w:szCs w:val="32"/>
          <w:highlight w:val="none"/>
          <w:lang w:val="fr-FR" w:eastAsia="zh-CN"/>
        </w:rPr>
        <w:t>泸定县民族宗教事务局</w:t>
      </w:r>
      <w:r>
        <w:rPr>
          <w:rFonts w:hint="default" w:ascii="Times New Roman" w:hAnsi="Times New Roman" w:eastAsia="方正仿宋_GB2312" w:cs="Times New Roman"/>
          <w:color w:val="auto"/>
          <w:sz w:val="32"/>
          <w:szCs w:val="32"/>
          <w:highlight w:val="none"/>
          <w:lang w:eastAsia="zh"/>
        </w:rPr>
        <w:t>202</w:t>
      </w:r>
      <w:r>
        <w:rPr>
          <w:rFonts w:hint="default" w:ascii="Times New Roman" w:hAnsi="Times New Roman" w:eastAsia="方正仿宋_GB2312" w:cs="Times New Roman"/>
          <w:color w:val="auto"/>
          <w:sz w:val="32"/>
          <w:szCs w:val="32"/>
          <w:highlight w:val="none"/>
          <w:lang w:val="en-US" w:eastAsia="zh-CN"/>
        </w:rPr>
        <w:t>4年度</w:t>
      </w:r>
      <w:r>
        <w:rPr>
          <w:rFonts w:hint="default" w:ascii="Times New Roman" w:hAnsi="Times New Roman" w:eastAsia="方正仿宋_GB2312" w:cs="Times New Roman"/>
          <w:color w:val="auto"/>
          <w:sz w:val="32"/>
          <w:szCs w:val="32"/>
          <w:highlight w:val="none"/>
        </w:rPr>
        <w:t>部门整体支出进行</w:t>
      </w:r>
      <w:r>
        <w:rPr>
          <w:rFonts w:hint="default" w:ascii="Times New Roman" w:hAnsi="Times New Roman" w:eastAsia="方正仿宋_GB2312" w:cs="Times New Roman"/>
          <w:color w:val="auto"/>
          <w:sz w:val="32"/>
          <w:szCs w:val="32"/>
          <w:highlight w:val="none"/>
          <w:lang w:val="fr-FR"/>
        </w:rPr>
        <w:t>绩效评价。</w:t>
      </w:r>
      <w:r>
        <w:rPr>
          <w:rFonts w:hint="default" w:ascii="Times New Roman" w:hAnsi="Times New Roman" w:eastAsia="方正仿宋_GB2312" w:cs="Times New Roman"/>
          <w:color w:val="auto"/>
          <w:sz w:val="32"/>
          <w:szCs w:val="32"/>
          <w:highlight w:val="none"/>
          <w:lang w:val="fr-FR" w:eastAsia="zh-CN"/>
        </w:rPr>
        <w:t>泸定县民族宗教事务局</w:t>
      </w:r>
      <w:r>
        <w:rPr>
          <w:rFonts w:hint="default" w:ascii="Times New Roman" w:hAnsi="Times New Roman" w:eastAsia="方正仿宋_GB2312" w:cs="Times New Roman"/>
          <w:color w:val="auto"/>
          <w:sz w:val="32"/>
          <w:szCs w:val="32"/>
          <w:highlight w:val="none"/>
          <w:lang w:val="fr-FR"/>
        </w:rPr>
        <w:t>对其提供的绩效评价相关资料的真实性、合法性和完整性负责；我们的责任是依据《中共中央 国务院关于全面实施预算绩效管理的意见》（中发〔2018〕34号）、《中共四川省委 四川省人民政府关于全面实施预算绩效管理的实施意见》（川委发〔201</w:t>
      </w:r>
      <w:r>
        <w:rPr>
          <w:rFonts w:hint="default" w:ascii="Times New Roman" w:hAnsi="Times New Roman" w:eastAsia="方正仿宋_GB2312" w:cs="Times New Roman"/>
          <w:color w:val="auto"/>
          <w:sz w:val="32"/>
          <w:szCs w:val="32"/>
          <w:highlight w:val="none"/>
        </w:rPr>
        <w:t>9</w:t>
      </w:r>
      <w:r>
        <w:rPr>
          <w:rFonts w:hint="default" w:ascii="Times New Roman" w:hAnsi="Times New Roman" w:eastAsia="方正仿宋_GB2312" w:cs="Times New Roman"/>
          <w:color w:val="auto"/>
          <w:sz w:val="32"/>
          <w:szCs w:val="32"/>
          <w:highlight w:val="none"/>
          <w:lang w:val="fr-FR"/>
        </w:rPr>
        <w:t>〕8号）、《中共甘孜州委办公室 甘孜州人民政府办公室关于印发</w:t>
      </w:r>
      <w:r>
        <w:rPr>
          <w:rFonts w:hint="default" w:ascii="Times New Roman" w:hAnsi="Times New Roman" w:eastAsia="方正仿宋_GB2312" w:cs="Times New Roman"/>
          <w:color w:val="auto"/>
          <w:sz w:val="32"/>
          <w:szCs w:val="32"/>
          <w:highlight w:val="none"/>
        </w:rPr>
        <w:t>〈</w:t>
      </w:r>
      <w:r>
        <w:rPr>
          <w:rFonts w:hint="default" w:ascii="Times New Roman" w:hAnsi="Times New Roman" w:eastAsia="方正仿宋_GB2312" w:cs="Times New Roman"/>
          <w:color w:val="auto"/>
          <w:sz w:val="32"/>
          <w:szCs w:val="32"/>
          <w:highlight w:val="none"/>
          <w:lang w:val="fr-FR"/>
        </w:rPr>
        <w:t>甘孜州全面实施预算绩效管理工作实施方案</w:t>
      </w:r>
      <w:r>
        <w:rPr>
          <w:rFonts w:hint="default" w:ascii="Times New Roman" w:hAnsi="Times New Roman" w:eastAsia="方正仿宋_GB2312" w:cs="Times New Roman"/>
          <w:color w:val="auto"/>
          <w:sz w:val="32"/>
          <w:szCs w:val="32"/>
          <w:highlight w:val="none"/>
        </w:rPr>
        <w:t>〉</w:t>
      </w:r>
      <w:r>
        <w:rPr>
          <w:rFonts w:hint="default" w:ascii="Times New Roman" w:hAnsi="Times New Roman" w:eastAsia="方正仿宋_GB2312" w:cs="Times New Roman"/>
          <w:color w:val="auto"/>
          <w:sz w:val="32"/>
          <w:szCs w:val="32"/>
          <w:highlight w:val="none"/>
          <w:lang w:val="fr-FR"/>
        </w:rPr>
        <w:t>的通知》（甘委办〔201</w:t>
      </w:r>
      <w:r>
        <w:rPr>
          <w:rFonts w:hint="default" w:ascii="Times New Roman" w:hAnsi="Times New Roman" w:eastAsia="方正仿宋_GB2312" w:cs="Times New Roman"/>
          <w:color w:val="auto"/>
          <w:sz w:val="32"/>
          <w:szCs w:val="32"/>
          <w:highlight w:val="none"/>
        </w:rPr>
        <w:t>9</w:t>
      </w:r>
      <w:r>
        <w:rPr>
          <w:rFonts w:hint="default" w:ascii="Times New Roman" w:hAnsi="Times New Roman" w:eastAsia="方正仿宋_GB2312" w:cs="Times New Roman"/>
          <w:color w:val="auto"/>
          <w:sz w:val="32"/>
          <w:szCs w:val="32"/>
          <w:highlight w:val="none"/>
          <w:lang w:val="fr-FR"/>
        </w:rPr>
        <w:t>〕120号）</w:t>
      </w:r>
      <w:r>
        <w:rPr>
          <w:rFonts w:hint="default" w:ascii="Times New Roman" w:hAnsi="Times New Roman" w:eastAsia="方正仿宋_GB2312" w:cs="Times New Roman"/>
          <w:color w:val="auto"/>
          <w:sz w:val="32"/>
          <w:szCs w:val="32"/>
          <w:highlight w:val="none"/>
          <w:lang w:val="en-US" w:eastAsia="zh-CN"/>
        </w:rPr>
        <w:t>文件的</w:t>
      </w:r>
      <w:r>
        <w:rPr>
          <w:rFonts w:hint="default" w:ascii="Times New Roman" w:hAnsi="Times New Roman" w:eastAsia="方正仿宋_GB2312" w:cs="Times New Roman"/>
          <w:color w:val="auto"/>
          <w:sz w:val="32"/>
          <w:szCs w:val="32"/>
          <w:highlight w:val="none"/>
          <w:lang w:val="fr-FR"/>
        </w:rPr>
        <w:t>要求，结合</w:t>
      </w:r>
      <w:r>
        <w:rPr>
          <w:rFonts w:hint="default" w:ascii="Times New Roman" w:hAnsi="Times New Roman" w:eastAsia="方正仿宋_GB2312" w:cs="Times New Roman"/>
          <w:color w:val="auto"/>
          <w:sz w:val="32"/>
          <w:szCs w:val="32"/>
          <w:highlight w:val="none"/>
          <w:lang w:val="fr-FR" w:eastAsia="zh-CN"/>
        </w:rPr>
        <w:t>泸定县民族宗教事务局</w:t>
      </w:r>
      <w:r>
        <w:rPr>
          <w:rFonts w:hint="default" w:ascii="Times New Roman" w:hAnsi="Times New Roman" w:eastAsia="方正仿宋_GB2312" w:cs="Times New Roman"/>
          <w:color w:val="auto"/>
          <w:sz w:val="32"/>
          <w:szCs w:val="32"/>
          <w:highlight w:val="none"/>
          <w:lang w:val="fr-FR"/>
        </w:rPr>
        <w:t>的实际情况，对</w:t>
      </w:r>
      <w:r>
        <w:rPr>
          <w:rFonts w:hint="default" w:ascii="Times New Roman" w:hAnsi="Times New Roman" w:eastAsia="方正仿宋_GB2312" w:cs="Times New Roman"/>
          <w:color w:val="auto"/>
          <w:sz w:val="32"/>
          <w:szCs w:val="32"/>
          <w:highlight w:val="none"/>
          <w:lang w:eastAsia="zh"/>
        </w:rPr>
        <w:t>202</w:t>
      </w:r>
      <w:r>
        <w:rPr>
          <w:rFonts w:hint="default" w:ascii="Times New Roman" w:hAnsi="Times New Roman" w:eastAsia="方正仿宋_GB2312" w:cs="Times New Roman"/>
          <w:color w:val="auto"/>
          <w:sz w:val="32"/>
          <w:szCs w:val="32"/>
          <w:highlight w:val="none"/>
          <w:lang w:val="en-US" w:eastAsia="zh-CN"/>
        </w:rPr>
        <w:t>4</w:t>
      </w:r>
      <w:r>
        <w:rPr>
          <w:rFonts w:hint="default" w:ascii="Times New Roman" w:hAnsi="Times New Roman" w:eastAsia="方正仿宋_GB2312" w:cs="Times New Roman"/>
          <w:color w:val="auto"/>
          <w:sz w:val="32"/>
          <w:szCs w:val="32"/>
          <w:highlight w:val="none"/>
        </w:rPr>
        <w:t>年部门整体支出</w:t>
      </w:r>
      <w:r>
        <w:rPr>
          <w:rFonts w:hint="default" w:ascii="Times New Roman" w:hAnsi="Times New Roman" w:eastAsia="方正仿宋_GB2312" w:cs="Times New Roman"/>
          <w:color w:val="auto"/>
          <w:sz w:val="32"/>
          <w:szCs w:val="32"/>
          <w:highlight w:val="none"/>
          <w:lang w:val="fr-FR"/>
        </w:rPr>
        <w:t>进行绩效评价，并出具绩效评价报告，现将相关情况报告如下：</w:t>
      </w:r>
      <w:bookmarkEnd w:id="4"/>
      <w:bookmarkEnd w:id="5"/>
      <w:bookmarkEnd w:id="6"/>
      <w:bookmarkStart w:id="7" w:name="_Toc12185"/>
      <w:bookmarkStart w:id="8" w:name="_Toc8555"/>
      <w:bookmarkStart w:id="9" w:name="_Toc109483833"/>
    </w:p>
    <w:p w14:paraId="1CE7ED0B">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0"/>
        <w:rPr>
          <w:rFonts w:hint="default" w:ascii="Times New Roman" w:hAnsi="Times New Roman" w:eastAsia="方正黑体简体" w:cs="Times New Roman"/>
          <w:color w:val="auto"/>
          <w:kern w:val="0"/>
          <w:sz w:val="32"/>
          <w:szCs w:val="32"/>
          <w:highlight w:val="none"/>
          <w:shd w:val="clear" w:color="auto" w:fill="FFFFFF"/>
          <w:lang w:eastAsia="zh-CN"/>
        </w:rPr>
      </w:pPr>
      <w:bookmarkStart w:id="10" w:name="_Toc799907804"/>
      <w:bookmarkStart w:id="11" w:name="_Toc26009"/>
      <w:bookmarkStart w:id="12" w:name="_Toc12546"/>
      <w:bookmarkStart w:id="13" w:name="_Toc18579"/>
      <w:bookmarkStart w:id="14" w:name="_Toc10147"/>
      <w:bookmarkStart w:id="15" w:name="_Toc27571"/>
      <w:bookmarkStart w:id="16" w:name="_Toc4351"/>
      <w:bookmarkStart w:id="17" w:name="_Toc15220"/>
      <w:r>
        <w:rPr>
          <w:rFonts w:hint="default" w:ascii="Times New Roman" w:hAnsi="Times New Roman" w:eastAsia="方正黑体简体" w:cs="Times New Roman"/>
          <w:color w:val="auto"/>
          <w:kern w:val="0"/>
          <w:sz w:val="32"/>
          <w:szCs w:val="32"/>
          <w:highlight w:val="none"/>
          <w:shd w:val="clear" w:color="auto" w:fill="FFFFFF"/>
        </w:rPr>
        <w:t>一、</w:t>
      </w:r>
      <w:bookmarkEnd w:id="7"/>
      <w:bookmarkEnd w:id="8"/>
      <w:r>
        <w:rPr>
          <w:rFonts w:hint="default" w:ascii="Times New Roman" w:hAnsi="Times New Roman" w:eastAsia="方正黑体简体" w:cs="Times New Roman"/>
          <w:color w:val="auto"/>
          <w:kern w:val="0"/>
          <w:sz w:val="32"/>
          <w:szCs w:val="32"/>
          <w:highlight w:val="none"/>
          <w:shd w:val="clear" w:color="auto" w:fill="FFFFFF"/>
        </w:rPr>
        <w:t>部门</w:t>
      </w:r>
      <w:bookmarkEnd w:id="9"/>
      <w:bookmarkEnd w:id="10"/>
      <w:bookmarkEnd w:id="11"/>
      <w:bookmarkStart w:id="18" w:name="_Toc16549"/>
      <w:bookmarkStart w:id="19" w:name="_Toc109483834"/>
      <w:bookmarkStart w:id="20" w:name="_Toc30550"/>
      <w:r>
        <w:rPr>
          <w:rFonts w:hint="default" w:ascii="Times New Roman" w:hAnsi="Times New Roman" w:eastAsia="方正黑体简体" w:cs="Times New Roman"/>
          <w:color w:val="auto"/>
          <w:kern w:val="0"/>
          <w:sz w:val="32"/>
          <w:szCs w:val="32"/>
          <w:highlight w:val="none"/>
          <w:shd w:val="clear" w:color="auto" w:fill="FFFFFF"/>
          <w:lang w:val="en-US" w:eastAsia="zh-CN"/>
        </w:rPr>
        <w:t>概况</w:t>
      </w:r>
      <w:bookmarkEnd w:id="12"/>
      <w:bookmarkEnd w:id="13"/>
      <w:bookmarkEnd w:id="14"/>
      <w:bookmarkEnd w:id="15"/>
      <w:bookmarkEnd w:id="16"/>
      <w:bookmarkEnd w:id="17"/>
    </w:p>
    <w:p w14:paraId="20C60406">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21" w:name="_Toc419097264"/>
      <w:bookmarkStart w:id="22" w:name="_Toc7513"/>
      <w:bookmarkStart w:id="23" w:name="_Toc19098"/>
      <w:bookmarkStart w:id="24" w:name="_Toc18535"/>
      <w:bookmarkStart w:id="25" w:name="_Toc24161"/>
      <w:bookmarkStart w:id="26" w:name="_Toc2337"/>
      <w:bookmarkStart w:id="27" w:name="_Toc11769"/>
      <w:bookmarkStart w:id="28" w:name="_Toc20865"/>
      <w:r>
        <w:rPr>
          <w:rFonts w:hint="default" w:ascii="Times New Roman" w:hAnsi="Times New Roman" w:eastAsia="方正楷体简体" w:cs="Times New Roman"/>
          <w:color w:val="auto"/>
          <w:kern w:val="2"/>
          <w:sz w:val="32"/>
          <w:szCs w:val="32"/>
          <w:highlight w:val="none"/>
          <w:shd w:val="clear"/>
          <w:lang w:val="zh-CN" w:eastAsia="zh-CN"/>
        </w:rPr>
        <w:t>（一）</w:t>
      </w:r>
      <w:bookmarkEnd w:id="18"/>
      <w:bookmarkEnd w:id="19"/>
      <w:bookmarkEnd w:id="20"/>
      <w:bookmarkEnd w:id="21"/>
      <w:bookmarkEnd w:id="22"/>
      <w:r>
        <w:rPr>
          <w:rFonts w:hint="default" w:ascii="Times New Roman" w:hAnsi="Times New Roman" w:eastAsia="方正楷体简体" w:cs="Times New Roman"/>
          <w:color w:val="auto"/>
          <w:kern w:val="2"/>
          <w:sz w:val="32"/>
          <w:szCs w:val="32"/>
          <w:highlight w:val="none"/>
          <w:shd w:val="clear"/>
          <w:lang w:val="zh-CN" w:eastAsia="zh-CN"/>
        </w:rPr>
        <w:t>部门基本情况</w:t>
      </w:r>
      <w:bookmarkEnd w:id="23"/>
      <w:bookmarkEnd w:id="24"/>
      <w:bookmarkEnd w:id="25"/>
      <w:bookmarkEnd w:id="26"/>
      <w:bookmarkEnd w:id="27"/>
      <w:bookmarkEnd w:id="28"/>
    </w:p>
    <w:p w14:paraId="05FA19E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fr-FR" w:eastAsia="zh-CN"/>
        </w:rPr>
      </w:pPr>
      <w:bookmarkStart w:id="29" w:name="_Toc109483835"/>
      <w:r>
        <w:rPr>
          <w:rFonts w:hint="default" w:ascii="Times New Roman" w:hAnsi="Times New Roman" w:eastAsia="方正仿宋_GB2312" w:cs="Times New Roman"/>
          <w:color w:val="auto"/>
          <w:sz w:val="32"/>
          <w:szCs w:val="32"/>
          <w:highlight w:val="none"/>
          <w:lang w:val="en-US" w:eastAsia="zh-CN"/>
        </w:rPr>
        <w:t>泸定县民族宗教事务局（以下简称县民宗局）</w:t>
      </w:r>
      <w:r>
        <w:rPr>
          <w:rFonts w:hint="default" w:ascii="Times New Roman" w:hAnsi="Times New Roman" w:eastAsia="方正仿宋_GB2312" w:cs="Times New Roman"/>
          <w:color w:val="auto"/>
          <w:sz w:val="32"/>
          <w:szCs w:val="32"/>
          <w:highlight w:val="none"/>
          <w:lang w:val="fr-FR" w:eastAsia="zh-CN"/>
        </w:rPr>
        <w:t>，属财政补助（收支统管、全额保障）的一级预算单位，机构性质：机关单位；单位负责人：</w:t>
      </w:r>
      <w:r>
        <w:rPr>
          <w:rFonts w:hint="default" w:ascii="Times New Roman" w:hAnsi="Times New Roman" w:eastAsia="方正仿宋_GB2312" w:cs="Times New Roman"/>
          <w:color w:val="auto"/>
          <w:sz w:val="32"/>
          <w:szCs w:val="32"/>
          <w:highlight w:val="none"/>
          <w:lang w:val="en-US" w:eastAsia="zh-CN"/>
        </w:rPr>
        <w:t>罗楚凯</w:t>
      </w:r>
      <w:r>
        <w:rPr>
          <w:rFonts w:hint="default" w:ascii="Times New Roman" w:hAnsi="Times New Roman" w:eastAsia="方正仿宋_GB2312" w:cs="Times New Roman"/>
          <w:color w:val="auto"/>
          <w:sz w:val="32"/>
          <w:szCs w:val="32"/>
          <w:highlight w:val="none"/>
          <w:lang w:val="fr-FR" w:eastAsia="zh-CN"/>
        </w:rPr>
        <w:t>；统一社会信用代码：</w:t>
      </w:r>
      <w:r>
        <w:rPr>
          <w:rFonts w:hint="default" w:ascii="Times New Roman" w:hAnsi="Times New Roman" w:eastAsia="方正仿宋_GB2312" w:cs="Times New Roman"/>
          <w:color w:val="auto"/>
          <w:sz w:val="32"/>
          <w:szCs w:val="32"/>
          <w:highlight w:val="none"/>
          <w:lang w:val="en-US" w:eastAsia="zh-CN"/>
        </w:rPr>
        <w:t>11513322734846144M</w:t>
      </w:r>
      <w:r>
        <w:rPr>
          <w:rFonts w:hint="default" w:ascii="Times New Roman" w:hAnsi="Times New Roman" w:eastAsia="方正仿宋_GB2312" w:cs="Times New Roman"/>
          <w:color w:val="auto"/>
          <w:sz w:val="32"/>
          <w:szCs w:val="32"/>
          <w:highlight w:val="none"/>
          <w:lang w:val="fr-FR" w:eastAsia="zh-CN"/>
        </w:rPr>
        <w:t>；单位所在地：</w:t>
      </w:r>
      <w:r>
        <w:rPr>
          <w:rFonts w:hint="default" w:ascii="Times New Roman" w:hAnsi="Times New Roman" w:eastAsia="方正仿宋_GB2312" w:cs="Times New Roman"/>
          <w:color w:val="auto"/>
          <w:sz w:val="32"/>
          <w:szCs w:val="32"/>
          <w:highlight w:val="none"/>
          <w:lang w:val="en-US" w:eastAsia="zh-CN"/>
        </w:rPr>
        <w:t>四川省泸定县泸桥镇红军路820号</w:t>
      </w:r>
      <w:r>
        <w:rPr>
          <w:rFonts w:hint="default" w:ascii="Times New Roman" w:hAnsi="Times New Roman" w:eastAsia="方正仿宋_GB2312" w:cs="Times New Roman"/>
          <w:color w:val="auto"/>
          <w:sz w:val="32"/>
          <w:szCs w:val="32"/>
          <w:highlight w:val="none"/>
          <w:lang w:val="fr-FR" w:eastAsia="zh-CN"/>
        </w:rPr>
        <w:t>。</w:t>
      </w:r>
    </w:p>
    <w:p w14:paraId="5FA54FAF">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eastAsia="zh"/>
        </w:rPr>
      </w:pPr>
      <w:bookmarkStart w:id="30" w:name="_Toc17750"/>
      <w:bookmarkStart w:id="31" w:name="_Toc31223"/>
      <w:bookmarkStart w:id="32" w:name="_Toc1278"/>
      <w:bookmarkStart w:id="33" w:name="_Toc28538"/>
      <w:bookmarkStart w:id="34" w:name="_Toc26703"/>
      <w:bookmarkStart w:id="35" w:name="_Toc16904"/>
      <w:r>
        <w:rPr>
          <w:rFonts w:hint="default" w:ascii="Times New Roman" w:hAnsi="Times New Roman" w:eastAsia="方正楷体简体" w:cs="Times New Roman"/>
          <w:color w:val="auto"/>
          <w:kern w:val="2"/>
          <w:sz w:val="32"/>
          <w:szCs w:val="32"/>
          <w:highlight w:val="none"/>
          <w:shd w:val="clear"/>
          <w:lang w:val="zh-CN" w:eastAsia="zh-CN"/>
        </w:rPr>
        <w:t>（二）部门</w:t>
      </w:r>
      <w:bookmarkEnd w:id="30"/>
      <w:bookmarkEnd w:id="31"/>
      <w:bookmarkEnd w:id="32"/>
      <w:r>
        <w:rPr>
          <w:rFonts w:hint="default" w:ascii="Times New Roman" w:hAnsi="Times New Roman" w:eastAsia="方正楷体简体" w:cs="Times New Roman"/>
          <w:color w:val="auto"/>
          <w:kern w:val="2"/>
          <w:sz w:val="32"/>
          <w:szCs w:val="32"/>
          <w:highlight w:val="none"/>
          <w:shd w:val="clear"/>
          <w:lang w:val="zh-CN" w:eastAsia="zh"/>
        </w:rPr>
        <w:t>内设机构及人员概况</w:t>
      </w:r>
      <w:bookmarkEnd w:id="33"/>
      <w:bookmarkEnd w:id="34"/>
      <w:bookmarkEnd w:id="35"/>
    </w:p>
    <w:p w14:paraId="7643B93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1.内设机构。泸定县民族宗教事务局是泸定县人民政府的工作部门，为正科级。民族宗教事务局内设机构4个，分别为：办公室、民族事务股、宗教事务股、民族开发资金管理办公室。</w:t>
      </w:r>
    </w:p>
    <w:p w14:paraId="65F0BD6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2.人员概况。截至2024年末，泸定县民族宗教事务局在职实有人数9人，其中行政8人，行政工勤1人。</w:t>
      </w:r>
    </w:p>
    <w:p w14:paraId="2171EDF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36" w:name="_Toc16978"/>
      <w:bookmarkStart w:id="37" w:name="_Toc568184988"/>
      <w:bookmarkStart w:id="38" w:name="_Toc12241"/>
      <w:bookmarkStart w:id="39" w:name="_Toc21223"/>
      <w:bookmarkStart w:id="40" w:name="_Toc16740"/>
      <w:bookmarkStart w:id="41" w:name="_Toc22604"/>
      <w:r>
        <w:rPr>
          <w:rFonts w:hint="default" w:ascii="Times New Roman" w:hAnsi="Times New Roman" w:eastAsia="方正楷体简体" w:cs="Times New Roman"/>
          <w:color w:val="auto"/>
          <w:kern w:val="2"/>
          <w:sz w:val="32"/>
          <w:szCs w:val="32"/>
          <w:highlight w:val="none"/>
          <w:shd w:val="clear"/>
          <w:lang w:val="zh-CN"/>
        </w:rPr>
        <w:t>（</w:t>
      </w:r>
      <w:r>
        <w:rPr>
          <w:rFonts w:hint="default" w:ascii="Times New Roman" w:hAnsi="Times New Roman" w:eastAsia="方正楷体简体" w:cs="Times New Roman"/>
          <w:color w:val="auto"/>
          <w:kern w:val="2"/>
          <w:sz w:val="32"/>
          <w:szCs w:val="32"/>
          <w:highlight w:val="none"/>
          <w:shd w:val="clear"/>
          <w:lang w:val="zh-CN" w:eastAsia="zh-CN"/>
        </w:rPr>
        <w:t>三</w:t>
      </w:r>
      <w:r>
        <w:rPr>
          <w:rFonts w:hint="default" w:ascii="Times New Roman" w:hAnsi="Times New Roman" w:eastAsia="方正楷体简体" w:cs="Times New Roman"/>
          <w:color w:val="auto"/>
          <w:kern w:val="2"/>
          <w:sz w:val="32"/>
          <w:szCs w:val="32"/>
          <w:highlight w:val="none"/>
          <w:shd w:val="clear"/>
          <w:lang w:val="zh-CN"/>
        </w:rPr>
        <w:t>）</w:t>
      </w:r>
      <w:bookmarkEnd w:id="29"/>
      <w:bookmarkEnd w:id="36"/>
      <w:bookmarkEnd w:id="37"/>
      <w:r>
        <w:rPr>
          <w:rFonts w:hint="default" w:ascii="Times New Roman" w:hAnsi="Times New Roman" w:eastAsia="方正楷体简体" w:cs="Times New Roman"/>
          <w:color w:val="auto"/>
          <w:kern w:val="2"/>
          <w:sz w:val="32"/>
          <w:szCs w:val="32"/>
          <w:highlight w:val="none"/>
          <w:shd w:val="clear"/>
          <w:lang w:val="zh-CN" w:eastAsia="zh-CN"/>
        </w:rPr>
        <w:t>部门职能职责</w:t>
      </w:r>
      <w:bookmarkEnd w:id="38"/>
      <w:bookmarkEnd w:id="39"/>
      <w:bookmarkEnd w:id="40"/>
      <w:bookmarkEnd w:id="41"/>
    </w:p>
    <w:p w14:paraId="2DDEC50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bookmarkStart w:id="42" w:name="_Toc14896"/>
      <w:bookmarkStart w:id="43" w:name="_Toc33"/>
      <w:bookmarkStart w:id="44" w:name="_Toc22594"/>
      <w:bookmarkStart w:id="45" w:name="_Toc13707"/>
      <w:bookmarkStart w:id="46" w:name="_Toc5982"/>
      <w:bookmarkStart w:id="47" w:name="_Toc15163"/>
      <w:bookmarkStart w:id="48" w:name="_Toc16871"/>
      <w:bookmarkStart w:id="49" w:name="_Toc109483836"/>
      <w:bookmarkStart w:id="50" w:name="_Toc1218480988"/>
      <w:bookmarkStart w:id="51" w:name="_Toc26564"/>
      <w:r>
        <w:rPr>
          <w:rFonts w:hint="default" w:ascii="Times New Roman" w:hAnsi="Times New Roman" w:eastAsia="方正仿宋_GB2312" w:cs="Times New Roman"/>
          <w:color w:val="auto"/>
          <w:sz w:val="32"/>
          <w:szCs w:val="32"/>
          <w:highlight w:val="none"/>
          <w:lang w:val="en-US" w:eastAsia="zh-CN"/>
        </w:rPr>
        <w:t>1.贯彻执行党和国家关于民族宗教工作的方针、政策、法律法规以及县委、县政府的决策部署；负责提出民族宗教地方性法规、规章建议，协调推进本系统依法行政，落实行政执法责任制；保障少数民族合法权益，督促指导民族区域自治法的贯彻落实。</w:t>
      </w:r>
    </w:p>
    <w:p w14:paraId="0994CF86">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2.组织开展民族宗教理论、政策及重大问题的调查研究；负责民族宗教动态和信息的收集、汇总、分析，提出有关民族宗教工作的政策建议。</w:t>
      </w:r>
    </w:p>
    <w:p w14:paraId="3C45636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3.组织协调有关部门履行民族宗教工作职责，推进民族宗教事务治理法治化、社会化管理工作，促进民族宗教政策在经济发展和社会事业等相关领域的实施、衔接；对全县民族宗教工作进行业务指导。</w:t>
      </w:r>
    </w:p>
    <w:p w14:paraId="01D45EF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4.研究提出协调民族关系、宗教关系的工作建议，会同有关部门处理涉及民族关系、宗教关系的重大事项，参与协调全县社会稳定工作，促进各民族共同团结奋斗、共同繁荣发展，维护国家统一。</w:t>
      </w:r>
    </w:p>
    <w:p w14:paraId="2AA2541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5.负责研究提出涉及民族地区经济社会发展的特殊政策建议；参与拟定少数民族和民族地区经济社会相关领域的发展规划和少数民族事业发展等专项规划并监督实施；承担民族地区统计分析和少数民族事业发展综合评价监测体系有关工作；协助民族地区民生工程的相关工作；参与协调民族地区对口支援、扶贫、经济技术合作，指导民族贸易、民族特需用品生产。管理少数民族发展资金和民族事业发展专项资金，管理资源不发达地区发展资金和民族地区开发资金。负责拟订全县少数民族事业发展专项规划，监督检查规划实施情况。</w:t>
      </w:r>
    </w:p>
    <w:p w14:paraId="2C84AE2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6.研究分析全县少数民族和民族地区经济发展、社会事业方面的问题并提出特殊政策建议，组织协调或参与配合实施县委、县政府部署的民族地区民生工程相关工作，参与协调全县科技发展、对口支援、经济技术合作和扶贫开发等相关工作。</w:t>
      </w:r>
    </w:p>
    <w:p w14:paraId="62EB1C87">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7.负责组织指导全县民族宗教方面的法律法规、政策及基本知识的宣传教育工作；组织开展民族团结进步创建活动；承办县委、县政府民族团结进步表彰活动；指导城市民族工作，协调城市民族关系；指导散杂居少数民族和民族乡工作；参与协调重大庆典活动。</w:t>
      </w:r>
    </w:p>
    <w:p w14:paraId="6784D59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8.负责管理全县少数民族语言文字工作，指导少数民族语言文字的翻译、出版和民族古籍的收集、整理、出版工作。</w:t>
      </w:r>
    </w:p>
    <w:p w14:paraId="5E96163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9.依法履行宗教事务管理职责，依法保护公民宗教信仰自由和正常的宗教活动，维护宗教界合法权益，促进宗教关系和谐。防范利用民族宗教进行的非法、违法活动，抵御境外利用民族宗教进行的分裂、渗透、破坏活动。</w:t>
      </w:r>
    </w:p>
    <w:p w14:paraId="527CC03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10.负责民族宗教事务方面的外事管理工作，组织指导民族宗教工作领域有关对外和对港澳台的交流、交往与合作；参与涉及民族宗教事务的对外宣传工作。</w:t>
      </w:r>
    </w:p>
    <w:p w14:paraId="4222E80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11.指导宗教团体依法依规开展活动，支持宗教团体加强自身建设，推动宗教团体在宗教界开展爱国主义、社会主义和维护祖国统一、民族团结的自我教育，办理宗教团体需由政府解决或协调的有关事务。</w:t>
      </w:r>
    </w:p>
    <w:p w14:paraId="670240C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12.参与拟订少数民族干部人才队伍、宗教工作队伍建设规划，研究提出全县少数民族干部队伍建设的政策建议，会同有关部门开展全县少数民族干部的培养教育和使用工作。</w:t>
      </w:r>
    </w:p>
    <w:p w14:paraId="2E368307">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13.承担泸定县民族团结进步创建工作领导小组的日常工作。</w:t>
      </w:r>
    </w:p>
    <w:p w14:paraId="08CD1AD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仿宋" w:cs="Times New Roman"/>
          <w:i w:val="0"/>
          <w:iCs w:val="0"/>
          <w:caps w:val="0"/>
          <w:color w:val="000000"/>
          <w:spacing w:val="0"/>
          <w:sz w:val="32"/>
          <w:szCs w:val="32"/>
        </w:rPr>
      </w:pPr>
      <w:r>
        <w:rPr>
          <w:rFonts w:hint="default" w:ascii="Times New Roman" w:hAnsi="Times New Roman" w:eastAsia="方正仿宋_GB2312" w:cs="Times New Roman"/>
          <w:color w:val="auto"/>
          <w:sz w:val="32"/>
          <w:szCs w:val="32"/>
          <w:highlight w:val="none"/>
          <w:lang w:val="en-US" w:eastAsia="zh-CN"/>
        </w:rPr>
        <w:t>14.完成县委、县政府交办的其他任务。</w:t>
      </w:r>
    </w:p>
    <w:p w14:paraId="069C751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0"/>
        <w:rPr>
          <w:rFonts w:hint="default" w:ascii="Times New Roman" w:hAnsi="Times New Roman" w:eastAsia="方正黑体简体" w:cs="Times New Roman"/>
          <w:color w:val="auto"/>
          <w:kern w:val="0"/>
          <w:sz w:val="32"/>
          <w:szCs w:val="32"/>
          <w:highlight w:val="none"/>
          <w:shd w:val="clear" w:color="auto" w:fill="auto"/>
          <w:lang w:val="zh-CN"/>
        </w:rPr>
      </w:pPr>
      <w:r>
        <w:rPr>
          <w:rFonts w:hint="default" w:ascii="Times New Roman" w:hAnsi="Times New Roman" w:eastAsia="方正黑体简体" w:cs="Times New Roman"/>
          <w:color w:val="auto"/>
          <w:kern w:val="0"/>
          <w:sz w:val="32"/>
          <w:szCs w:val="32"/>
          <w:highlight w:val="none"/>
          <w:shd w:val="clear" w:color="auto" w:fill="auto"/>
          <w:lang w:val="zh-CN"/>
        </w:rPr>
        <w:t>二、</w:t>
      </w:r>
      <w:r>
        <w:rPr>
          <w:rFonts w:hint="default" w:ascii="Times New Roman" w:hAnsi="Times New Roman" w:eastAsia="方正黑体简体" w:cs="Times New Roman"/>
          <w:color w:val="auto"/>
          <w:kern w:val="0"/>
          <w:sz w:val="32"/>
          <w:szCs w:val="32"/>
          <w:highlight w:val="none"/>
          <w:shd w:val="clear" w:color="auto" w:fill="auto"/>
          <w:lang w:val="en-US" w:eastAsia="zh-CN"/>
        </w:rPr>
        <w:t>部门收支</w:t>
      </w:r>
      <w:r>
        <w:rPr>
          <w:rFonts w:hint="default" w:ascii="Times New Roman" w:hAnsi="Times New Roman" w:eastAsia="方正黑体简体" w:cs="Times New Roman"/>
          <w:color w:val="auto"/>
          <w:kern w:val="0"/>
          <w:sz w:val="32"/>
          <w:szCs w:val="32"/>
          <w:highlight w:val="none"/>
          <w:shd w:val="clear" w:color="auto" w:fill="auto"/>
          <w:lang w:val="zh-CN"/>
        </w:rPr>
        <w:t>情况</w:t>
      </w:r>
      <w:bookmarkEnd w:id="42"/>
      <w:bookmarkEnd w:id="43"/>
      <w:bookmarkEnd w:id="44"/>
      <w:bookmarkEnd w:id="45"/>
      <w:bookmarkEnd w:id="46"/>
      <w:bookmarkEnd w:id="47"/>
      <w:bookmarkEnd w:id="48"/>
      <w:bookmarkEnd w:id="49"/>
      <w:bookmarkEnd w:id="50"/>
      <w:bookmarkEnd w:id="51"/>
      <w:bookmarkStart w:id="52" w:name="_Toc2659"/>
      <w:bookmarkStart w:id="53" w:name="_Toc109483837"/>
    </w:p>
    <w:bookmarkEnd w:id="52"/>
    <w:bookmarkEnd w:id="53"/>
    <w:p w14:paraId="24BA0DD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color="auto" w:fill="auto"/>
          <w:lang w:val="zh-CN"/>
        </w:rPr>
      </w:pPr>
      <w:bookmarkStart w:id="54" w:name="_Toc21428"/>
      <w:bookmarkStart w:id="55" w:name="_Toc32369"/>
      <w:bookmarkStart w:id="56" w:name="_Toc2374"/>
      <w:bookmarkStart w:id="57" w:name="_Toc29180"/>
      <w:bookmarkStart w:id="58" w:name="_Toc25866"/>
      <w:bookmarkStart w:id="59" w:name="_Toc1949541301"/>
      <w:bookmarkStart w:id="60" w:name="_Toc15898"/>
      <w:bookmarkStart w:id="61" w:name="_Toc11105"/>
      <w:r>
        <w:rPr>
          <w:rFonts w:hint="default" w:ascii="Times New Roman" w:hAnsi="Times New Roman" w:eastAsia="方正楷体简体" w:cs="Times New Roman"/>
          <w:color w:val="auto"/>
          <w:kern w:val="2"/>
          <w:sz w:val="32"/>
          <w:szCs w:val="32"/>
          <w:highlight w:val="none"/>
          <w:shd w:val="clear" w:color="auto" w:fill="auto"/>
          <w:lang w:val="zh-CN"/>
        </w:rPr>
        <w:t>（</w:t>
      </w:r>
      <w:r>
        <w:rPr>
          <w:rFonts w:hint="default" w:ascii="Times New Roman" w:hAnsi="Times New Roman" w:eastAsia="方正楷体简体" w:cs="Times New Roman"/>
          <w:color w:val="auto"/>
          <w:kern w:val="2"/>
          <w:sz w:val="32"/>
          <w:szCs w:val="32"/>
          <w:highlight w:val="none"/>
          <w:shd w:val="clear" w:color="auto" w:fill="auto"/>
          <w:lang w:val="fr-FR"/>
        </w:rPr>
        <w:t>一</w:t>
      </w:r>
      <w:r>
        <w:rPr>
          <w:rFonts w:hint="default" w:ascii="Times New Roman" w:hAnsi="Times New Roman" w:eastAsia="方正楷体简体" w:cs="Times New Roman"/>
          <w:color w:val="auto"/>
          <w:kern w:val="2"/>
          <w:sz w:val="32"/>
          <w:szCs w:val="32"/>
          <w:highlight w:val="none"/>
          <w:shd w:val="clear" w:color="auto" w:fill="auto"/>
          <w:lang w:val="zh-CN"/>
        </w:rPr>
        <w:t>）收入情况</w:t>
      </w:r>
      <w:bookmarkEnd w:id="54"/>
      <w:bookmarkEnd w:id="55"/>
      <w:bookmarkEnd w:id="56"/>
      <w:bookmarkEnd w:id="57"/>
      <w:bookmarkEnd w:id="58"/>
      <w:bookmarkEnd w:id="59"/>
      <w:bookmarkEnd w:id="60"/>
      <w:bookmarkEnd w:id="61"/>
      <w:bookmarkStart w:id="62" w:name="_Toc19132"/>
    </w:p>
    <w:bookmarkEnd w:id="62"/>
    <w:p w14:paraId="3B37BEF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bookmarkStart w:id="63" w:name="_Toc27782"/>
      <w:bookmarkStart w:id="64" w:name="_Toc21171"/>
      <w:bookmarkStart w:id="65" w:name="_Toc17751"/>
      <w:bookmarkStart w:id="66" w:name="_Toc109483838"/>
      <w:bookmarkStart w:id="67" w:name="_Toc349786989"/>
      <w:bookmarkStart w:id="68" w:name="_Toc27073"/>
      <w:bookmarkStart w:id="69" w:name="_Toc19326"/>
      <w:r>
        <w:rPr>
          <w:rFonts w:hint="default" w:ascii="Times New Roman" w:hAnsi="Times New Roman" w:eastAsia="方正仿宋_GB2312" w:cs="Times New Roman"/>
          <w:color w:val="auto"/>
          <w:sz w:val="32"/>
          <w:szCs w:val="32"/>
          <w:highlight w:val="none"/>
          <w:lang w:val="en-US" w:eastAsia="zh-CN"/>
        </w:rPr>
        <w:t>年初预算反映，县民宗局2024年预算收入合计242.99万元，上年结转结余0.00万元，无预算调整。本年收入242.99万元，全部为一般公共预算财政拨款收入。</w:t>
      </w:r>
    </w:p>
    <w:p w14:paraId="0FB3ADF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
        </w:rPr>
      </w:pPr>
      <w:r>
        <w:rPr>
          <w:rFonts w:hint="default" w:ascii="Times New Roman" w:hAnsi="Times New Roman" w:eastAsia="方正仿宋_GB2312" w:cs="Times New Roman"/>
          <w:color w:val="auto"/>
          <w:sz w:val="32"/>
          <w:szCs w:val="32"/>
          <w:highlight w:val="none"/>
          <w:lang w:val="en-US" w:eastAsia="zh-CN"/>
        </w:rPr>
        <w:t>决算报表反映，县民宗局2024年决算收入合计366.46万元，其中：本年收入366.46万元，年初结转和结余0.00万元。</w:t>
      </w:r>
    </w:p>
    <w:p w14:paraId="53A3587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rPr>
      </w:pPr>
      <w:bookmarkStart w:id="70" w:name="_Toc16309"/>
      <w:bookmarkStart w:id="71" w:name="_Toc15130"/>
      <w:bookmarkStart w:id="72" w:name="_Toc30600"/>
      <w:r>
        <w:rPr>
          <w:rFonts w:hint="default" w:ascii="Times New Roman" w:hAnsi="Times New Roman" w:eastAsia="方正楷体简体" w:cs="Times New Roman"/>
          <w:color w:val="auto"/>
          <w:kern w:val="2"/>
          <w:sz w:val="32"/>
          <w:szCs w:val="32"/>
          <w:highlight w:val="none"/>
          <w:shd w:val="clear"/>
          <w:lang w:val="zh-CN"/>
        </w:rPr>
        <w:t>（二）支出情况</w:t>
      </w:r>
      <w:bookmarkEnd w:id="63"/>
      <w:bookmarkEnd w:id="64"/>
      <w:bookmarkEnd w:id="65"/>
      <w:bookmarkEnd w:id="66"/>
      <w:bookmarkEnd w:id="67"/>
      <w:bookmarkEnd w:id="68"/>
      <w:bookmarkEnd w:id="69"/>
      <w:bookmarkEnd w:id="70"/>
      <w:bookmarkEnd w:id="71"/>
      <w:bookmarkEnd w:id="72"/>
    </w:p>
    <w:p w14:paraId="1CA0B0F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bookmarkStart w:id="73" w:name="_Toc10837"/>
      <w:bookmarkStart w:id="74" w:name="_Toc18390"/>
      <w:bookmarkStart w:id="75" w:name="_Toc24721"/>
      <w:bookmarkStart w:id="76" w:name="_Toc109483839"/>
      <w:bookmarkStart w:id="77" w:name="_Toc1457008154"/>
      <w:bookmarkStart w:id="78" w:name="_Toc13841"/>
      <w:bookmarkStart w:id="79" w:name="_Toc809"/>
      <w:r>
        <w:rPr>
          <w:rFonts w:hint="default" w:ascii="Times New Roman" w:hAnsi="Times New Roman" w:eastAsia="方正仿宋_GB2312" w:cs="Times New Roman"/>
          <w:color w:val="auto"/>
          <w:sz w:val="32"/>
          <w:szCs w:val="32"/>
          <w:highlight w:val="none"/>
          <w:lang w:val="en-US" w:eastAsia="zh-CN"/>
        </w:rPr>
        <w:t>年初预算反映，县民宗局2024年预算支出合计242.99万元，无年末结转和结余。本年支出中：基本支出199.99万元（人员经费177.09万元、公用经费22.90万元），项目支出43.00万元。</w:t>
      </w:r>
    </w:p>
    <w:p w14:paraId="4C346E4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决算报表反映，县民宗局2024年决算支出合计366.46万元，均为本年支出，无年末结转和结余。本年支出中：基本支出206.23万元（人员经费185.83万元、公用经费20.40万元），项目支出160.23万元。</w:t>
      </w:r>
    </w:p>
    <w:p w14:paraId="03B600DB">
      <w:pPr>
        <w:keepNext w:val="0"/>
        <w:keepLines w:val="0"/>
        <w:pageBreakBefore w:val="0"/>
        <w:widowControl w:val="0"/>
        <w:kinsoku/>
        <w:wordWrap/>
        <w:overflowPunct/>
        <w:topLinePunct w:val="0"/>
        <w:bidi w:val="0"/>
        <w:spacing w:line="560" w:lineRule="exact"/>
        <w:ind w:firstLine="640" w:firstLineChars="200"/>
        <w:textAlignment w:val="auto"/>
        <w:rPr>
          <w:rFonts w:hint="default" w:ascii="Times New Roman" w:hAnsi="Times New Roman" w:eastAsia="方正楷体简体" w:cs="Times New Roman"/>
          <w:color w:val="auto"/>
          <w:sz w:val="32"/>
          <w:szCs w:val="32"/>
          <w:highlight w:val="none"/>
          <w:lang w:val="zh-CN" w:eastAsia="zh-CN"/>
        </w:rPr>
      </w:pPr>
      <w:r>
        <w:rPr>
          <w:rFonts w:hint="default" w:ascii="Times New Roman" w:hAnsi="Times New Roman" w:eastAsia="方正楷体简体" w:cs="Times New Roman"/>
          <w:color w:val="auto"/>
          <w:sz w:val="32"/>
          <w:szCs w:val="32"/>
          <w:highlight w:val="none"/>
          <w:lang w:val="zh-CN" w:eastAsia="zh-CN"/>
        </w:rPr>
        <w:t>（三）结余分配和结转结余情况</w:t>
      </w:r>
    </w:p>
    <w:p w14:paraId="2889119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决算报表反映，2024年县民宗局年末无结余分配，无年末结转结余。</w:t>
      </w:r>
    </w:p>
    <w:p w14:paraId="4BC19A9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0"/>
        <w:rPr>
          <w:rFonts w:hint="default" w:ascii="Times New Roman" w:hAnsi="Times New Roman" w:eastAsia="方正黑体简体" w:cs="Times New Roman"/>
          <w:color w:val="auto"/>
          <w:kern w:val="0"/>
          <w:sz w:val="32"/>
          <w:szCs w:val="32"/>
          <w:highlight w:val="none"/>
          <w:shd w:val="clear" w:color="auto" w:fill="FFFFFF"/>
          <w:lang w:val="en-US" w:eastAsia="zh-CN"/>
        </w:rPr>
      </w:pPr>
      <w:bookmarkStart w:id="80" w:name="_Toc10974"/>
      <w:bookmarkStart w:id="81" w:name="_Toc7705"/>
      <w:bookmarkStart w:id="82" w:name="_Toc16353"/>
      <w:r>
        <w:rPr>
          <w:rFonts w:hint="default" w:ascii="Times New Roman" w:hAnsi="Times New Roman" w:eastAsia="方正黑体简体" w:cs="Times New Roman"/>
          <w:color w:val="auto"/>
          <w:kern w:val="0"/>
          <w:sz w:val="32"/>
          <w:szCs w:val="32"/>
          <w:highlight w:val="none"/>
          <w:shd w:val="clear" w:color="auto" w:fill="FFFFFF"/>
        </w:rPr>
        <w:t>三、</w:t>
      </w:r>
      <w:r>
        <w:rPr>
          <w:rFonts w:hint="default" w:ascii="Times New Roman" w:hAnsi="Times New Roman" w:eastAsia="方正黑体简体" w:cs="Times New Roman"/>
          <w:color w:val="auto"/>
          <w:kern w:val="0"/>
          <w:sz w:val="32"/>
          <w:szCs w:val="32"/>
          <w:highlight w:val="none"/>
          <w:shd w:val="clear" w:color="auto" w:fill="FFFFFF"/>
          <w:lang w:val="en-US" w:eastAsia="zh-CN"/>
        </w:rPr>
        <w:t>部门目标实现情况</w:t>
      </w:r>
      <w:bookmarkEnd w:id="73"/>
      <w:bookmarkEnd w:id="74"/>
      <w:bookmarkEnd w:id="75"/>
      <w:bookmarkEnd w:id="80"/>
      <w:bookmarkEnd w:id="81"/>
      <w:bookmarkEnd w:id="82"/>
    </w:p>
    <w:p w14:paraId="5552689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83" w:name="_Toc29501"/>
      <w:bookmarkStart w:id="84" w:name="_Toc19300"/>
      <w:bookmarkStart w:id="85" w:name="_Toc28011"/>
      <w:bookmarkStart w:id="86" w:name="_Toc22633"/>
      <w:bookmarkStart w:id="87" w:name="_Toc3573"/>
      <w:bookmarkStart w:id="88" w:name="_Toc1418"/>
      <w:r>
        <w:rPr>
          <w:rFonts w:hint="default" w:ascii="Times New Roman" w:hAnsi="Times New Roman" w:eastAsia="方正楷体简体" w:cs="Times New Roman"/>
          <w:color w:val="auto"/>
          <w:kern w:val="2"/>
          <w:sz w:val="32"/>
          <w:szCs w:val="32"/>
          <w:highlight w:val="none"/>
          <w:shd w:val="clear"/>
          <w:lang w:val="zh-CN" w:eastAsia="zh-CN"/>
        </w:rPr>
        <w:t>（一）总体目标</w:t>
      </w:r>
      <w:bookmarkEnd w:id="83"/>
      <w:bookmarkEnd w:id="84"/>
      <w:bookmarkEnd w:id="85"/>
      <w:bookmarkEnd w:id="86"/>
      <w:bookmarkEnd w:id="87"/>
      <w:bookmarkEnd w:id="88"/>
    </w:p>
    <w:p w14:paraId="345EB9B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bookmarkStart w:id="89" w:name="_Toc4650"/>
      <w:bookmarkStart w:id="90" w:name="_Toc30825"/>
      <w:bookmarkStart w:id="91" w:name="_Toc6926"/>
      <w:bookmarkStart w:id="92" w:name="_Toc24652"/>
      <w:bookmarkStart w:id="93" w:name="_Toc132"/>
      <w:bookmarkStart w:id="94" w:name="_Toc11959"/>
      <w:r>
        <w:rPr>
          <w:rFonts w:hint="default" w:ascii="Times New Roman" w:hAnsi="Times New Roman" w:eastAsia="方正仿宋_GB2312" w:cs="Times New Roman"/>
          <w:color w:val="auto"/>
          <w:sz w:val="32"/>
          <w:szCs w:val="32"/>
          <w:highlight w:val="none"/>
          <w:lang w:val="en-US" w:eastAsia="zh-CN"/>
        </w:rPr>
        <w:t>确保县域内不发生影响社会稳定事件，做到大事不出，小事及时处理，全县宗教工作正常开展，民族团结，社会持续稳定；2024年县民族宗教事务局将以习近平新时代中国特色社会主义思想为指导，全面贯彻执行党的民族宗教工作方针政策，紧紧围绕县委“12345”工作思路和民族宗教工作目标，始终铸牢中华民族共同体意识，突出宗教工作与民族团结进步工作相结合，全面履行宗教活动场所管理责任制，有效规范县域宗教事务管理，有力维护宗教和睦与社会和谐。一是认真做好全县宗教工作，加强宗教人士及民族宗教干部的业务培训，加大对宗教人士及信教群众的思想宣传引导，确保2024年县域内不发生影响社会稳定事件，做到大事不出，小事及时处理，全县宗教工作正常开展，社会持续稳定；二是进一步巩固民族团结进步创建成功，到2024年底，平等、团结、互助、和谐的社会主义新型民族关系更加巩固，民族团结进步事业走在全州前列；三是认真开展藏历新年、彝年、火把节的民族文化活动及慰问，体现党和政府对少数民族群体的特殊关怀和特殊照顾，促进各民族的交往、交流、交融，促进民族团结。</w:t>
      </w:r>
    </w:p>
    <w:p w14:paraId="332148A8">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r>
        <w:rPr>
          <w:rFonts w:hint="default" w:ascii="Times New Roman" w:hAnsi="Times New Roman" w:eastAsia="方正楷体简体" w:cs="Times New Roman"/>
          <w:color w:val="auto"/>
          <w:kern w:val="2"/>
          <w:sz w:val="32"/>
          <w:szCs w:val="32"/>
          <w:highlight w:val="none"/>
          <w:shd w:val="clear"/>
          <w:lang w:val="zh-CN" w:eastAsia="zh-CN"/>
        </w:rPr>
        <w:t>（二）具体目标</w:t>
      </w:r>
      <w:bookmarkEnd w:id="89"/>
      <w:bookmarkEnd w:id="90"/>
      <w:bookmarkEnd w:id="91"/>
      <w:bookmarkEnd w:id="92"/>
      <w:bookmarkEnd w:id="93"/>
      <w:bookmarkEnd w:id="94"/>
    </w:p>
    <w:p w14:paraId="54A408D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bookmarkStart w:id="95" w:name="_Toc24081"/>
      <w:bookmarkStart w:id="96" w:name="_Toc6491"/>
      <w:bookmarkStart w:id="97" w:name="_Toc17536"/>
      <w:r>
        <w:rPr>
          <w:rFonts w:hint="default" w:ascii="Times New Roman" w:hAnsi="Times New Roman" w:eastAsia="方正仿宋_GB2312" w:cs="Times New Roman"/>
          <w:color w:val="auto"/>
          <w:sz w:val="32"/>
          <w:szCs w:val="32"/>
          <w:highlight w:val="none"/>
          <w:lang w:val="en-US" w:eastAsia="zh-CN"/>
        </w:rPr>
        <w:t>县民宗局2024年认真落实中央、省、州纪委全会部署安排，完成了以下工作任务：</w:t>
      </w:r>
    </w:p>
    <w:p w14:paraId="7CDD8E0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bookmarkStart w:id="98" w:name="_Toc13068"/>
      <w:bookmarkStart w:id="99" w:name="_Toc32189"/>
      <w:bookmarkStart w:id="100" w:name="_Toc21154"/>
      <w:r>
        <w:rPr>
          <w:rFonts w:hint="default" w:ascii="Times New Roman" w:hAnsi="Times New Roman" w:eastAsia="方正仿宋_GB2312" w:cs="Times New Roman"/>
          <w:color w:val="auto"/>
          <w:sz w:val="32"/>
          <w:szCs w:val="32"/>
          <w:highlight w:val="none"/>
          <w:lang w:val="en-US" w:eastAsia="zh-CN"/>
        </w:rPr>
        <w:t>1.加强宣传教育，强化思想认识。认真贯彻落实中央和省、州关于民族宗教工作的决策部署和相关会议文件精神，特别要加强党的二十大精神的宣传学习和贯彻落实。强化民宗干部的政治站位和政治自觉，加强信教群众和宗教界人士的宣传引导，不断提高宗教人士和信教群众的法律意识，确保我县宗教领域和谐稳定。</w:t>
      </w:r>
    </w:p>
    <w:p w14:paraId="48FD875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依法规范宗教事务管理。紧紧围绕“人员、活动、场所、财务、教务”五要素，严格执行《宗教事务条例》和我州4个管理办法，依法加强宗教事务管理。持续开展法律进寺庙活动，进一步加强民族宗教政策、法律法规的宣传学习教育，引导干部群众和宗教界人士牢固树立“三个离不开”“五个认同”，积极引导信教群众牢固树立社会主义核心价值观，引导宗教与社会主义社会相适应。</w:t>
      </w:r>
    </w:p>
    <w:p w14:paraId="70C2511B">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强化预警维护稳定。坚持情报信息会商研判制度，构建宗教领域维稳、反分裂、防渗透防线。与政法、宣传、统战、公安部门密切协作、情报共享、会商研判，严防宗教极端思想、宗教地下势力在我县渗透蔓延，全力维护我县民族宗教领域和睦和顺。</w:t>
      </w:r>
    </w:p>
    <w:p w14:paraId="6CC5F92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4.巩固拓展民族团结进步创建成果。以铸牢中华民族共同体意识为主线，继续巩固拓展全国民族团结进步示范县创建成果，健全完善创建工作体系，以民族团结进家庭为载体，组织开展好富有特色的各种活动。</w:t>
      </w:r>
    </w:p>
    <w:p w14:paraId="358AF5B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5.积极做好“9·5”地震灾后重建工作。一是做好受灾宗教活动场所的灾后恢复重建和维修加固工作；二是配合共建支部做好堡子村的恢复重建工作；三是深入共建支部、联谊户家庭、宗教活动场所宣传灾后重建相关政策。</w:t>
      </w:r>
    </w:p>
    <w:p w14:paraId="234D532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0"/>
        <w:rPr>
          <w:rFonts w:hint="default" w:ascii="Times New Roman" w:hAnsi="Times New Roman" w:eastAsia="方正黑体简体" w:cs="Times New Roman"/>
          <w:color w:val="auto"/>
          <w:kern w:val="0"/>
          <w:sz w:val="32"/>
          <w:szCs w:val="32"/>
          <w:highlight w:val="none"/>
          <w:shd w:val="clear" w:color="auto" w:fill="FFFFFF"/>
        </w:rPr>
      </w:pPr>
      <w:r>
        <w:rPr>
          <w:rFonts w:hint="default" w:ascii="Times New Roman" w:hAnsi="Times New Roman" w:eastAsia="方正黑体简体" w:cs="Times New Roman"/>
          <w:color w:val="auto"/>
          <w:kern w:val="0"/>
          <w:sz w:val="32"/>
          <w:szCs w:val="32"/>
          <w:highlight w:val="none"/>
          <w:shd w:val="clear" w:color="auto" w:fill="FFFFFF"/>
          <w:lang w:val="en-US" w:eastAsia="zh-CN"/>
        </w:rPr>
        <w:t>四、</w:t>
      </w:r>
      <w:r>
        <w:rPr>
          <w:rFonts w:hint="default" w:ascii="Times New Roman" w:hAnsi="Times New Roman" w:eastAsia="方正黑体简体" w:cs="Times New Roman"/>
          <w:color w:val="auto"/>
          <w:kern w:val="0"/>
          <w:sz w:val="32"/>
          <w:szCs w:val="32"/>
          <w:highlight w:val="none"/>
          <w:shd w:val="clear" w:color="auto" w:fill="FFFFFF"/>
        </w:rPr>
        <w:t>部门整体支出</w:t>
      </w:r>
      <w:r>
        <w:rPr>
          <w:rFonts w:hint="default" w:ascii="Times New Roman" w:hAnsi="Times New Roman" w:eastAsia="方正黑体简体" w:cs="Times New Roman"/>
          <w:color w:val="auto"/>
          <w:kern w:val="0"/>
          <w:sz w:val="32"/>
          <w:szCs w:val="32"/>
          <w:highlight w:val="none"/>
          <w:shd w:val="clear" w:color="auto" w:fill="FFFFFF"/>
          <w:lang w:val="zh-CN"/>
        </w:rPr>
        <w:t>绩效评价</w:t>
      </w:r>
      <w:r>
        <w:rPr>
          <w:rFonts w:hint="default" w:ascii="Times New Roman" w:hAnsi="Times New Roman" w:eastAsia="方正黑体简体" w:cs="Times New Roman"/>
          <w:color w:val="auto"/>
          <w:kern w:val="0"/>
          <w:sz w:val="32"/>
          <w:szCs w:val="32"/>
          <w:highlight w:val="none"/>
          <w:shd w:val="clear" w:color="auto" w:fill="FFFFFF"/>
        </w:rPr>
        <w:t>情况</w:t>
      </w:r>
      <w:bookmarkEnd w:id="76"/>
      <w:bookmarkEnd w:id="77"/>
      <w:bookmarkEnd w:id="78"/>
      <w:bookmarkEnd w:id="79"/>
      <w:bookmarkEnd w:id="95"/>
      <w:bookmarkEnd w:id="96"/>
      <w:bookmarkEnd w:id="97"/>
      <w:bookmarkEnd w:id="98"/>
      <w:bookmarkEnd w:id="99"/>
      <w:bookmarkEnd w:id="100"/>
    </w:p>
    <w:p w14:paraId="5A75D54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101" w:name="_Toc24977"/>
      <w:bookmarkStart w:id="102" w:name="_Toc11694"/>
      <w:bookmarkStart w:id="103" w:name="_Toc28828"/>
      <w:bookmarkStart w:id="104" w:name="_Toc7521"/>
      <w:bookmarkStart w:id="105" w:name="_Toc29571"/>
      <w:bookmarkStart w:id="106" w:name="_Toc24619"/>
      <w:bookmarkStart w:id="107" w:name="_Toc8903"/>
      <w:bookmarkStart w:id="108" w:name="_Toc428273082"/>
      <w:bookmarkStart w:id="109" w:name="_Toc27305"/>
      <w:bookmarkStart w:id="110" w:name="_Toc109483840"/>
      <w:bookmarkStart w:id="111" w:name="_Toc4199"/>
      <w:r>
        <w:rPr>
          <w:rFonts w:hint="default" w:ascii="Times New Roman" w:hAnsi="Times New Roman" w:eastAsia="方正楷体简体" w:cs="Times New Roman"/>
          <w:color w:val="auto"/>
          <w:kern w:val="2"/>
          <w:sz w:val="32"/>
          <w:szCs w:val="32"/>
          <w:highlight w:val="none"/>
          <w:shd w:val="clear"/>
          <w:lang w:val="zh-CN" w:eastAsia="zh-CN"/>
        </w:rPr>
        <w:t>（一）绩效评价实施过程</w:t>
      </w:r>
      <w:bookmarkEnd w:id="101"/>
      <w:bookmarkEnd w:id="102"/>
      <w:bookmarkEnd w:id="103"/>
      <w:bookmarkEnd w:id="104"/>
      <w:bookmarkEnd w:id="105"/>
      <w:bookmarkEnd w:id="106"/>
    </w:p>
    <w:p w14:paraId="3E043EB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评价小组按照评价日程安排，对</w:t>
      </w:r>
      <w:r>
        <w:rPr>
          <w:rFonts w:hint="default" w:ascii="Times New Roman" w:hAnsi="Times New Roman" w:eastAsia="方正仿宋_GB2312" w:cs="Times New Roman"/>
          <w:color w:val="auto"/>
          <w:sz w:val="32"/>
          <w:szCs w:val="32"/>
          <w:highlight w:val="none"/>
          <w:lang w:val="en-US" w:eastAsia="zh-CN"/>
        </w:rPr>
        <w:t>县民宗局</w:t>
      </w:r>
      <w:r>
        <w:rPr>
          <w:rFonts w:hint="default" w:ascii="Times New Roman" w:hAnsi="Times New Roman" w:eastAsia="方正仿宋_GB2312" w:cs="Times New Roman"/>
          <w:color w:val="auto"/>
          <w:sz w:val="32"/>
          <w:szCs w:val="32"/>
          <w:highlight w:val="none"/>
          <w:lang w:val="zh-CN" w:eastAsia="zh-CN"/>
        </w:rPr>
        <w:t>提交的评价资料进行认真梳理，测算分析各项指标，汇总评分并形成评价报告。</w:t>
      </w:r>
    </w:p>
    <w:p w14:paraId="5A0A372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1.对相关资料进行研读，对整体评价有基本的把握和了解，归纳出进一步评价所需的信息供下一步取数参考。</w:t>
      </w:r>
    </w:p>
    <w:p w14:paraId="5D575BB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2.集中对各个评价指标逐一进行分析，以保证取数的准确性。</w:t>
      </w:r>
    </w:p>
    <w:p w14:paraId="777A176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3.评价小组汇总分析评价过程中发现的问题并对存在问题进行讨论，根据取得的数据分别计算各评价指标所得分数，形成评价结果。</w:t>
      </w:r>
    </w:p>
    <w:p w14:paraId="3B0DF91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4.根据评价结果，撰写评价报告。</w:t>
      </w:r>
    </w:p>
    <w:p w14:paraId="0280D38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5.与绩效评价相关者沟通，完善并形成绩效评价报告终稿。</w:t>
      </w:r>
    </w:p>
    <w:p w14:paraId="2ADF116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en-US" w:eastAsia="zh-CN"/>
        </w:rPr>
      </w:pPr>
      <w:bookmarkStart w:id="112" w:name="_Toc3794"/>
      <w:bookmarkStart w:id="113" w:name="_Toc23900"/>
      <w:bookmarkStart w:id="114" w:name="_Toc4385"/>
      <w:bookmarkStart w:id="115" w:name="_Toc16416"/>
      <w:bookmarkStart w:id="116" w:name="_Toc30977"/>
      <w:bookmarkStart w:id="117" w:name="_Toc24380"/>
      <w:r>
        <w:rPr>
          <w:rFonts w:hint="default" w:ascii="Times New Roman" w:hAnsi="Times New Roman" w:eastAsia="方正楷体简体" w:cs="Times New Roman"/>
          <w:color w:val="auto"/>
          <w:kern w:val="2"/>
          <w:sz w:val="32"/>
          <w:szCs w:val="32"/>
          <w:highlight w:val="none"/>
          <w:shd w:val="clear"/>
          <w:lang w:val="zh-CN" w:eastAsia="zh-CN"/>
        </w:rPr>
        <w:t>（</w:t>
      </w:r>
      <w:r>
        <w:rPr>
          <w:rFonts w:hint="default" w:ascii="Times New Roman" w:hAnsi="Times New Roman" w:eastAsia="方正楷体简体" w:cs="Times New Roman"/>
          <w:color w:val="auto"/>
          <w:kern w:val="2"/>
          <w:sz w:val="32"/>
          <w:szCs w:val="32"/>
          <w:highlight w:val="none"/>
          <w:shd w:val="clear"/>
          <w:lang w:val="en-US" w:eastAsia="zh-CN"/>
        </w:rPr>
        <w:t>二）</w:t>
      </w:r>
      <w:bookmarkEnd w:id="107"/>
      <w:bookmarkEnd w:id="108"/>
      <w:r>
        <w:rPr>
          <w:rFonts w:hint="default" w:ascii="Times New Roman" w:hAnsi="Times New Roman" w:eastAsia="方正楷体简体" w:cs="Times New Roman"/>
          <w:color w:val="auto"/>
          <w:kern w:val="2"/>
          <w:sz w:val="32"/>
          <w:szCs w:val="32"/>
          <w:highlight w:val="none"/>
          <w:shd w:val="clear"/>
          <w:lang w:val="en-US" w:eastAsia="zh-CN"/>
        </w:rPr>
        <w:t>评价结论</w:t>
      </w:r>
      <w:bookmarkEnd w:id="112"/>
      <w:bookmarkEnd w:id="113"/>
      <w:bookmarkEnd w:id="114"/>
      <w:bookmarkEnd w:id="115"/>
      <w:bookmarkEnd w:id="116"/>
      <w:bookmarkEnd w:id="117"/>
    </w:p>
    <w:bookmarkEnd w:id="109"/>
    <w:bookmarkEnd w:id="110"/>
    <w:bookmarkEnd w:id="111"/>
    <w:p w14:paraId="11D0484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度，县民宗局以习近平新时代中国特色社会主义思想为指导，全面贯彻执行党的民族宗教工作方针政策，紧紧围绕县委“12345”工作思路和民族宗教工作目标，始终铸牢中华民族共同体意识，突出宗教工作与民族团结进步工作相结合，全面履行宗教活动场所管理责任制，有效规范县域宗教事务管理，有力维护宗教和睦与社会和谐。县民宗局在维持部门运转的基础上，完成了部门职责范围内的各项工作，部门履职情况较好。</w:t>
      </w:r>
    </w:p>
    <w:p w14:paraId="38EC8196">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按照设定的评价指标体系，通过对县民宗局</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4年度部门整体支出情况在预算编制、预算执行、完成结果、信息公开、整改反馈、自评质量方面进行综合评价，</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4年度县民宗局部门整体支出绩效评价指标分值100.00分，得分86.33分。详见下表：</w:t>
      </w:r>
    </w:p>
    <w:p w14:paraId="586E1AED">
      <w:pPr>
        <w:keepNext w:val="0"/>
        <w:keepLines w:val="0"/>
        <w:pageBreakBefore w:val="0"/>
        <w:widowControl w:val="0"/>
        <w:kinsoku/>
        <w:wordWrap/>
        <w:overflowPunct/>
        <w:topLinePunct w:val="0"/>
        <w:autoSpaceDE/>
        <w:autoSpaceDN/>
        <w:bidi w:val="0"/>
        <w:adjustRightInd/>
        <w:snapToGrid/>
        <w:spacing w:line="600" w:lineRule="exact"/>
        <w:ind w:left="0" w:firstLine="0" w:firstLineChars="0"/>
        <w:jc w:val="center"/>
        <w:textAlignment w:val="auto"/>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县民宗局</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4年部门整体支出绩效评价评分表</w:t>
      </w:r>
    </w:p>
    <w:tbl>
      <w:tblPr>
        <w:tblStyle w:val="19"/>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88"/>
        <w:gridCol w:w="2292"/>
        <w:gridCol w:w="1318"/>
        <w:gridCol w:w="621"/>
        <w:gridCol w:w="959"/>
        <w:gridCol w:w="833"/>
      </w:tblGrid>
      <w:tr w14:paraId="690DB9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F2E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bookmarkStart w:id="118" w:name="_Toc13729"/>
            <w:bookmarkStart w:id="119" w:name="_Toc4242"/>
            <w:bookmarkStart w:id="120" w:name="_Toc14707"/>
            <w:bookmarkStart w:id="121" w:name="_Toc16394"/>
            <w:bookmarkStart w:id="122" w:name="_Toc109483841"/>
            <w:bookmarkStart w:id="123" w:name="_Toc26985"/>
            <w:bookmarkStart w:id="124" w:name="_Toc1687911260"/>
            <w:bookmarkStart w:id="125" w:name="_Toc24818"/>
            <w:bookmarkStart w:id="126" w:name="_Toc28266"/>
            <w:bookmarkStart w:id="127" w:name="_Toc31945"/>
            <w:r>
              <w:rPr>
                <w:rFonts w:hint="default" w:ascii="Times New Roman" w:hAnsi="Times New Roman" w:eastAsia="方正仿宋_GB2312" w:cs="Times New Roman"/>
                <w:b/>
                <w:bCs/>
                <w:i w:val="0"/>
                <w:iCs w:val="0"/>
                <w:color w:val="000000"/>
                <w:kern w:val="0"/>
                <w:sz w:val="20"/>
                <w:szCs w:val="20"/>
                <w:u w:val="none"/>
                <w:lang w:val="en-US" w:eastAsia="zh-CN" w:bidi="ar"/>
              </w:rPr>
              <w:t>一级指标</w:t>
            </w: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599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二级指标</w:t>
            </w:r>
          </w:p>
        </w:tc>
        <w:tc>
          <w:tcPr>
            <w:tcW w:w="7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BB9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三级指标</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9F3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分值</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BA0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扣分</w:t>
            </w: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11A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得分</w:t>
            </w:r>
          </w:p>
        </w:tc>
      </w:tr>
      <w:tr w14:paraId="29F6C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jc w:val="center"/>
        </w:trPr>
        <w:tc>
          <w:tcPr>
            <w:tcW w:w="14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E13E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部门预算管理（50分）</w:t>
            </w:r>
          </w:p>
        </w:tc>
        <w:tc>
          <w:tcPr>
            <w:tcW w:w="1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73F0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目标管理（15分）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D4D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目标制定</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15F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3CF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w:t>
            </w: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B646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8</w:t>
            </w:r>
          </w:p>
        </w:tc>
      </w:tr>
      <w:tr w14:paraId="3030C6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4EF4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F948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5BD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目标实现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B83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39B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28F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r>
      <w:tr w14:paraId="638ADD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6BAC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166A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过程控制（10分）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9A2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执行进度</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DD3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CCE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1.45</w:t>
            </w: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730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2.55</w:t>
            </w:r>
          </w:p>
        </w:tc>
      </w:tr>
      <w:tr w14:paraId="5B091B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BB7D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E3D5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C55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同步调整</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7C5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BB4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2FE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r>
      <w:tr w14:paraId="2A1C71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6FAC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2C85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BC2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及时处置</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604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BFB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997A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r>
      <w:tr w14:paraId="6A165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63D2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6F2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完成效率（5分）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370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预算结余率</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186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D7A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3.89</w:t>
            </w: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974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1.11</w:t>
            </w:r>
          </w:p>
        </w:tc>
      </w:tr>
      <w:tr w14:paraId="08925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559E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F30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完成效果（20分）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0E5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实施效果</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532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3FC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1.03</w:t>
            </w: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45E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18.97</w:t>
            </w:r>
          </w:p>
        </w:tc>
      </w:tr>
      <w:tr w14:paraId="1337DF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jc w:val="center"/>
        </w:trPr>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D2D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专项预算绩效（30分）</w:t>
            </w: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1D1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整体完成（30分）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D03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完成率</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A55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87B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3.3</w:t>
            </w: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315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26.7</w:t>
            </w:r>
          </w:p>
        </w:tc>
      </w:tr>
      <w:tr w14:paraId="0617B3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CEE1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绩效结果应用（14分）</w:t>
            </w: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0B6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内部应用（4分）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1D8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预算挂钩</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098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3A3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w:t>
            </w: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29A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w:t>
            </w:r>
          </w:p>
        </w:tc>
      </w:tr>
      <w:tr w14:paraId="0B21D7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B8C1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1A3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信息公开（4分）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8C8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自评公开</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E36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037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5A1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r>
      <w:tr w14:paraId="34C350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F630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BAE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整改反馈（6分）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A0A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问题整改</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33F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635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EEA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r>
      <w:tr w14:paraId="67312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0" w:hRule="atLeast"/>
          <w:jc w:val="center"/>
        </w:trPr>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3A7B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自评质量（6分）</w:t>
            </w: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757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自评质量（6分）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669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51E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960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C51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r>
      <w:tr w14:paraId="0CFDB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3582"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2D2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合计</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6F0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100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B2A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13.67</w:t>
            </w:r>
          </w:p>
        </w:tc>
        <w:tc>
          <w:tcPr>
            <w:tcW w:w="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422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86.33</w:t>
            </w:r>
          </w:p>
        </w:tc>
      </w:tr>
    </w:tbl>
    <w:p w14:paraId="7CAEDB59">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en-US" w:eastAsia="zh-CN"/>
        </w:rPr>
      </w:pPr>
      <w:r>
        <w:rPr>
          <w:rFonts w:hint="default" w:ascii="Times New Roman" w:hAnsi="Times New Roman" w:eastAsia="方正楷体简体" w:cs="Times New Roman"/>
          <w:color w:val="auto"/>
          <w:kern w:val="2"/>
          <w:sz w:val="32"/>
          <w:szCs w:val="32"/>
          <w:highlight w:val="none"/>
          <w:shd w:val="clear"/>
          <w:lang w:val="en-US" w:eastAsia="zh-CN"/>
        </w:rPr>
        <w:t>（三）绩效结果应用</w:t>
      </w:r>
      <w:bookmarkEnd w:id="118"/>
      <w:bookmarkEnd w:id="119"/>
      <w:bookmarkEnd w:id="120"/>
    </w:p>
    <w:p w14:paraId="3974C46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民宗局坚持以党的二十大精神、习近平新时代中国特色社会主义思想为指导，深入贯彻落实中央、省、州、县宗教工作会议精神及甘孜州委藏传佛教工作会议精神（丹巴、九龙、泸定片区），紧紧围绕县委、县政府的中心工作，持续推进全局各项工作有效落实。通过评价组对县民宗局进行事后评价，最终县民宗局绩效等级为“良”。秉承科学公正、统筹兼顾、激励约束和公开透明财政绩效原则。</w:t>
      </w:r>
      <w:r>
        <w:rPr>
          <w:rFonts w:hint="eastAsia" w:eastAsia="方正仿宋_GB2312" w:cs="Times New Roman"/>
          <w:color w:val="auto"/>
          <w:sz w:val="32"/>
          <w:szCs w:val="32"/>
          <w:highlight w:val="none"/>
          <w:lang w:val="en-US" w:eastAsia="zh-CN"/>
        </w:rPr>
        <w:t>我局</w:t>
      </w:r>
      <w:r>
        <w:rPr>
          <w:rFonts w:hint="default" w:ascii="Times New Roman" w:hAnsi="Times New Roman" w:eastAsia="方正仿宋_GB2312" w:cs="Times New Roman"/>
          <w:color w:val="auto"/>
          <w:sz w:val="32"/>
          <w:szCs w:val="32"/>
          <w:highlight w:val="none"/>
          <w:lang w:val="en-US" w:eastAsia="zh-CN"/>
        </w:rPr>
        <w:t>建议泸定县财政局针对部门预算绩效管理，进一步要求县民宗局完善绩效目标编制、建立预算绩效挂钩机制、加强年初预算编制准确性。</w:t>
      </w:r>
    </w:p>
    <w:p w14:paraId="0651BF79">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en-US" w:eastAsia="zh-CN"/>
        </w:rPr>
      </w:pPr>
      <w:bookmarkStart w:id="128" w:name="_Toc11390"/>
      <w:bookmarkStart w:id="129" w:name="_Toc6100"/>
      <w:bookmarkStart w:id="130" w:name="_Toc26977"/>
      <w:r>
        <w:rPr>
          <w:rFonts w:hint="default" w:ascii="Times New Roman" w:hAnsi="Times New Roman" w:eastAsia="方正楷体简体" w:cs="Times New Roman"/>
          <w:color w:val="auto"/>
          <w:kern w:val="2"/>
          <w:sz w:val="32"/>
          <w:szCs w:val="32"/>
          <w:highlight w:val="none"/>
          <w:shd w:val="clear"/>
          <w:lang w:val="en-US" w:eastAsia="zh-CN"/>
        </w:rPr>
        <w:t>（四）</w:t>
      </w:r>
      <w:bookmarkEnd w:id="121"/>
      <w:bookmarkEnd w:id="122"/>
      <w:bookmarkEnd w:id="123"/>
      <w:bookmarkEnd w:id="124"/>
      <w:r>
        <w:rPr>
          <w:rFonts w:hint="default" w:ascii="Times New Roman" w:hAnsi="Times New Roman" w:eastAsia="方正楷体简体" w:cs="Times New Roman"/>
          <w:color w:val="auto"/>
          <w:kern w:val="2"/>
          <w:sz w:val="32"/>
          <w:szCs w:val="32"/>
          <w:highlight w:val="none"/>
          <w:shd w:val="clear"/>
          <w:lang w:val="en-US" w:eastAsia="zh-CN"/>
        </w:rPr>
        <w:t>评价分析</w:t>
      </w:r>
      <w:bookmarkEnd w:id="125"/>
      <w:bookmarkEnd w:id="126"/>
      <w:bookmarkEnd w:id="127"/>
      <w:bookmarkEnd w:id="128"/>
      <w:bookmarkEnd w:id="129"/>
      <w:bookmarkEnd w:id="130"/>
    </w:p>
    <w:p w14:paraId="6BF6F19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1.部门预算总体绩效管理情况</w:t>
      </w:r>
    </w:p>
    <w:p w14:paraId="18E7688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（1）目标管理</w:t>
      </w:r>
    </w:p>
    <w:p w14:paraId="14F83ED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二级指标“目标管理”下设两个三级指标分别为：目标制定、目标实现。</w:t>
      </w:r>
    </w:p>
    <w:p w14:paraId="5852C13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①目标制定</w:t>
      </w:r>
    </w:p>
    <w:p w14:paraId="6BF4B43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民宗局在泸定县人民政府门户网站公开的2024年度部门预算和绩效目标，制定了年度部门及项目整体支出绩效目标，绩效目标涵盖数量、质量、时效、效益等指标，绩效目标随预算已上报人大完成审核，部门整体项目绩效目标经绩效管理工作组审议，已将部门绩效目标纳入集体决策范围。根据现场评价情况，泸定县民族宗教事务局《部门（单位）整体支出绩效目标申报表》目标要素齐全，但存在整体目标不够细化，绩效目标设置冗余不准确、不完整等问题。</w:t>
      </w:r>
    </w:p>
    <w:p w14:paraId="4392A5A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本项分值为10.00分，扣2.00分，得分为8.00分。</w:t>
      </w:r>
    </w:p>
    <w:p w14:paraId="051439E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②目标实现</w:t>
      </w:r>
    </w:p>
    <w:p w14:paraId="692F37B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民宗局提供的2024年度年初预算项目绩效目标申报表及项目完成资料，县民族宗教事务局整体涉及7个数量指标，1个成本指标。根据现场评价情况，实际完成7个数量指标，完成率100%；实际完成1个质量指标，完成率100%。</w:t>
      </w:r>
    </w:p>
    <w:p w14:paraId="35DC9D77">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本项分值为5.00分，扣0.00分，得分为5.00分。</w:t>
      </w:r>
    </w:p>
    <w:p w14:paraId="07A84896">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（2）过程控制</w:t>
      </w:r>
    </w:p>
    <w:p w14:paraId="51D011BB">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二级指标“过程控制”下设三个三级指标分别为：执行进度、同步调整、及时处置。</w:t>
      </w:r>
    </w:p>
    <w:p w14:paraId="2AC6A60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①执行进度</w:t>
      </w:r>
    </w:p>
    <w:p w14:paraId="507D1927">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根据《2025年泸定县部门整体支出绩效评价指标体系》，部门预算执行进度在6、9、11月应达到序时进度的80%、90%、90%，即实际支出进度分别达到40%、67.5%、82.5%。</w:t>
      </w:r>
    </w:p>
    <w:p w14:paraId="6AD5348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被评价单位提供的1-6月、1-9月、1-11月可执行指标执行情况表显示，2024年县民族宗教事务局1-6月月预算数634.87万元，实际执行数107.84万元，进度为16.99%；1-9月预算数634.87万元，实际执行数321.16万元，进度为50.59%；1-11月预算数634.87万元，实际执行数360.78万元，进度为56.83%。</w:t>
      </w:r>
    </w:p>
    <w:p w14:paraId="5FAA291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上述三个阶段中，根据可执行指标执行情况表被评价单位1-6月、1-9月、1-11月实际支出进度均未达到目标进度。</w:t>
      </w:r>
    </w:p>
    <w:p w14:paraId="51F3DF0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本项分值为4.00分，扣1.45分，得分为2.55分。</w:t>
      </w:r>
    </w:p>
    <w:p w14:paraId="22956C4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②同步调整</w:t>
      </w:r>
    </w:p>
    <w:p w14:paraId="6C6EECA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2024年县民宗局预算项目9个，根据被评价单位提供的可执行指标执行情况表，预算调整项目5个，其中5个均随预算调整同步完成绩效目标调整。</w:t>
      </w:r>
    </w:p>
    <w:p w14:paraId="67B9BB7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2756E4F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③及时处置</w:t>
      </w:r>
    </w:p>
    <w:p w14:paraId="0210B89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2024年，县民宗局自行开展了绩效运行监控，未发现绩效相关问题，未提出预算收回、调整处置意见</w:t>
      </w:r>
    </w:p>
    <w:p w14:paraId="3F0CF77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28F3F60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（3）完成效率</w:t>
      </w:r>
    </w:p>
    <w:p w14:paraId="6AD9472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二级指标“完成效率”下设一个三级指标为：预算结余率。</w:t>
      </w:r>
    </w:p>
    <w:p w14:paraId="73B5FAF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根据县民宗局2024年度决算报表与可执行指标执行情况表被评价单位2024年度预算项目共计9个，部门预算项目资金结余率小于10%有2个，大于10%有7个。</w:t>
      </w:r>
    </w:p>
    <w:p w14:paraId="4A928BD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本项分值为5.00分，扣3.89，得分为1.11分。</w:t>
      </w:r>
    </w:p>
    <w:p w14:paraId="38BE5ED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2.部门预算项目绩效管理情况</w:t>
      </w:r>
    </w:p>
    <w:p w14:paraId="5AC6685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（1）完成效果</w:t>
      </w:r>
    </w:p>
    <w:p w14:paraId="2B68E03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二级指标“完成效果”下设一个三级指标为实施效果。</w:t>
      </w:r>
    </w:p>
    <w:p w14:paraId="37D66CB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泸定县2024年预算项目共计4个，涉及预算资金43.00万元，评价组抽取项目2个，抽取项目预算资金23.00万元；抽取率为53.49%。抽取项目为：宗教工作专项经费、铸领办工作经费。评价组抽取项目的绩效评价指标体系均采用《2025年泸定县部门整体支出绩效评价指标体系》。经评价小组复核评分，抽查的预算项目平均得分94.83分。</w:t>
      </w:r>
    </w:p>
    <w:p w14:paraId="4ADF518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本项分值为20.00分，扣1.03分，得分为18.97分。</w:t>
      </w:r>
    </w:p>
    <w:p w14:paraId="3B1C687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3.专项预算绩效管理情况</w:t>
      </w:r>
    </w:p>
    <w:p w14:paraId="19A5BE0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（1）整体完成</w:t>
      </w:r>
    </w:p>
    <w:p w14:paraId="1B9DC6F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二级指标“整体完成”下设一个三级指标为：完成率。</w:t>
      </w:r>
    </w:p>
    <w:p w14:paraId="70C3112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民宗局专项预算项目5个，涉及预算资金383.00万元，评价组抽取项目样本2个，抽取项目预算资金337.00万元，抽取率为87.99%。抽取项目为：泸定县宗教活动场所项目、泸定县农文旅融合产业发展配套设施建设项目。抽查的项目中，绩效评价指标体系均采用《泸定县2025年部门预算项目绩效评价指标体系》。经评价小组复核评分，抽查的预算项目得分89分。</w:t>
      </w:r>
    </w:p>
    <w:p w14:paraId="7C50EB7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本项分值为30.00分，扣3.30分，得分为26.70分。</w:t>
      </w:r>
    </w:p>
    <w:p w14:paraId="6B552CA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4.绩效结果应用</w:t>
      </w:r>
    </w:p>
    <w:p w14:paraId="0AF25A0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（1）内部应用</w:t>
      </w:r>
    </w:p>
    <w:p w14:paraId="1C81E90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二级指标“内部应用”下设一个三级指标为：预算挂钩。</w:t>
      </w:r>
    </w:p>
    <w:p w14:paraId="501E571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截至评价日，县民宗局制定了《泸定县民族宗教事务局预算绩效管理制度》，但制度内容中未建立对内设机构和下属单位预算绩效挂钩的机制，未实行预算挂钩。</w:t>
      </w:r>
    </w:p>
    <w:p w14:paraId="26F62B8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本项分值为4.00分，扣2.00分，得分为2.00分。</w:t>
      </w:r>
    </w:p>
    <w:p w14:paraId="3DFC40C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（2）信息公开</w:t>
      </w:r>
    </w:p>
    <w:p w14:paraId="02CEE86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二级指标“信息公开”下设一个三级指标为：自评公开。</w:t>
      </w:r>
    </w:p>
    <w:p w14:paraId="74A12D0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预决算公开。县民宗局于2024年3月29日在泸定县人民政府网上进行了部门预算及项目绩效目标的公开。截至评价日，代表大会常务委员会暂未召开，未对2024年泸定县决算（草案）和决算报告进行审查，故未进行2024年决算信息的公开。</w:t>
      </w:r>
    </w:p>
    <w:p w14:paraId="4A2F8C2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②绩效信息公开。截至评价日，因2024年决算信息未公开，即被评价单位部门整体自评报告及项目自评等相关绩效信息情况均未随决算公开。</w:t>
      </w:r>
    </w:p>
    <w:p w14:paraId="101CBC0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本项分值为4.00分，扣0.00分，得分为4.00分。</w:t>
      </w:r>
    </w:p>
    <w:p w14:paraId="6B3C2C5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（3）整改反馈</w:t>
      </w:r>
    </w:p>
    <w:p w14:paraId="23157FC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二级指标“整改反馈”下设两个三级指标为：问题整改、应用反馈。</w:t>
      </w:r>
    </w:p>
    <w:p w14:paraId="149F0DF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①2024年度，2024年县民宗局未收到绩效目标核查、绩效重点监控和重点绩效评价等方面整改意见，无需整改。</w:t>
      </w:r>
    </w:p>
    <w:p w14:paraId="0E6FAB3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477FA3F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②2024年度，县民宗局在规定时间内向财政部门反馈绩效结果应用报告，报告内容翔实、问题整改到位、结果应用充分。</w:t>
      </w:r>
    </w:p>
    <w:p w14:paraId="192AD22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714DA50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5.自评质量</w:t>
      </w:r>
    </w:p>
    <w:p w14:paraId="772DA10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二级指标“自评质量”下设一个三级指标为：自评质量。</w:t>
      </w:r>
    </w:p>
    <w:p w14:paraId="4145457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民宗局2024年部门整体支出绩效自评得分83.11分（不包括“自评质量”指标分值，满分为94分），根据现场评价情况，评价组对县民宗局的考评得分80.33分（不包括“自评质量”指标分值，满分为94分），自评差异率3.46%，低于10.00%。</w:t>
      </w:r>
    </w:p>
    <w:p w14:paraId="62CC150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本项分值为6.00分，扣0.00分，得分为6.00分。</w:t>
      </w:r>
    </w:p>
    <w:bookmarkEnd w:id="2"/>
    <w:p w14:paraId="6478B652">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0"/>
        <w:rPr>
          <w:rFonts w:hint="default" w:ascii="Times New Roman" w:hAnsi="Times New Roman" w:eastAsia="方正黑体简体" w:cs="Times New Roman"/>
          <w:color w:val="auto"/>
          <w:kern w:val="0"/>
          <w:sz w:val="32"/>
          <w:szCs w:val="32"/>
          <w:highlight w:val="none"/>
          <w:shd w:val="clear" w:color="auto" w:fill="FFFFFF"/>
        </w:rPr>
      </w:pPr>
      <w:bookmarkStart w:id="131" w:name="_Toc7306"/>
      <w:bookmarkStart w:id="132" w:name="_Toc823448808"/>
      <w:bookmarkStart w:id="133" w:name="_Toc25603"/>
      <w:bookmarkStart w:id="134" w:name="_Toc30515"/>
      <w:bookmarkStart w:id="135" w:name="_Toc248033833"/>
      <w:bookmarkStart w:id="136" w:name="_Toc30339"/>
      <w:bookmarkStart w:id="137" w:name="_Toc5060"/>
      <w:bookmarkStart w:id="138" w:name="_Toc21218"/>
      <w:bookmarkStart w:id="139" w:name="_Toc4350"/>
      <w:bookmarkStart w:id="140" w:name="_Toc14032"/>
      <w:bookmarkStart w:id="141" w:name="_Toc8336"/>
      <w:bookmarkStart w:id="142" w:name="_Toc19973"/>
      <w:r>
        <w:rPr>
          <w:rFonts w:hint="default" w:ascii="Times New Roman" w:hAnsi="Times New Roman" w:eastAsia="方正黑体简体" w:cs="Times New Roman"/>
          <w:color w:val="auto"/>
          <w:kern w:val="0"/>
          <w:sz w:val="32"/>
          <w:szCs w:val="32"/>
          <w:highlight w:val="none"/>
          <w:shd w:val="clear" w:color="auto" w:fill="FFFFFF"/>
          <w:lang w:val="en-US" w:eastAsia="zh-CN"/>
        </w:rPr>
        <w:t>五</w:t>
      </w:r>
      <w:r>
        <w:rPr>
          <w:rFonts w:hint="default" w:ascii="Times New Roman" w:hAnsi="Times New Roman" w:eastAsia="方正黑体简体" w:cs="Times New Roman"/>
          <w:color w:val="auto"/>
          <w:kern w:val="0"/>
          <w:sz w:val="32"/>
          <w:szCs w:val="32"/>
          <w:highlight w:val="none"/>
          <w:shd w:val="clear" w:color="auto" w:fill="FFFFFF"/>
        </w:rPr>
        <w:t>、存在的主要问题</w:t>
      </w:r>
      <w:bookmarkEnd w:id="131"/>
      <w:bookmarkEnd w:id="132"/>
      <w:bookmarkEnd w:id="133"/>
      <w:bookmarkEnd w:id="134"/>
      <w:bookmarkEnd w:id="135"/>
      <w:bookmarkEnd w:id="136"/>
      <w:bookmarkEnd w:id="137"/>
      <w:bookmarkEnd w:id="138"/>
      <w:bookmarkEnd w:id="139"/>
      <w:bookmarkEnd w:id="140"/>
    </w:p>
    <w:p w14:paraId="1E5F6583">
      <w:pPr>
        <w:keepNext w:val="0"/>
        <w:keepLines w:val="0"/>
        <w:pageBreakBefore w:val="0"/>
        <w:widowControl w:val="0"/>
        <w:kinsoku/>
        <w:wordWrap/>
        <w:overflowPunct/>
        <w:topLinePunct w:val="0"/>
        <w:bidi w:val="0"/>
        <w:snapToGrid/>
        <w:spacing w:line="560" w:lineRule="exact"/>
        <w:ind w:leftChars="0" w:right="0" w:firstLine="640" w:firstLineChars="200"/>
        <w:textAlignment w:val="auto"/>
        <w:rPr>
          <w:rFonts w:hint="default" w:ascii="Times New Roman" w:hAnsi="Times New Roman" w:eastAsia="方正楷体简体" w:cs="Times New Roman"/>
          <w:b w:val="0"/>
          <w:bCs w:val="0"/>
          <w:sz w:val="32"/>
          <w:szCs w:val="32"/>
        </w:rPr>
      </w:pPr>
      <w:bookmarkStart w:id="143" w:name="_Toc22968"/>
      <w:bookmarkStart w:id="144" w:name="_Toc771997543"/>
      <w:bookmarkStart w:id="145" w:name="_Toc10426"/>
      <w:bookmarkStart w:id="146" w:name="_Toc464104487"/>
      <w:bookmarkStart w:id="147" w:name="_Toc3240"/>
      <w:bookmarkStart w:id="148" w:name="_Toc15651"/>
      <w:bookmarkStart w:id="149" w:name="_Toc31629"/>
      <w:r>
        <w:rPr>
          <w:rFonts w:hint="default" w:ascii="Times New Roman" w:hAnsi="Times New Roman" w:eastAsia="方正楷体简体" w:cs="Times New Roman"/>
          <w:b w:val="0"/>
          <w:bCs w:val="0"/>
          <w:sz w:val="32"/>
          <w:szCs w:val="32"/>
        </w:rPr>
        <w:t>（一）绩效目标编制和上报不准确</w:t>
      </w:r>
    </w:p>
    <w:p w14:paraId="7B373FB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评价中发现，县民宗局2024年部门综合绩效目标与个别预算项目绩效目标均不同程度存在编制不规范，指标设置不够科学准确、具体明确等问题，导致绩效目标科学性、合理性不够强，不便于考核评价。具体情况表现为：</w:t>
      </w:r>
    </w:p>
    <w:p w14:paraId="031DE3B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bookmarkStart w:id="150" w:name="_Toc29227"/>
      <w:bookmarkStart w:id="151" w:name="_Toc22775"/>
      <w:bookmarkStart w:id="152" w:name="_Toc5324"/>
      <w:r>
        <w:rPr>
          <w:rFonts w:hint="default" w:ascii="Times New Roman" w:hAnsi="Times New Roman" w:eastAsia="方正仿宋_GB2312" w:cs="Times New Roman"/>
          <w:color w:val="auto"/>
          <w:sz w:val="32"/>
          <w:szCs w:val="32"/>
          <w:highlight w:val="none"/>
          <w:lang w:val="en-US" w:eastAsia="zh-CN"/>
        </w:rPr>
        <w:t>1.部门整体绩效目标</w:t>
      </w:r>
    </w:p>
    <w:p w14:paraId="4087861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现场评价情况，泸定县民族宗教事务局《部门（单位）整体支出绩效目标申报表》目标要素齐全，但存在绩效目标设置不明确等问题，具体情况：一是整体绩效目标不够细化，绩效目标申报表中年度总体目标主要聚焦于定性描述，未与数量指标质量指标挂钩，缺乏具体的数量，建议在年度目标中加入主要任务或大额资金项目的可量化指标。二是指标设置冗余，未细化量化，如社会效益指标中“铸牢中华民族共同体意识，持续推进民族创建工作，提升群众满意度”，该指标设置冗余，未细化量化，不便于考核。三是成本指标设置不够完整，该成本指标仅设置了一项三级指标“公务用车运行维护费”其指标值为“≤4万元”；未设置整体部门经济成本指标情况，建议补充部门各项开支经济成本指标，细化量化成本指标。</w:t>
      </w:r>
    </w:p>
    <w:p w14:paraId="7470245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2.项目支出绩效目标</w:t>
      </w:r>
    </w:p>
    <w:p w14:paraId="51015AE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民族宗教事务局预算9个项目，各项目均编制了绩效目标申报表，但个别项目存在指标设置不准确的情况。具体情况为：指标设置不准确，如：“宗教工作专项经费”中的质量指标为“抵御民族宗教渗透、宗教和睦与县城社会和谐”其指标值为定性指标“优良中差”，该指标值设置不准确，应设置为“宗教工作完成合格率”其指标值为“≥98%”。</w:t>
      </w:r>
    </w:p>
    <w:p w14:paraId="42D9A173">
      <w:pPr>
        <w:keepNext w:val="0"/>
        <w:keepLines w:val="0"/>
        <w:pageBreakBefore w:val="0"/>
        <w:numPr>
          <w:ilvl w:val="0"/>
          <w:numId w:val="0"/>
        </w:numPr>
        <w:kinsoku/>
        <w:wordWrap/>
        <w:overflowPunct/>
        <w:topLinePunct w:val="0"/>
        <w:bidi w:val="0"/>
        <w:snapToGrid/>
        <w:spacing w:line="560" w:lineRule="exact"/>
        <w:ind w:leftChars="0" w:right="0" w:rightChars="0" w:firstLine="640" w:firstLineChars="200"/>
        <w:textAlignment w:val="auto"/>
        <w:rPr>
          <w:rFonts w:hint="default" w:ascii="Times New Roman" w:hAnsi="Times New Roman" w:eastAsia="方正楷体简体" w:cs="Times New Roman"/>
          <w:b w:val="0"/>
          <w:bCs w:val="0"/>
          <w:sz w:val="32"/>
          <w:szCs w:val="32"/>
          <w:lang w:val="en-US" w:eastAsia="zh-CN"/>
        </w:rPr>
      </w:pPr>
      <w:r>
        <w:rPr>
          <w:rFonts w:hint="default" w:ascii="Times New Roman" w:hAnsi="Times New Roman" w:eastAsia="方正楷体简体" w:cs="Times New Roman"/>
          <w:b w:val="0"/>
          <w:bCs w:val="0"/>
          <w:sz w:val="32"/>
          <w:szCs w:val="32"/>
          <w:lang w:val="en-US" w:eastAsia="zh-CN"/>
        </w:rPr>
        <w:t>（二）预算执行进度缓慢</w:t>
      </w:r>
    </w:p>
    <w:p w14:paraId="72E9A54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根据《2025年泸定县部门整体支出绩效评价指标体系》，部门预算执行进度在6、9、11月应达到序时进度的80%、90%、90%，即实际支出进度分别达到40%、67.5%、82.5%。</w:t>
      </w:r>
    </w:p>
    <w:p w14:paraId="3593FFF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被评价单位提供的1-6月、1-9月、1-11月可执行指标执行情况表显示，2024年县民族宗教事务局1—6月月预算数634.87万元，实际执行数107.84万元，进度为16.99%；1-9月预算数634.87万元，实际执行数321.16万元，进度为50.59%；1-11月预算数634.87万元，实际执行数360.78万元，进度为56.83%。</w:t>
      </w:r>
    </w:p>
    <w:p w14:paraId="701751D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上述三个阶段中，根据可执行指标执行情况表被评价单位1-6月、1-9月、1-11月实际支出进度均未达到目标进度。</w:t>
      </w:r>
    </w:p>
    <w:p w14:paraId="7AAA7DC7">
      <w:pPr>
        <w:keepNext w:val="0"/>
        <w:keepLines w:val="0"/>
        <w:pageBreakBefore w:val="0"/>
        <w:numPr>
          <w:ilvl w:val="0"/>
          <w:numId w:val="0"/>
        </w:numPr>
        <w:kinsoku/>
        <w:wordWrap/>
        <w:overflowPunct/>
        <w:topLinePunct w:val="0"/>
        <w:bidi w:val="0"/>
        <w:snapToGrid/>
        <w:spacing w:line="560" w:lineRule="exact"/>
        <w:ind w:leftChars="0" w:right="0" w:rightChars="0" w:firstLine="640" w:firstLineChars="200"/>
        <w:textAlignment w:val="auto"/>
        <w:rPr>
          <w:rFonts w:hint="default" w:ascii="Times New Roman" w:hAnsi="Times New Roman" w:eastAsia="方正楷体简体" w:cs="Times New Roman"/>
          <w:b w:val="0"/>
          <w:bCs w:val="0"/>
          <w:sz w:val="32"/>
          <w:szCs w:val="32"/>
          <w:lang w:val="en-US" w:eastAsia="zh-CN"/>
        </w:rPr>
      </w:pPr>
      <w:r>
        <w:rPr>
          <w:rFonts w:hint="default" w:ascii="Times New Roman" w:hAnsi="Times New Roman" w:eastAsia="方正楷体简体" w:cs="Times New Roman"/>
          <w:b w:val="0"/>
          <w:bCs w:val="0"/>
          <w:sz w:val="32"/>
          <w:szCs w:val="32"/>
          <w:lang w:val="en-US" w:eastAsia="zh-CN"/>
        </w:rPr>
        <w:t>（三）项目预算结余率较高</w:t>
      </w:r>
    </w:p>
    <w:p w14:paraId="3019B7AB">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根据县民族宗教事务局2024年度决算报表与可执行指标执行情况表被评价单位 2024年度预算项目共计9个，部门预算项目资金结余率小于10%有2个，大于10%有7个。预算结余率为62.39%。</w:t>
      </w:r>
    </w:p>
    <w:p w14:paraId="764120EF">
      <w:pPr>
        <w:keepNext w:val="0"/>
        <w:keepLines w:val="0"/>
        <w:pageBreakBefore w:val="0"/>
        <w:numPr>
          <w:ilvl w:val="0"/>
          <w:numId w:val="0"/>
        </w:numPr>
        <w:kinsoku/>
        <w:wordWrap/>
        <w:overflowPunct/>
        <w:topLinePunct w:val="0"/>
        <w:bidi w:val="0"/>
        <w:snapToGrid/>
        <w:spacing w:line="560" w:lineRule="exact"/>
        <w:ind w:leftChars="0" w:right="0" w:rightChars="0" w:firstLine="640" w:firstLineChars="200"/>
        <w:textAlignment w:val="auto"/>
        <w:rPr>
          <w:rFonts w:hint="default" w:ascii="Times New Roman" w:hAnsi="Times New Roman" w:eastAsia="方正楷体简体" w:cs="Times New Roman"/>
          <w:b w:val="0"/>
          <w:bCs w:val="0"/>
          <w:sz w:val="32"/>
          <w:szCs w:val="32"/>
          <w:lang w:val="en-US" w:eastAsia="zh-CN"/>
        </w:rPr>
      </w:pPr>
      <w:r>
        <w:rPr>
          <w:rFonts w:hint="default" w:ascii="Times New Roman" w:hAnsi="Times New Roman" w:eastAsia="方正楷体简体" w:cs="Times New Roman"/>
          <w:b w:val="0"/>
          <w:bCs w:val="0"/>
          <w:sz w:val="32"/>
          <w:szCs w:val="32"/>
          <w:lang w:val="en-US" w:eastAsia="zh-CN"/>
        </w:rPr>
        <w:t>（四）预算绩效管理制度机制不够健全完善</w:t>
      </w:r>
    </w:p>
    <w:p w14:paraId="2A8698A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截至评价日，县民族宗教事务局制定了《泸定县民族宗教事务局预算绩效管理制度》，但制度内容中未建立对内设机构和下属单位预算绩效挂钩的机制，未实行预算挂钩。</w:t>
      </w:r>
    </w:p>
    <w:p w14:paraId="4EFDC167">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0"/>
        <w:rPr>
          <w:rFonts w:hint="default" w:ascii="Times New Roman" w:hAnsi="Times New Roman" w:eastAsia="方正黑体简体" w:cs="Times New Roman"/>
          <w:color w:val="auto"/>
          <w:kern w:val="0"/>
          <w:sz w:val="32"/>
          <w:szCs w:val="32"/>
          <w:highlight w:val="none"/>
          <w:shd w:val="clear" w:color="auto" w:fill="FFFFFF"/>
        </w:rPr>
      </w:pPr>
      <w:r>
        <w:rPr>
          <w:rFonts w:hint="default" w:ascii="Times New Roman" w:hAnsi="Times New Roman" w:eastAsia="方正黑体简体" w:cs="Times New Roman"/>
          <w:color w:val="auto"/>
          <w:kern w:val="0"/>
          <w:sz w:val="32"/>
          <w:szCs w:val="32"/>
          <w:highlight w:val="none"/>
          <w:shd w:val="clear" w:color="auto" w:fill="FFFFFF"/>
          <w:lang w:val="en-US" w:eastAsia="zh-CN"/>
        </w:rPr>
        <w:t>六</w:t>
      </w:r>
      <w:r>
        <w:rPr>
          <w:rFonts w:hint="default" w:ascii="Times New Roman" w:hAnsi="Times New Roman" w:eastAsia="方正黑体简体" w:cs="Times New Roman"/>
          <w:color w:val="auto"/>
          <w:kern w:val="0"/>
          <w:sz w:val="32"/>
          <w:szCs w:val="32"/>
          <w:highlight w:val="none"/>
          <w:shd w:val="clear" w:color="auto" w:fill="FFFFFF"/>
        </w:rPr>
        <w:t>、相关措施建议</w:t>
      </w:r>
      <w:bookmarkEnd w:id="143"/>
      <w:bookmarkEnd w:id="144"/>
      <w:bookmarkEnd w:id="145"/>
      <w:bookmarkEnd w:id="146"/>
      <w:bookmarkEnd w:id="147"/>
      <w:bookmarkEnd w:id="148"/>
      <w:bookmarkEnd w:id="149"/>
      <w:bookmarkEnd w:id="150"/>
      <w:bookmarkEnd w:id="151"/>
      <w:bookmarkEnd w:id="152"/>
    </w:p>
    <w:p w14:paraId="164C1013">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en-US" w:eastAsia="zh-CN"/>
        </w:rPr>
      </w:pPr>
      <w:r>
        <w:rPr>
          <w:rFonts w:hint="default" w:ascii="Times New Roman" w:hAnsi="Times New Roman" w:eastAsia="方正楷体简体" w:cs="Times New Roman"/>
          <w:color w:val="auto"/>
          <w:kern w:val="2"/>
          <w:sz w:val="32"/>
          <w:szCs w:val="32"/>
          <w:highlight w:val="none"/>
          <w:shd w:val="clear"/>
          <w:lang w:val="en-US" w:eastAsia="zh-CN"/>
        </w:rPr>
        <w:t>（一）规范项目绩效目标设置</w:t>
      </w:r>
    </w:p>
    <w:p w14:paraId="3D54519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严格单位自评指标设置，注重采用定量和定性评价相结合的方法，设置最具代表性，最能直接反映产出和效益的核心绩效指标和标准体系。对此次评价中未完成绩效目标或偏离绩效目标较大的项目要分析原因，对由于年初指标值设定明显偏低造成的，要按照偏离度适度调减分值。</w:t>
      </w:r>
    </w:p>
    <w:bookmarkEnd w:id="141"/>
    <w:bookmarkEnd w:id="142"/>
    <w:p w14:paraId="442ACBF4">
      <w:pPr>
        <w:keepNext w:val="0"/>
        <w:keepLines w:val="0"/>
        <w:pageBreakBefore w:val="0"/>
        <w:widowControl w:val="0"/>
        <w:kinsoku/>
        <w:wordWrap/>
        <w:overflowPunct/>
        <w:topLinePunct w:val="0"/>
        <w:bidi w:val="0"/>
        <w:snapToGrid/>
        <w:spacing w:line="560" w:lineRule="exact"/>
        <w:ind w:leftChars="0" w:right="0" w:firstLine="640" w:firstLineChars="200"/>
        <w:textAlignment w:val="auto"/>
        <w:rPr>
          <w:rFonts w:hint="default" w:ascii="Times New Roman" w:hAnsi="Times New Roman" w:eastAsia="方正楷体简体" w:cs="Times New Roman"/>
          <w:b w:val="0"/>
          <w:bCs w:val="0"/>
          <w:sz w:val="32"/>
          <w:szCs w:val="32"/>
          <w:lang w:val="en-US" w:eastAsia="zh-CN"/>
        </w:rPr>
      </w:pPr>
      <w:r>
        <w:rPr>
          <w:rFonts w:hint="default" w:ascii="Times New Roman" w:hAnsi="Times New Roman" w:eastAsia="方正楷体简体" w:cs="Times New Roman"/>
          <w:b w:val="0"/>
          <w:bCs w:val="0"/>
          <w:sz w:val="32"/>
          <w:szCs w:val="32"/>
          <w:lang w:eastAsia="zh-CN"/>
        </w:rPr>
        <w:t>（</w:t>
      </w:r>
      <w:r>
        <w:rPr>
          <w:rFonts w:hint="default" w:ascii="Times New Roman" w:hAnsi="Times New Roman" w:eastAsia="方正楷体简体" w:cs="Times New Roman"/>
          <w:b w:val="0"/>
          <w:bCs w:val="0"/>
          <w:sz w:val="32"/>
          <w:szCs w:val="32"/>
          <w:lang w:val="en-US" w:eastAsia="zh-CN"/>
        </w:rPr>
        <w:t>二</w:t>
      </w:r>
      <w:r>
        <w:rPr>
          <w:rFonts w:hint="default" w:ascii="Times New Roman" w:hAnsi="Times New Roman" w:eastAsia="方正楷体简体" w:cs="Times New Roman"/>
          <w:b w:val="0"/>
          <w:bCs w:val="0"/>
          <w:sz w:val="32"/>
          <w:szCs w:val="32"/>
          <w:lang w:eastAsia="zh-CN"/>
        </w:rPr>
        <w:t>）</w:t>
      </w:r>
      <w:r>
        <w:rPr>
          <w:rFonts w:hint="default" w:ascii="Times New Roman" w:hAnsi="Times New Roman" w:eastAsia="方正楷体简体" w:cs="Times New Roman"/>
          <w:b w:val="0"/>
          <w:bCs w:val="0"/>
          <w:sz w:val="32"/>
          <w:szCs w:val="32"/>
          <w:lang w:val="en-US" w:eastAsia="zh-CN"/>
        </w:rPr>
        <w:t>提高预算执行率</w:t>
      </w:r>
    </w:p>
    <w:p w14:paraId="7C723FE7">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加强对各部门预算执行过程的动态监督，及时掌握各部门预算执行过程中的情况和实时动态，完善预算执行情况定期通报机制，根据情况强化对财政资金拨款的管控，倒逼各部门加快项目进度。同时，各部门要切实履行好预算执行主体的职责，加强对本单位预算执行过程的调度管理，大力推进项目进度和支出进度，促进预算的有效执行和支出的及时实现，从而促进预算执行率的提升。</w:t>
      </w:r>
    </w:p>
    <w:p w14:paraId="0FF03112">
      <w:pPr>
        <w:keepNext w:val="0"/>
        <w:keepLines w:val="0"/>
        <w:pageBreakBefore w:val="0"/>
        <w:widowControl w:val="0"/>
        <w:kinsoku/>
        <w:wordWrap/>
        <w:overflowPunct/>
        <w:topLinePunct w:val="0"/>
        <w:autoSpaceDE w:val="0"/>
        <w:autoSpaceDN w:val="0"/>
        <w:bidi w:val="0"/>
        <w:adjustRightInd w:val="0"/>
        <w:snapToGrid/>
        <w:spacing w:line="560" w:lineRule="exact"/>
        <w:ind w:leftChars="0" w:right="0" w:firstLine="640" w:firstLineChars="200"/>
        <w:jc w:val="both"/>
        <w:textAlignment w:val="auto"/>
        <w:rPr>
          <w:rFonts w:hint="default" w:ascii="Times New Roman" w:hAnsi="Times New Roman" w:eastAsia="方正楷体简体" w:cs="Times New Roman"/>
          <w:b w:val="0"/>
          <w:bCs w:val="0"/>
          <w:kern w:val="2"/>
          <w:sz w:val="32"/>
          <w:szCs w:val="32"/>
          <w:lang w:val="en-US" w:eastAsia="zh-CN" w:bidi="ar-SA"/>
        </w:rPr>
      </w:pPr>
      <w:r>
        <w:rPr>
          <w:rFonts w:hint="default" w:ascii="Times New Roman" w:hAnsi="Times New Roman" w:eastAsia="方正楷体简体" w:cs="Times New Roman"/>
          <w:b w:val="0"/>
          <w:bCs w:val="0"/>
          <w:kern w:val="2"/>
          <w:sz w:val="32"/>
          <w:szCs w:val="32"/>
          <w:lang w:val="en-US" w:eastAsia="zh-CN" w:bidi="ar-SA"/>
        </w:rPr>
        <w:t>（三）健全完善预算绩效管理制度建设</w:t>
      </w:r>
    </w:p>
    <w:p w14:paraId="1AC3634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应结合部门内部实际，在预算绩效管理方面，建立部门内部预算与绩效结果挂钩的机制，将部门内部预算自评纳入考核体系。进一步加强预算绩效管理制度建设，完善工作机制，强化责任落实，提高制度执行力，为部门预算管理的实施提供具体的指导意见，以确保财政资金使用的质量和效果。</w:t>
      </w:r>
    </w:p>
    <w:p w14:paraId="0DB63B33">
      <w:pPr>
        <w:keepNext w:val="0"/>
        <w:keepLines w:val="0"/>
        <w:pageBreakBefore w:val="0"/>
        <w:kinsoku/>
        <w:wordWrap/>
        <w:overflowPunct/>
        <w:topLinePunct w:val="0"/>
        <w:autoSpaceDE/>
        <w:autoSpaceDN/>
        <w:bidi w:val="0"/>
        <w:spacing w:line="600" w:lineRule="exact"/>
        <w:ind w:left="0" w:leftChars="0" w:firstLine="0" w:firstLineChars="0"/>
        <w:outlineLvl w:val="1"/>
        <w:rPr>
          <w:rFonts w:hint="default" w:ascii="Times New Roman" w:hAnsi="Times New Roman" w:eastAsia="仿宋" w:cs="Times New Roman"/>
          <w:kern w:val="2"/>
          <w:sz w:val="32"/>
          <w:szCs w:val="32"/>
          <w:lang w:val="en-US" w:eastAsia="zh-CN" w:bidi="ar-SA"/>
        </w:rPr>
      </w:pPr>
    </w:p>
    <w:p w14:paraId="6FC6A30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附件</w:t>
      </w:r>
      <w:r>
        <w:rPr>
          <w:rFonts w:hint="default" w:ascii="Times New Roman" w:hAnsi="Times New Roman" w:eastAsia="方正仿宋_GB2312" w:cs="Times New Roman"/>
          <w:color w:val="auto"/>
          <w:sz w:val="32"/>
          <w:szCs w:val="32"/>
          <w:highlight w:val="none"/>
          <w:lang w:val="en-US" w:eastAsia="zh"/>
        </w:rPr>
        <w:t>：</w:t>
      </w:r>
      <w:r>
        <w:rPr>
          <w:rFonts w:hint="default" w:ascii="Times New Roman" w:hAnsi="Times New Roman" w:eastAsia="方正仿宋_GB2312" w:cs="Times New Roman"/>
          <w:color w:val="auto"/>
          <w:sz w:val="32"/>
          <w:szCs w:val="32"/>
          <w:highlight w:val="none"/>
          <w:lang w:val="en-US" w:eastAsia="zh-CN"/>
        </w:rPr>
        <w:t>泸定县民族宗教事务局部门整体支出绩效评价指标体系表（评分表）</w:t>
      </w:r>
    </w:p>
    <w:p w14:paraId="72AD1EC9">
      <w:pPr>
        <w:keepNext w:val="0"/>
        <w:keepLines w:val="0"/>
        <w:pageBreakBefore w:val="0"/>
        <w:widowControl w:val="0"/>
        <w:kinsoku/>
        <w:wordWrap/>
        <w:overflowPunct/>
        <w:topLinePunct w:val="0"/>
        <w:autoSpaceDE/>
        <w:autoSpaceDN/>
        <w:bidi w:val="0"/>
        <w:adjustRightInd/>
        <w:snapToGrid/>
        <w:spacing w:line="600" w:lineRule="exact"/>
        <w:ind w:left="0"/>
        <w:jc w:val="right"/>
        <w:textAlignment w:val="auto"/>
        <w:rPr>
          <w:rFonts w:hint="default" w:ascii="Times New Roman" w:hAnsi="Times New Roman" w:eastAsia="仿宋" w:cs="Times New Roman"/>
          <w:b w:val="0"/>
          <w:bCs w:val="0"/>
          <w:sz w:val="32"/>
          <w:szCs w:val="32"/>
          <w:highlight w:val="none"/>
          <w:lang w:eastAsia="zh-CN"/>
        </w:rPr>
      </w:pPr>
      <w:r>
        <w:rPr>
          <w:rFonts w:hint="default" w:ascii="Times New Roman" w:hAnsi="Times New Roman" w:eastAsia="仿宋" w:cs="Times New Roman"/>
          <w:b w:val="0"/>
          <w:bCs w:val="0"/>
          <w:sz w:val="32"/>
          <w:szCs w:val="32"/>
          <w:highlight w:val="none"/>
          <w:lang w:eastAsia="zh-CN"/>
        </w:rPr>
        <w:t>　　　　</w:t>
      </w:r>
    </w:p>
    <w:p w14:paraId="599F7CA8">
      <w:pPr>
        <w:spacing w:line="600" w:lineRule="exact"/>
        <w:ind w:firstLine="640"/>
        <w:jc w:val="right"/>
        <w:rPr>
          <w:rFonts w:hint="default" w:ascii="Times New Roman" w:hAnsi="Times New Roman" w:eastAsia="方正仿宋_GB2312" w:cs="Times New Roman"/>
          <w:sz w:val="32"/>
          <w:szCs w:val="32"/>
          <w:highlight w:val="none"/>
        </w:rPr>
      </w:pPr>
      <w:r>
        <w:rPr>
          <w:rFonts w:hint="default" w:ascii="Times New Roman" w:hAnsi="Times New Roman" w:eastAsia="方正仿宋_GB2312" w:cs="Times New Roman"/>
          <w:sz w:val="32"/>
          <w:szCs w:val="32"/>
          <w:highlight w:val="none"/>
        </w:rPr>
        <w:t>泸定县财政局</w:t>
      </w:r>
    </w:p>
    <w:p w14:paraId="567E22FB">
      <w:pPr>
        <w:spacing w:line="600" w:lineRule="exact"/>
        <w:ind w:firstLine="640"/>
        <w:jc w:val="right"/>
        <w:rPr>
          <w:rFonts w:hint="default" w:ascii="Times New Roman" w:hAnsi="Times New Roman" w:eastAsia="方正仿宋_GB2312" w:cs="Times New Roman"/>
          <w:sz w:val="32"/>
          <w:szCs w:val="32"/>
          <w:highlight w:val="none"/>
        </w:rPr>
      </w:pPr>
      <w:r>
        <w:rPr>
          <w:rFonts w:hint="default" w:ascii="Times New Roman" w:hAnsi="Times New Roman" w:eastAsia="方正仿宋_GB2312" w:cs="Times New Roman"/>
          <w:sz w:val="32"/>
          <w:szCs w:val="32"/>
          <w:highlight w:val="none"/>
        </w:rPr>
        <w:t>　　　　　　　　　　　2025年11月11日</w:t>
      </w:r>
    </w:p>
    <w:p w14:paraId="38D3F9A7">
      <w:pPr>
        <w:keepNext w:val="0"/>
        <w:keepLines w:val="0"/>
        <w:pageBreakBefore w:val="0"/>
        <w:widowControl w:val="0"/>
        <w:kinsoku/>
        <w:wordWrap/>
        <w:overflowPunct/>
        <w:topLinePunct w:val="0"/>
        <w:autoSpaceDE/>
        <w:autoSpaceDN/>
        <w:bidi w:val="0"/>
        <w:adjustRightInd/>
        <w:snapToGrid/>
        <w:spacing w:line="600" w:lineRule="exact"/>
        <w:ind w:left="0"/>
        <w:jc w:val="right"/>
        <w:textAlignment w:val="auto"/>
        <w:rPr>
          <w:rFonts w:hint="default" w:ascii="Times New Roman" w:hAnsi="Times New Roman" w:eastAsia="方正仿宋_GB2312" w:cs="Times New Roman"/>
          <w:sz w:val="32"/>
          <w:szCs w:val="32"/>
          <w:highlight w:val="none"/>
          <w:lang w:val="en-US" w:eastAsia="zh-CN"/>
        </w:rPr>
      </w:pPr>
    </w:p>
    <w:sectPr>
      <w:headerReference r:id="rId5" w:type="default"/>
      <w:footerReference r:id="rId6" w:type="default"/>
      <w:pgSz w:w="11906" w:h="16838"/>
      <w:pgMar w:top="1440" w:right="1803" w:bottom="1440" w:left="1803" w:header="680" w:footer="737" w:gutter="0"/>
      <w:pgNumType w:fmt="decimal"/>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embedRegular r:id="rId1" w:fontKey="{75F8FB8B-5BBE-4713-96E7-6970B8666E85}"/>
  </w:font>
  <w:font w:name="等线 Light">
    <w:altName w:val="宋体"/>
    <w:panose1 w:val="02010600030101010101"/>
    <w:charset w:val="86"/>
    <w:family w:val="auto"/>
    <w:pitch w:val="default"/>
    <w:sig w:usb0="00000000" w:usb1="00000000" w:usb2="00000016" w:usb3="00000000" w:csb0="0004000F" w:csb1="00000000"/>
  </w:font>
  <w:font w:name="方正小标宋_GBK">
    <w:panose1 w:val="02000000000000000000"/>
    <w:charset w:val="86"/>
    <w:family w:val="auto"/>
    <w:pitch w:val="default"/>
    <w:sig w:usb0="A00002BF" w:usb1="38CF7CFA" w:usb2="00082016" w:usb3="00000000" w:csb0="00040001" w:csb1="00000000"/>
  </w:font>
  <w:font w:name="方正仿宋_GB2312">
    <w:panose1 w:val="02000000000000000000"/>
    <w:charset w:val="86"/>
    <w:family w:val="auto"/>
    <w:pitch w:val="default"/>
    <w:sig w:usb0="A00002BF" w:usb1="184F6CFA" w:usb2="00000012" w:usb3="00000000" w:csb0="00040001" w:csb1="00000000"/>
    <w:embedRegular r:id="rId2" w:fontKey="{6699D34B-A4CF-433C-9C40-493B984898AB}"/>
  </w:font>
  <w:font w:name="方正黑体简体">
    <w:panose1 w:val="03000509000000000000"/>
    <w:charset w:val="86"/>
    <w:family w:val="auto"/>
    <w:pitch w:val="default"/>
    <w:sig w:usb0="00000001" w:usb1="080E0000" w:usb2="00000000" w:usb3="00000000" w:csb0="00040000" w:csb1="00000000"/>
    <w:embedRegular r:id="rId3" w:fontKey="{B3B9BFDF-5150-4353-9EBA-D1EFC0B51602}"/>
  </w:font>
  <w:font w:name="方正楷体简体">
    <w:panose1 w:val="03000509000000000000"/>
    <w:charset w:val="86"/>
    <w:family w:val="auto"/>
    <w:pitch w:val="default"/>
    <w:sig w:usb0="00000001" w:usb1="080E0000" w:usb2="00000000" w:usb3="00000000" w:csb0="00040000" w:csb1="00000000"/>
    <w:embedRegular r:id="rId4" w:fontKey="{67A3A960-B897-4284-9B78-2CB12565EFF0}"/>
  </w:font>
  <w:font w:name="方正小标宋简体">
    <w:panose1 w:val="03000509000000000000"/>
    <w:charset w:val="86"/>
    <w:family w:val="auto"/>
    <w:pitch w:val="default"/>
    <w:sig w:usb0="00000001" w:usb1="080E0000" w:usb2="00000000" w:usb3="00000000" w:csb0="00040000" w:csb1="00000000"/>
    <w:embedRegular r:id="rId5" w:fontKey="{5C1F1B9B-33B1-4818-8B78-A8BE0A39E1B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0D31C">
    <w:pPr>
      <w:pStyle w:val="12"/>
      <w:ind w:firstLine="0" w:firstLineChars="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16C51E">
                          <w:pPr>
                            <w:pStyle w:val="12"/>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2016C51E">
                    <w:pPr>
                      <w:pStyle w:val="12"/>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BAFDF">
    <w:pPr>
      <w:pBdr>
        <w:top w:val="none" w:color="auto" w:sz="0" w:space="1"/>
        <w:left w:val="none" w:color="auto" w:sz="0" w:space="4"/>
        <w:bottom w:val="none" w:color="auto" w:sz="0" w:space="1"/>
        <w:right w:val="none" w:color="auto" w:sz="0" w:space="4"/>
      </w:pBdr>
      <w:tabs>
        <w:tab w:val="center" w:pos="4150"/>
        <w:tab w:val="right" w:pos="8306"/>
      </w:tabs>
      <w:snapToGrid w:val="0"/>
      <w:ind w:firstLine="0" w:firstLineChars="0"/>
      <w:jc w:val="left"/>
      <w:rPr>
        <w:u w:val="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2F3B84"/>
    <w:multiLevelType w:val="multilevel"/>
    <w:tmpl w:val="372F3B84"/>
    <w:lvl w:ilvl="0" w:tentative="0">
      <w:start w:val="1"/>
      <w:numFmt w:val="japaneseCounting"/>
      <w:pStyle w:val="4"/>
      <w:lvlText w:val="（%1）"/>
      <w:lvlJc w:val="left"/>
      <w:pPr>
        <w:ind w:left="1937" w:hanging="977"/>
      </w:pPr>
      <w:rPr>
        <w:rFonts w:hint="default"/>
      </w:rPr>
    </w:lvl>
    <w:lvl w:ilvl="1" w:tentative="0">
      <w:start w:val="1"/>
      <w:numFmt w:val="lowerLetter"/>
      <w:lvlText w:val="%2)"/>
      <w:lvlJc w:val="left"/>
      <w:pPr>
        <w:ind w:left="1840" w:hanging="440"/>
      </w:pPr>
    </w:lvl>
    <w:lvl w:ilvl="2" w:tentative="0">
      <w:start w:val="1"/>
      <w:numFmt w:val="lowerRoman"/>
      <w:lvlText w:val="%3."/>
      <w:lvlJc w:val="right"/>
      <w:pPr>
        <w:ind w:left="2280" w:hanging="440"/>
      </w:pPr>
    </w:lvl>
    <w:lvl w:ilvl="3" w:tentative="0">
      <w:start w:val="1"/>
      <w:numFmt w:val="decimal"/>
      <w:lvlText w:val="%4."/>
      <w:lvlJc w:val="left"/>
      <w:pPr>
        <w:ind w:left="2720" w:hanging="440"/>
      </w:pPr>
    </w:lvl>
    <w:lvl w:ilvl="4" w:tentative="0">
      <w:start w:val="1"/>
      <w:numFmt w:val="lowerLetter"/>
      <w:lvlText w:val="%5)"/>
      <w:lvlJc w:val="left"/>
      <w:pPr>
        <w:ind w:left="3160" w:hanging="440"/>
      </w:pPr>
    </w:lvl>
    <w:lvl w:ilvl="5" w:tentative="0">
      <w:start w:val="1"/>
      <w:numFmt w:val="lowerRoman"/>
      <w:lvlText w:val="%6."/>
      <w:lvlJc w:val="right"/>
      <w:pPr>
        <w:ind w:left="3600" w:hanging="440"/>
      </w:pPr>
    </w:lvl>
    <w:lvl w:ilvl="6" w:tentative="0">
      <w:start w:val="1"/>
      <w:numFmt w:val="decimal"/>
      <w:lvlText w:val="%7."/>
      <w:lvlJc w:val="left"/>
      <w:pPr>
        <w:ind w:left="4040" w:hanging="440"/>
      </w:pPr>
    </w:lvl>
    <w:lvl w:ilvl="7" w:tentative="0">
      <w:start w:val="1"/>
      <w:numFmt w:val="lowerLetter"/>
      <w:lvlText w:val="%8)"/>
      <w:lvlJc w:val="left"/>
      <w:pPr>
        <w:ind w:left="4480" w:hanging="440"/>
      </w:pPr>
    </w:lvl>
    <w:lvl w:ilvl="8" w:tentative="0">
      <w:start w:val="1"/>
      <w:numFmt w:val="lowerRoman"/>
      <w:lvlText w:val="%9."/>
      <w:lvlJc w:val="right"/>
      <w:pPr>
        <w:ind w:left="4920" w:hanging="440"/>
      </w:pPr>
    </w:lvl>
  </w:abstractNum>
  <w:abstractNum w:abstractNumId="1">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3"/>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E5M2JhZjNlZGRmY2I3MDBiNjBkZWI3YTgzNWY3NWEifQ=="/>
  </w:docVars>
  <w:rsids>
    <w:rsidRoot w:val="00172A27"/>
    <w:rsid w:val="00072D71"/>
    <w:rsid w:val="00097BF8"/>
    <w:rsid w:val="000C45D6"/>
    <w:rsid w:val="000C754C"/>
    <w:rsid w:val="000E2AA0"/>
    <w:rsid w:val="00127F9D"/>
    <w:rsid w:val="00145DD7"/>
    <w:rsid w:val="00147C82"/>
    <w:rsid w:val="00163525"/>
    <w:rsid w:val="00172A27"/>
    <w:rsid w:val="001A6E39"/>
    <w:rsid w:val="00202FA3"/>
    <w:rsid w:val="00272C1D"/>
    <w:rsid w:val="002F7B42"/>
    <w:rsid w:val="0032304E"/>
    <w:rsid w:val="003655C8"/>
    <w:rsid w:val="003F0E80"/>
    <w:rsid w:val="004267A7"/>
    <w:rsid w:val="00443DB6"/>
    <w:rsid w:val="00451894"/>
    <w:rsid w:val="00452C50"/>
    <w:rsid w:val="004549BF"/>
    <w:rsid w:val="005D0FB9"/>
    <w:rsid w:val="00610FBA"/>
    <w:rsid w:val="00646411"/>
    <w:rsid w:val="0067664F"/>
    <w:rsid w:val="006E2F08"/>
    <w:rsid w:val="007221E5"/>
    <w:rsid w:val="00757BEA"/>
    <w:rsid w:val="007E5CD9"/>
    <w:rsid w:val="00804DDE"/>
    <w:rsid w:val="0085646D"/>
    <w:rsid w:val="00870DA1"/>
    <w:rsid w:val="0088162A"/>
    <w:rsid w:val="008956AD"/>
    <w:rsid w:val="008B2190"/>
    <w:rsid w:val="00934B72"/>
    <w:rsid w:val="00950253"/>
    <w:rsid w:val="00963AA7"/>
    <w:rsid w:val="00970070"/>
    <w:rsid w:val="009B5855"/>
    <w:rsid w:val="00A1757E"/>
    <w:rsid w:val="00A60B13"/>
    <w:rsid w:val="00AD1C0E"/>
    <w:rsid w:val="00AD64C4"/>
    <w:rsid w:val="00AE1EFF"/>
    <w:rsid w:val="00B11E73"/>
    <w:rsid w:val="00BB4B64"/>
    <w:rsid w:val="00BF1745"/>
    <w:rsid w:val="00BF55A4"/>
    <w:rsid w:val="00C46DF1"/>
    <w:rsid w:val="00C54B59"/>
    <w:rsid w:val="00CB3663"/>
    <w:rsid w:val="00CF395F"/>
    <w:rsid w:val="00D10437"/>
    <w:rsid w:val="00D33BD1"/>
    <w:rsid w:val="00EB673D"/>
    <w:rsid w:val="00EE1A30"/>
    <w:rsid w:val="00EE3529"/>
    <w:rsid w:val="00F80E20"/>
    <w:rsid w:val="00FF076D"/>
    <w:rsid w:val="015B3238"/>
    <w:rsid w:val="0174274A"/>
    <w:rsid w:val="01AE1362"/>
    <w:rsid w:val="0209008E"/>
    <w:rsid w:val="0221101D"/>
    <w:rsid w:val="028212C5"/>
    <w:rsid w:val="02A14C7A"/>
    <w:rsid w:val="02B56978"/>
    <w:rsid w:val="031D77B8"/>
    <w:rsid w:val="03435D32"/>
    <w:rsid w:val="034B0AC6"/>
    <w:rsid w:val="03B62E52"/>
    <w:rsid w:val="03BD26AA"/>
    <w:rsid w:val="03C46413"/>
    <w:rsid w:val="03F043C9"/>
    <w:rsid w:val="03F5560D"/>
    <w:rsid w:val="05370DC3"/>
    <w:rsid w:val="05704583"/>
    <w:rsid w:val="05AE5131"/>
    <w:rsid w:val="05DC421B"/>
    <w:rsid w:val="069B1F26"/>
    <w:rsid w:val="06E2185D"/>
    <w:rsid w:val="071C5217"/>
    <w:rsid w:val="074574B7"/>
    <w:rsid w:val="077F711D"/>
    <w:rsid w:val="0815093A"/>
    <w:rsid w:val="08280844"/>
    <w:rsid w:val="08321414"/>
    <w:rsid w:val="08BC09C7"/>
    <w:rsid w:val="08CA0DBA"/>
    <w:rsid w:val="0AA10A64"/>
    <w:rsid w:val="0AAA2B3A"/>
    <w:rsid w:val="0B801F7D"/>
    <w:rsid w:val="0BD10723"/>
    <w:rsid w:val="0C0A3890"/>
    <w:rsid w:val="0C82214A"/>
    <w:rsid w:val="0CC90B55"/>
    <w:rsid w:val="0CF63E15"/>
    <w:rsid w:val="0D4639D6"/>
    <w:rsid w:val="0D7C008D"/>
    <w:rsid w:val="0DA06897"/>
    <w:rsid w:val="0DF462ED"/>
    <w:rsid w:val="0DF90060"/>
    <w:rsid w:val="0E19564B"/>
    <w:rsid w:val="0E3E5A73"/>
    <w:rsid w:val="0E522B49"/>
    <w:rsid w:val="0E5E23AA"/>
    <w:rsid w:val="0E6050D4"/>
    <w:rsid w:val="0E7F3C56"/>
    <w:rsid w:val="0EE4486D"/>
    <w:rsid w:val="0EF40828"/>
    <w:rsid w:val="0EF610D2"/>
    <w:rsid w:val="0EF97BEC"/>
    <w:rsid w:val="0F207817"/>
    <w:rsid w:val="0F24115F"/>
    <w:rsid w:val="0F7D48CD"/>
    <w:rsid w:val="0F895427"/>
    <w:rsid w:val="0FA36556"/>
    <w:rsid w:val="100F5919"/>
    <w:rsid w:val="10607EBA"/>
    <w:rsid w:val="10857989"/>
    <w:rsid w:val="10954B0F"/>
    <w:rsid w:val="10A609B0"/>
    <w:rsid w:val="10C177C0"/>
    <w:rsid w:val="10FB12CE"/>
    <w:rsid w:val="11034D52"/>
    <w:rsid w:val="11641A35"/>
    <w:rsid w:val="116C6D9B"/>
    <w:rsid w:val="11A54F88"/>
    <w:rsid w:val="11A55E09"/>
    <w:rsid w:val="1256364C"/>
    <w:rsid w:val="12F71BB3"/>
    <w:rsid w:val="13445E84"/>
    <w:rsid w:val="13463C67"/>
    <w:rsid w:val="134E407D"/>
    <w:rsid w:val="136916A0"/>
    <w:rsid w:val="13BF191E"/>
    <w:rsid w:val="13DD5D2E"/>
    <w:rsid w:val="144B4CE8"/>
    <w:rsid w:val="14827494"/>
    <w:rsid w:val="14DA48CB"/>
    <w:rsid w:val="14DA73CD"/>
    <w:rsid w:val="151B6B0E"/>
    <w:rsid w:val="155B04E5"/>
    <w:rsid w:val="15762967"/>
    <w:rsid w:val="15C0420D"/>
    <w:rsid w:val="15C42D02"/>
    <w:rsid w:val="16310CFC"/>
    <w:rsid w:val="164E7445"/>
    <w:rsid w:val="16521418"/>
    <w:rsid w:val="167B192A"/>
    <w:rsid w:val="16BA737C"/>
    <w:rsid w:val="17404D18"/>
    <w:rsid w:val="178D5376"/>
    <w:rsid w:val="179E79D9"/>
    <w:rsid w:val="17FD7EEE"/>
    <w:rsid w:val="180A196B"/>
    <w:rsid w:val="181B0371"/>
    <w:rsid w:val="186A5A33"/>
    <w:rsid w:val="18A93AFC"/>
    <w:rsid w:val="18DA3FE0"/>
    <w:rsid w:val="18DD5A8A"/>
    <w:rsid w:val="195A2D50"/>
    <w:rsid w:val="196B6F54"/>
    <w:rsid w:val="19CD71FA"/>
    <w:rsid w:val="19E605C7"/>
    <w:rsid w:val="1A48253C"/>
    <w:rsid w:val="1A94413A"/>
    <w:rsid w:val="1AC02064"/>
    <w:rsid w:val="1AF776D6"/>
    <w:rsid w:val="1B0B2AA5"/>
    <w:rsid w:val="1B334486"/>
    <w:rsid w:val="1BDF6BC8"/>
    <w:rsid w:val="1C2C3D72"/>
    <w:rsid w:val="1C535707"/>
    <w:rsid w:val="1C580E62"/>
    <w:rsid w:val="1C975E00"/>
    <w:rsid w:val="1D046172"/>
    <w:rsid w:val="1D484219"/>
    <w:rsid w:val="1D4F18C5"/>
    <w:rsid w:val="1D9A1CE4"/>
    <w:rsid w:val="1DD67D6F"/>
    <w:rsid w:val="1E036392"/>
    <w:rsid w:val="1E0C3498"/>
    <w:rsid w:val="1ED16069"/>
    <w:rsid w:val="1ED24185"/>
    <w:rsid w:val="1ED35C04"/>
    <w:rsid w:val="1ED903FD"/>
    <w:rsid w:val="1EE16233"/>
    <w:rsid w:val="1EFB57A6"/>
    <w:rsid w:val="1F372797"/>
    <w:rsid w:val="1F406C39"/>
    <w:rsid w:val="1FB262C1"/>
    <w:rsid w:val="1FD20322"/>
    <w:rsid w:val="1FE92B41"/>
    <w:rsid w:val="1FFEDEEE"/>
    <w:rsid w:val="201E1FEE"/>
    <w:rsid w:val="202E7632"/>
    <w:rsid w:val="20533B33"/>
    <w:rsid w:val="207456E4"/>
    <w:rsid w:val="20A3724F"/>
    <w:rsid w:val="20CB7E98"/>
    <w:rsid w:val="215A0799"/>
    <w:rsid w:val="21CC56B8"/>
    <w:rsid w:val="21F711A6"/>
    <w:rsid w:val="22460F43"/>
    <w:rsid w:val="22612BC4"/>
    <w:rsid w:val="2297354C"/>
    <w:rsid w:val="22DD16D2"/>
    <w:rsid w:val="22F7E8FF"/>
    <w:rsid w:val="234C0C7F"/>
    <w:rsid w:val="23A67EEB"/>
    <w:rsid w:val="23F46FD7"/>
    <w:rsid w:val="24283899"/>
    <w:rsid w:val="242A734D"/>
    <w:rsid w:val="24436E8F"/>
    <w:rsid w:val="248C4080"/>
    <w:rsid w:val="24C04FDC"/>
    <w:rsid w:val="24FD16C3"/>
    <w:rsid w:val="25F533FB"/>
    <w:rsid w:val="26331263"/>
    <w:rsid w:val="263F3713"/>
    <w:rsid w:val="265058AE"/>
    <w:rsid w:val="265F3B15"/>
    <w:rsid w:val="269C2300"/>
    <w:rsid w:val="271534C4"/>
    <w:rsid w:val="271E56C4"/>
    <w:rsid w:val="27391076"/>
    <w:rsid w:val="273B0505"/>
    <w:rsid w:val="277338DD"/>
    <w:rsid w:val="27A6495D"/>
    <w:rsid w:val="27F31AB9"/>
    <w:rsid w:val="27F60C89"/>
    <w:rsid w:val="27FFC5C7"/>
    <w:rsid w:val="282446FC"/>
    <w:rsid w:val="282B56B9"/>
    <w:rsid w:val="28371A2F"/>
    <w:rsid w:val="284452E7"/>
    <w:rsid w:val="28523CBE"/>
    <w:rsid w:val="28757938"/>
    <w:rsid w:val="28860508"/>
    <w:rsid w:val="28950ECF"/>
    <w:rsid w:val="291B3F45"/>
    <w:rsid w:val="294B0B24"/>
    <w:rsid w:val="29581F66"/>
    <w:rsid w:val="29942B89"/>
    <w:rsid w:val="2A0E67EA"/>
    <w:rsid w:val="2A14341E"/>
    <w:rsid w:val="2A257690"/>
    <w:rsid w:val="2A817549"/>
    <w:rsid w:val="2AC554D1"/>
    <w:rsid w:val="2ADB2B70"/>
    <w:rsid w:val="2B275DB5"/>
    <w:rsid w:val="2B625A5F"/>
    <w:rsid w:val="2BBE5215"/>
    <w:rsid w:val="2BD70482"/>
    <w:rsid w:val="2C2F0835"/>
    <w:rsid w:val="2CBB4441"/>
    <w:rsid w:val="2CC80ED2"/>
    <w:rsid w:val="2CD1263C"/>
    <w:rsid w:val="2CF37A27"/>
    <w:rsid w:val="2CF74E38"/>
    <w:rsid w:val="2D241E80"/>
    <w:rsid w:val="2D324D1A"/>
    <w:rsid w:val="2D525A3B"/>
    <w:rsid w:val="2D6319D3"/>
    <w:rsid w:val="2D9D27E0"/>
    <w:rsid w:val="2DE812E1"/>
    <w:rsid w:val="2E750BE6"/>
    <w:rsid w:val="2E7B50BC"/>
    <w:rsid w:val="2E982D28"/>
    <w:rsid w:val="2EAE40F8"/>
    <w:rsid w:val="2ED1320F"/>
    <w:rsid w:val="2F040BD9"/>
    <w:rsid w:val="2F3274A5"/>
    <w:rsid w:val="2FBBA5AB"/>
    <w:rsid w:val="2FBF381C"/>
    <w:rsid w:val="2FC260AC"/>
    <w:rsid w:val="2FD91648"/>
    <w:rsid w:val="2FEF2A5C"/>
    <w:rsid w:val="3052247A"/>
    <w:rsid w:val="305D77B8"/>
    <w:rsid w:val="3090670D"/>
    <w:rsid w:val="312B48AF"/>
    <w:rsid w:val="31B5579D"/>
    <w:rsid w:val="32A47AB4"/>
    <w:rsid w:val="32CB27BC"/>
    <w:rsid w:val="33105381"/>
    <w:rsid w:val="336B6A5B"/>
    <w:rsid w:val="337B49B9"/>
    <w:rsid w:val="33BD27DF"/>
    <w:rsid w:val="33EB569F"/>
    <w:rsid w:val="33FA0C54"/>
    <w:rsid w:val="34113BD6"/>
    <w:rsid w:val="34140406"/>
    <w:rsid w:val="342C7375"/>
    <w:rsid w:val="34B42BB5"/>
    <w:rsid w:val="34C73C1C"/>
    <w:rsid w:val="350D6544"/>
    <w:rsid w:val="35EE2E3C"/>
    <w:rsid w:val="36001598"/>
    <w:rsid w:val="360308FA"/>
    <w:rsid w:val="36527A5E"/>
    <w:rsid w:val="36870F62"/>
    <w:rsid w:val="369B1CB2"/>
    <w:rsid w:val="36BF54EC"/>
    <w:rsid w:val="36C17759"/>
    <w:rsid w:val="36DC449D"/>
    <w:rsid w:val="36F56951"/>
    <w:rsid w:val="37E36263"/>
    <w:rsid w:val="37EE368E"/>
    <w:rsid w:val="38554F2F"/>
    <w:rsid w:val="38693545"/>
    <w:rsid w:val="38C96200"/>
    <w:rsid w:val="38D85C62"/>
    <w:rsid w:val="390E6F8C"/>
    <w:rsid w:val="39131F2C"/>
    <w:rsid w:val="39374DDA"/>
    <w:rsid w:val="393C614A"/>
    <w:rsid w:val="39411EEC"/>
    <w:rsid w:val="39935632"/>
    <w:rsid w:val="39DB1F67"/>
    <w:rsid w:val="39E6508D"/>
    <w:rsid w:val="3A3949DD"/>
    <w:rsid w:val="3A4A7C37"/>
    <w:rsid w:val="3A7649A2"/>
    <w:rsid w:val="3A81279A"/>
    <w:rsid w:val="3AE5274E"/>
    <w:rsid w:val="3B072D35"/>
    <w:rsid w:val="3B3301C2"/>
    <w:rsid w:val="3B626037"/>
    <w:rsid w:val="3BD70C1C"/>
    <w:rsid w:val="3C065573"/>
    <w:rsid w:val="3C4B567C"/>
    <w:rsid w:val="3C837FE5"/>
    <w:rsid w:val="3CB15DE8"/>
    <w:rsid w:val="3D1F22E5"/>
    <w:rsid w:val="3D3960CA"/>
    <w:rsid w:val="3D741DDE"/>
    <w:rsid w:val="3D997564"/>
    <w:rsid w:val="3DB744C0"/>
    <w:rsid w:val="3DB8289D"/>
    <w:rsid w:val="3DE87F46"/>
    <w:rsid w:val="3DFC2E05"/>
    <w:rsid w:val="3E0D7049"/>
    <w:rsid w:val="3E144470"/>
    <w:rsid w:val="3E432DCF"/>
    <w:rsid w:val="3E8E1632"/>
    <w:rsid w:val="3F3E2FE9"/>
    <w:rsid w:val="3F5605BF"/>
    <w:rsid w:val="3F646F3E"/>
    <w:rsid w:val="3F7B5870"/>
    <w:rsid w:val="3FAD280D"/>
    <w:rsid w:val="3FAFC9F3"/>
    <w:rsid w:val="3FBD0AA0"/>
    <w:rsid w:val="3FBFE8A3"/>
    <w:rsid w:val="3FBFF11E"/>
    <w:rsid w:val="3FC78042"/>
    <w:rsid w:val="3FCF6EEE"/>
    <w:rsid w:val="3FFA9567"/>
    <w:rsid w:val="3FFBC9EC"/>
    <w:rsid w:val="3FFFEA14"/>
    <w:rsid w:val="400D7690"/>
    <w:rsid w:val="4069560F"/>
    <w:rsid w:val="412070D7"/>
    <w:rsid w:val="41322966"/>
    <w:rsid w:val="41670862"/>
    <w:rsid w:val="41731B45"/>
    <w:rsid w:val="41DC7289"/>
    <w:rsid w:val="41FD2ABB"/>
    <w:rsid w:val="421C165C"/>
    <w:rsid w:val="42811671"/>
    <w:rsid w:val="428B71EF"/>
    <w:rsid w:val="42A2347D"/>
    <w:rsid w:val="43251644"/>
    <w:rsid w:val="43802285"/>
    <w:rsid w:val="43A7F1A6"/>
    <w:rsid w:val="43D2284D"/>
    <w:rsid w:val="43ED42A2"/>
    <w:rsid w:val="44865DC2"/>
    <w:rsid w:val="44986F84"/>
    <w:rsid w:val="44A86EA6"/>
    <w:rsid w:val="44B03869"/>
    <w:rsid w:val="44B958DC"/>
    <w:rsid w:val="44E65F41"/>
    <w:rsid w:val="44FE2B7A"/>
    <w:rsid w:val="45221C05"/>
    <w:rsid w:val="45576E3F"/>
    <w:rsid w:val="455812EC"/>
    <w:rsid w:val="456F5F37"/>
    <w:rsid w:val="45761D23"/>
    <w:rsid w:val="45913DC1"/>
    <w:rsid w:val="4593493B"/>
    <w:rsid w:val="459B16D3"/>
    <w:rsid w:val="459E4A6E"/>
    <w:rsid w:val="45F31D67"/>
    <w:rsid w:val="45FF29D4"/>
    <w:rsid w:val="462A15BD"/>
    <w:rsid w:val="4633306D"/>
    <w:rsid w:val="46625636"/>
    <w:rsid w:val="46E2098A"/>
    <w:rsid w:val="4712301E"/>
    <w:rsid w:val="47970F04"/>
    <w:rsid w:val="48D56225"/>
    <w:rsid w:val="493C0826"/>
    <w:rsid w:val="49D23684"/>
    <w:rsid w:val="49E41186"/>
    <w:rsid w:val="49F243D5"/>
    <w:rsid w:val="4A3F0AC3"/>
    <w:rsid w:val="4A6E0EB3"/>
    <w:rsid w:val="4AD1435D"/>
    <w:rsid w:val="4AFA2C7B"/>
    <w:rsid w:val="4B0435C5"/>
    <w:rsid w:val="4B58271A"/>
    <w:rsid w:val="4B6B11A9"/>
    <w:rsid w:val="4B9C6B82"/>
    <w:rsid w:val="4BDE4024"/>
    <w:rsid w:val="4C1635B0"/>
    <w:rsid w:val="4C907F6D"/>
    <w:rsid w:val="4CA46E0E"/>
    <w:rsid w:val="4CAE35BE"/>
    <w:rsid w:val="4CFC2039"/>
    <w:rsid w:val="4D0D5568"/>
    <w:rsid w:val="4D101EA3"/>
    <w:rsid w:val="4D3E2370"/>
    <w:rsid w:val="4D6E449B"/>
    <w:rsid w:val="4F0A34DF"/>
    <w:rsid w:val="4F5F5C7E"/>
    <w:rsid w:val="4F7241B1"/>
    <w:rsid w:val="4FCD04DF"/>
    <w:rsid w:val="4FF7181A"/>
    <w:rsid w:val="4FFE309A"/>
    <w:rsid w:val="507D0BBC"/>
    <w:rsid w:val="507E6B2A"/>
    <w:rsid w:val="51290B58"/>
    <w:rsid w:val="51381763"/>
    <w:rsid w:val="51842D6A"/>
    <w:rsid w:val="51960840"/>
    <w:rsid w:val="51D7639A"/>
    <w:rsid w:val="51E2208C"/>
    <w:rsid w:val="5221572C"/>
    <w:rsid w:val="52265F38"/>
    <w:rsid w:val="52291B63"/>
    <w:rsid w:val="52EF2BDF"/>
    <w:rsid w:val="535B753F"/>
    <w:rsid w:val="53B16AD7"/>
    <w:rsid w:val="543748C0"/>
    <w:rsid w:val="54916DB6"/>
    <w:rsid w:val="54B716A8"/>
    <w:rsid w:val="55516FE9"/>
    <w:rsid w:val="55681707"/>
    <w:rsid w:val="55AC2CD2"/>
    <w:rsid w:val="55B812E3"/>
    <w:rsid w:val="55D82153"/>
    <w:rsid w:val="561A2F05"/>
    <w:rsid w:val="566E5A78"/>
    <w:rsid w:val="56A7003A"/>
    <w:rsid w:val="575D29C4"/>
    <w:rsid w:val="577B4EF8"/>
    <w:rsid w:val="57950BEC"/>
    <w:rsid w:val="579A41D9"/>
    <w:rsid w:val="57BD01C5"/>
    <w:rsid w:val="57BE73BD"/>
    <w:rsid w:val="57C56C55"/>
    <w:rsid w:val="57E13BCA"/>
    <w:rsid w:val="57EAF5E5"/>
    <w:rsid w:val="58334AD1"/>
    <w:rsid w:val="5864421C"/>
    <w:rsid w:val="58F55AD6"/>
    <w:rsid w:val="5901172B"/>
    <w:rsid w:val="59561F19"/>
    <w:rsid w:val="596B1981"/>
    <w:rsid w:val="59821BED"/>
    <w:rsid w:val="59CF4D9E"/>
    <w:rsid w:val="59DE4A58"/>
    <w:rsid w:val="5AB4383C"/>
    <w:rsid w:val="5AED719F"/>
    <w:rsid w:val="5B0A7A07"/>
    <w:rsid w:val="5B1433B1"/>
    <w:rsid w:val="5B353327"/>
    <w:rsid w:val="5B3C271A"/>
    <w:rsid w:val="5B3F384B"/>
    <w:rsid w:val="5B5F5E1B"/>
    <w:rsid w:val="5B685559"/>
    <w:rsid w:val="5B8F6EDB"/>
    <w:rsid w:val="5BE414C5"/>
    <w:rsid w:val="5BFBC47E"/>
    <w:rsid w:val="5BFBFEEF"/>
    <w:rsid w:val="5BFE6DE9"/>
    <w:rsid w:val="5C1E1F40"/>
    <w:rsid w:val="5C5537BA"/>
    <w:rsid w:val="5C694A22"/>
    <w:rsid w:val="5C7458E1"/>
    <w:rsid w:val="5CBF46AD"/>
    <w:rsid w:val="5CE479D1"/>
    <w:rsid w:val="5CFF3025"/>
    <w:rsid w:val="5D3C5456"/>
    <w:rsid w:val="5D3E2967"/>
    <w:rsid w:val="5D7B4679"/>
    <w:rsid w:val="5D7C3989"/>
    <w:rsid w:val="5DCDBD87"/>
    <w:rsid w:val="5E6D6710"/>
    <w:rsid w:val="5E7C5B9B"/>
    <w:rsid w:val="5EA82B76"/>
    <w:rsid w:val="5EB1D3F4"/>
    <w:rsid w:val="5ECB38AD"/>
    <w:rsid w:val="5EDB5F93"/>
    <w:rsid w:val="5F246AEA"/>
    <w:rsid w:val="5F3B183F"/>
    <w:rsid w:val="5F5617FE"/>
    <w:rsid w:val="5F562031"/>
    <w:rsid w:val="5F774ACC"/>
    <w:rsid w:val="5F9C373E"/>
    <w:rsid w:val="5FBF7263"/>
    <w:rsid w:val="5FCF84ED"/>
    <w:rsid w:val="5FDFC83C"/>
    <w:rsid w:val="5FF7A0DE"/>
    <w:rsid w:val="60017C7C"/>
    <w:rsid w:val="6020741B"/>
    <w:rsid w:val="60695F4D"/>
    <w:rsid w:val="608914CC"/>
    <w:rsid w:val="6094289E"/>
    <w:rsid w:val="60A725D1"/>
    <w:rsid w:val="60F11867"/>
    <w:rsid w:val="61035425"/>
    <w:rsid w:val="61492D1C"/>
    <w:rsid w:val="615C16D6"/>
    <w:rsid w:val="618A3DC3"/>
    <w:rsid w:val="61C15430"/>
    <w:rsid w:val="61E46B12"/>
    <w:rsid w:val="62102CE3"/>
    <w:rsid w:val="62222B09"/>
    <w:rsid w:val="62311D7E"/>
    <w:rsid w:val="62350D51"/>
    <w:rsid w:val="627C5614"/>
    <w:rsid w:val="62BA758E"/>
    <w:rsid w:val="62BB6119"/>
    <w:rsid w:val="62D11B87"/>
    <w:rsid w:val="630D7F41"/>
    <w:rsid w:val="630F26B0"/>
    <w:rsid w:val="636724EC"/>
    <w:rsid w:val="636C18B0"/>
    <w:rsid w:val="63A71F74"/>
    <w:rsid w:val="63ED0D4F"/>
    <w:rsid w:val="644D43B6"/>
    <w:rsid w:val="64FE5F84"/>
    <w:rsid w:val="652F1904"/>
    <w:rsid w:val="65835D1E"/>
    <w:rsid w:val="65BF660F"/>
    <w:rsid w:val="65C7404D"/>
    <w:rsid w:val="65F17436"/>
    <w:rsid w:val="66BB8914"/>
    <w:rsid w:val="66C0483B"/>
    <w:rsid w:val="66CC410D"/>
    <w:rsid w:val="66EE54A9"/>
    <w:rsid w:val="67152FB8"/>
    <w:rsid w:val="67551304"/>
    <w:rsid w:val="676254A4"/>
    <w:rsid w:val="678D0D6C"/>
    <w:rsid w:val="67AB4C59"/>
    <w:rsid w:val="67C96B35"/>
    <w:rsid w:val="67D8ED11"/>
    <w:rsid w:val="684306E9"/>
    <w:rsid w:val="68723580"/>
    <w:rsid w:val="68994500"/>
    <w:rsid w:val="69172000"/>
    <w:rsid w:val="697F1380"/>
    <w:rsid w:val="699A1F8A"/>
    <w:rsid w:val="699B631C"/>
    <w:rsid w:val="69A93917"/>
    <w:rsid w:val="69F84725"/>
    <w:rsid w:val="6A227D68"/>
    <w:rsid w:val="6A4A3BFD"/>
    <w:rsid w:val="6B43739A"/>
    <w:rsid w:val="6BFFA4D9"/>
    <w:rsid w:val="6C196A9A"/>
    <w:rsid w:val="6C590980"/>
    <w:rsid w:val="6C75429C"/>
    <w:rsid w:val="6C7D23DE"/>
    <w:rsid w:val="6C8163CC"/>
    <w:rsid w:val="6C862912"/>
    <w:rsid w:val="6CA852FC"/>
    <w:rsid w:val="6CFA1652"/>
    <w:rsid w:val="6CFD7E08"/>
    <w:rsid w:val="6D0F4A6A"/>
    <w:rsid w:val="6D3D4391"/>
    <w:rsid w:val="6D4F2BB4"/>
    <w:rsid w:val="6D8E68B6"/>
    <w:rsid w:val="6DB91B96"/>
    <w:rsid w:val="6DCD214C"/>
    <w:rsid w:val="6E3C3302"/>
    <w:rsid w:val="6E7E0482"/>
    <w:rsid w:val="6E7F1593"/>
    <w:rsid w:val="6E8B15BA"/>
    <w:rsid w:val="6EC3F98A"/>
    <w:rsid w:val="6EDE010C"/>
    <w:rsid w:val="6EFE7E0F"/>
    <w:rsid w:val="6F5F3DDC"/>
    <w:rsid w:val="6FBF4705"/>
    <w:rsid w:val="6FC06BC3"/>
    <w:rsid w:val="6FC24E02"/>
    <w:rsid w:val="6FCD2B35"/>
    <w:rsid w:val="6FEFDAF3"/>
    <w:rsid w:val="6FF658FB"/>
    <w:rsid w:val="6FFB1FF0"/>
    <w:rsid w:val="6FFEF6BD"/>
    <w:rsid w:val="70161521"/>
    <w:rsid w:val="70756248"/>
    <w:rsid w:val="70983CE4"/>
    <w:rsid w:val="70BB65E4"/>
    <w:rsid w:val="70E817A2"/>
    <w:rsid w:val="70EF71B7"/>
    <w:rsid w:val="70FAFB2A"/>
    <w:rsid w:val="71506ACE"/>
    <w:rsid w:val="716138A0"/>
    <w:rsid w:val="716314ED"/>
    <w:rsid w:val="71753151"/>
    <w:rsid w:val="71867FE1"/>
    <w:rsid w:val="71A73D3E"/>
    <w:rsid w:val="71D4087A"/>
    <w:rsid w:val="71E34413"/>
    <w:rsid w:val="71FE401B"/>
    <w:rsid w:val="726A16B0"/>
    <w:rsid w:val="727D4F24"/>
    <w:rsid w:val="72822E9E"/>
    <w:rsid w:val="72A146DD"/>
    <w:rsid w:val="72A70FAA"/>
    <w:rsid w:val="72DD1E82"/>
    <w:rsid w:val="72E66F89"/>
    <w:rsid w:val="73113F43"/>
    <w:rsid w:val="734944D8"/>
    <w:rsid w:val="7357511D"/>
    <w:rsid w:val="737446DD"/>
    <w:rsid w:val="737A3B75"/>
    <w:rsid w:val="737C1264"/>
    <w:rsid w:val="739B12EB"/>
    <w:rsid w:val="73AB6533"/>
    <w:rsid w:val="74620891"/>
    <w:rsid w:val="74D774D1"/>
    <w:rsid w:val="74E42203"/>
    <w:rsid w:val="751F197F"/>
    <w:rsid w:val="75297601"/>
    <w:rsid w:val="752C5839"/>
    <w:rsid w:val="758650B4"/>
    <w:rsid w:val="759E9462"/>
    <w:rsid w:val="75AB7F59"/>
    <w:rsid w:val="75D9457B"/>
    <w:rsid w:val="75E579CC"/>
    <w:rsid w:val="7613520C"/>
    <w:rsid w:val="76301170"/>
    <w:rsid w:val="763E70DC"/>
    <w:rsid w:val="76937428"/>
    <w:rsid w:val="76EB7264"/>
    <w:rsid w:val="76EEE66D"/>
    <w:rsid w:val="76EF82A2"/>
    <w:rsid w:val="76F20DAE"/>
    <w:rsid w:val="76FBFBCD"/>
    <w:rsid w:val="77245415"/>
    <w:rsid w:val="77503BA8"/>
    <w:rsid w:val="77B627D2"/>
    <w:rsid w:val="77BDFB3C"/>
    <w:rsid w:val="77BF2551"/>
    <w:rsid w:val="77CB4ADD"/>
    <w:rsid w:val="77F50D0E"/>
    <w:rsid w:val="77FCCDF3"/>
    <w:rsid w:val="7821727C"/>
    <w:rsid w:val="78243701"/>
    <w:rsid w:val="782E0A91"/>
    <w:rsid w:val="7866291A"/>
    <w:rsid w:val="788E7EA5"/>
    <w:rsid w:val="78F74A7F"/>
    <w:rsid w:val="7922343B"/>
    <w:rsid w:val="7926388B"/>
    <w:rsid w:val="79521C10"/>
    <w:rsid w:val="795E17F1"/>
    <w:rsid w:val="795FF9E4"/>
    <w:rsid w:val="79953F9E"/>
    <w:rsid w:val="79D42C0A"/>
    <w:rsid w:val="79FFF26D"/>
    <w:rsid w:val="7A142583"/>
    <w:rsid w:val="7A267238"/>
    <w:rsid w:val="7A30225F"/>
    <w:rsid w:val="7AAE7979"/>
    <w:rsid w:val="7AD5E80B"/>
    <w:rsid w:val="7AE7FD2B"/>
    <w:rsid w:val="7AF3D7EA"/>
    <w:rsid w:val="7AFE98C0"/>
    <w:rsid w:val="7B0A37F3"/>
    <w:rsid w:val="7B2EC99E"/>
    <w:rsid w:val="7B3E4BF5"/>
    <w:rsid w:val="7B676EB1"/>
    <w:rsid w:val="7B93031C"/>
    <w:rsid w:val="7BB3345A"/>
    <w:rsid w:val="7BBE09F0"/>
    <w:rsid w:val="7BCF7C7E"/>
    <w:rsid w:val="7BD61AD5"/>
    <w:rsid w:val="7BF9C739"/>
    <w:rsid w:val="7BFB259B"/>
    <w:rsid w:val="7BFF440A"/>
    <w:rsid w:val="7BFF8FB5"/>
    <w:rsid w:val="7C8549E9"/>
    <w:rsid w:val="7C9E2A4A"/>
    <w:rsid w:val="7CCD70F6"/>
    <w:rsid w:val="7CFC4664"/>
    <w:rsid w:val="7D4E5235"/>
    <w:rsid w:val="7D7B61FA"/>
    <w:rsid w:val="7D7D8DD1"/>
    <w:rsid w:val="7D9F8B72"/>
    <w:rsid w:val="7DBBA20B"/>
    <w:rsid w:val="7DC66335"/>
    <w:rsid w:val="7DDEDC0D"/>
    <w:rsid w:val="7DEF7A8A"/>
    <w:rsid w:val="7DF3FD3E"/>
    <w:rsid w:val="7DF7F354"/>
    <w:rsid w:val="7DFB0575"/>
    <w:rsid w:val="7E154BC6"/>
    <w:rsid w:val="7E6B12CB"/>
    <w:rsid w:val="7E7273D9"/>
    <w:rsid w:val="7E7F81E4"/>
    <w:rsid w:val="7E8D051D"/>
    <w:rsid w:val="7EACC565"/>
    <w:rsid w:val="7EB151EC"/>
    <w:rsid w:val="7EBB205B"/>
    <w:rsid w:val="7EBF2D50"/>
    <w:rsid w:val="7ECF1D1B"/>
    <w:rsid w:val="7ED22AB7"/>
    <w:rsid w:val="7ED7E605"/>
    <w:rsid w:val="7EDD74B9"/>
    <w:rsid w:val="7EF62516"/>
    <w:rsid w:val="7EFFE568"/>
    <w:rsid w:val="7F4B6054"/>
    <w:rsid w:val="7F5ABD7A"/>
    <w:rsid w:val="7F5CEBBD"/>
    <w:rsid w:val="7F7D7081"/>
    <w:rsid w:val="7F824F8C"/>
    <w:rsid w:val="7F8C4AD9"/>
    <w:rsid w:val="7FBF1A71"/>
    <w:rsid w:val="7FDFB4E3"/>
    <w:rsid w:val="7FDFE4A1"/>
    <w:rsid w:val="7FEF3380"/>
    <w:rsid w:val="7FFF3A16"/>
    <w:rsid w:val="7FFF5A94"/>
    <w:rsid w:val="83FF91AF"/>
    <w:rsid w:val="8AF62299"/>
    <w:rsid w:val="8D9E5958"/>
    <w:rsid w:val="8FEBAE37"/>
    <w:rsid w:val="8FF8B082"/>
    <w:rsid w:val="9FFC6A98"/>
    <w:rsid w:val="9FFF4B72"/>
    <w:rsid w:val="9FFFED75"/>
    <w:rsid w:val="A4FE2DAB"/>
    <w:rsid w:val="AD3B6A3F"/>
    <w:rsid w:val="AFE10A07"/>
    <w:rsid w:val="AFFE6005"/>
    <w:rsid w:val="B6FC2E9B"/>
    <w:rsid w:val="B7E7B2A0"/>
    <w:rsid w:val="B7EB1F3F"/>
    <w:rsid w:val="B9EB0C7F"/>
    <w:rsid w:val="B9FBD9F7"/>
    <w:rsid w:val="BBD563B5"/>
    <w:rsid w:val="BBFE7B1E"/>
    <w:rsid w:val="BBFF130D"/>
    <w:rsid w:val="BBFFDCD7"/>
    <w:rsid w:val="BCDCE214"/>
    <w:rsid w:val="BDAD1B8A"/>
    <w:rsid w:val="BDB9A1BB"/>
    <w:rsid w:val="BDFFCF40"/>
    <w:rsid w:val="BE7D5B73"/>
    <w:rsid w:val="BEEC8E32"/>
    <w:rsid w:val="BF7E0626"/>
    <w:rsid w:val="C76803D6"/>
    <w:rsid w:val="C77B49A1"/>
    <w:rsid w:val="CB9B34A2"/>
    <w:rsid w:val="CBB3A44B"/>
    <w:rsid w:val="CBDFAE21"/>
    <w:rsid w:val="CF1E2C65"/>
    <w:rsid w:val="CFFECBF1"/>
    <w:rsid w:val="D1D7B40E"/>
    <w:rsid w:val="D267D29C"/>
    <w:rsid w:val="D3ECC95C"/>
    <w:rsid w:val="D3ED3C8A"/>
    <w:rsid w:val="D6C76697"/>
    <w:rsid w:val="D70AFC06"/>
    <w:rsid w:val="D7DD1870"/>
    <w:rsid w:val="D9BFE668"/>
    <w:rsid w:val="D9F7E4F1"/>
    <w:rsid w:val="DA6CDFCE"/>
    <w:rsid w:val="DAFFE3D0"/>
    <w:rsid w:val="DB7F72A7"/>
    <w:rsid w:val="DBFF9A6B"/>
    <w:rsid w:val="DCDBFDC9"/>
    <w:rsid w:val="DD27FCAC"/>
    <w:rsid w:val="DD2D3FF7"/>
    <w:rsid w:val="DDCC86CA"/>
    <w:rsid w:val="DEFD6240"/>
    <w:rsid w:val="DEFF9AA2"/>
    <w:rsid w:val="DF5F6244"/>
    <w:rsid w:val="DFFE046B"/>
    <w:rsid w:val="E5B7349A"/>
    <w:rsid w:val="E5FFA019"/>
    <w:rsid w:val="E6DD0BF9"/>
    <w:rsid w:val="E7D6CC62"/>
    <w:rsid w:val="EBDE771E"/>
    <w:rsid w:val="EC6F8A7D"/>
    <w:rsid w:val="ED574481"/>
    <w:rsid w:val="EDBD7309"/>
    <w:rsid w:val="EDDFEE17"/>
    <w:rsid w:val="EDFDC52D"/>
    <w:rsid w:val="EEDBFCB9"/>
    <w:rsid w:val="EEDF5C73"/>
    <w:rsid w:val="EFB7FA07"/>
    <w:rsid w:val="EFDD9E34"/>
    <w:rsid w:val="EFEC0D03"/>
    <w:rsid w:val="EFF9121F"/>
    <w:rsid w:val="F4FEB764"/>
    <w:rsid w:val="F5DCD828"/>
    <w:rsid w:val="F6FFEE89"/>
    <w:rsid w:val="F77F6848"/>
    <w:rsid w:val="F77FB31B"/>
    <w:rsid w:val="F79FF762"/>
    <w:rsid w:val="F7D8FE1B"/>
    <w:rsid w:val="F7F540A6"/>
    <w:rsid w:val="F7F99798"/>
    <w:rsid w:val="F7FF2F46"/>
    <w:rsid w:val="F7FF624F"/>
    <w:rsid w:val="F8A20F1B"/>
    <w:rsid w:val="F8DF9610"/>
    <w:rsid w:val="F8ED456B"/>
    <w:rsid w:val="F8FC959D"/>
    <w:rsid w:val="F9FE23CE"/>
    <w:rsid w:val="FBED27CB"/>
    <w:rsid w:val="FD77E073"/>
    <w:rsid w:val="FDA3C67D"/>
    <w:rsid w:val="FDBFCCB1"/>
    <w:rsid w:val="FDE76F5F"/>
    <w:rsid w:val="FDF70401"/>
    <w:rsid w:val="FDFBBA80"/>
    <w:rsid w:val="FE9A4642"/>
    <w:rsid w:val="FEF71790"/>
    <w:rsid w:val="FEFEEE24"/>
    <w:rsid w:val="FEFF1801"/>
    <w:rsid w:val="FF256A0D"/>
    <w:rsid w:val="FF825E8E"/>
    <w:rsid w:val="FF9EC63C"/>
    <w:rsid w:val="FF9F7E4F"/>
    <w:rsid w:val="FFAE71A9"/>
    <w:rsid w:val="FFDDD3F3"/>
    <w:rsid w:val="FFDF345C"/>
    <w:rsid w:val="FFDF71A8"/>
    <w:rsid w:val="FFF358D4"/>
    <w:rsid w:val="FFF6C637"/>
    <w:rsid w:val="FFF7C73D"/>
    <w:rsid w:val="FFFF91E4"/>
    <w:rsid w:val="FFFFC2A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nhideWhenUsed="0" w:uiPriority="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1044" w:firstLineChars="200"/>
      <w:jc w:val="both"/>
    </w:pPr>
    <w:rPr>
      <w:rFonts w:ascii="Times New Roman" w:hAnsi="Times New Roman" w:eastAsia="仿宋_GB2312" w:cstheme="minorBidi"/>
      <w:kern w:val="2"/>
      <w:sz w:val="28"/>
      <w:szCs w:val="22"/>
      <w:lang w:val="en-US" w:eastAsia="zh-CN" w:bidi="ar-SA"/>
    </w:rPr>
  </w:style>
  <w:style w:type="paragraph" w:styleId="2">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3">
    <w:name w:val="heading 3"/>
    <w:basedOn w:val="1"/>
    <w:next w:val="1"/>
    <w:qFormat/>
    <w:uiPriority w:val="0"/>
    <w:pPr>
      <w:keepNext/>
      <w:keepLines/>
      <w:numPr>
        <w:ilvl w:val="2"/>
        <w:numId w:val="1"/>
      </w:numPr>
      <w:spacing w:line="560" w:lineRule="exact"/>
      <w:ind w:firstLine="880"/>
      <w:outlineLvl w:val="2"/>
    </w:pPr>
    <w:rPr>
      <w:b/>
      <w:bCs/>
      <w:szCs w:val="32"/>
    </w:rPr>
  </w:style>
  <w:style w:type="character" w:default="1" w:styleId="21">
    <w:name w:val="Default Paragraph Font"/>
    <w:semiHidden/>
    <w:unhideWhenUsed/>
    <w:qFormat/>
    <w:uiPriority w:val="1"/>
  </w:style>
  <w:style w:type="table" w:default="1" w:styleId="1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Normal Indent"/>
    <w:basedOn w:val="1"/>
    <w:unhideWhenUsed/>
    <w:qFormat/>
    <w:uiPriority w:val="99"/>
    <w:pPr>
      <w:numPr>
        <w:ilvl w:val="0"/>
        <w:numId w:val="2"/>
      </w:numPr>
      <w:spacing w:line="560" w:lineRule="exact"/>
    </w:pPr>
    <w:rPr>
      <w:rFonts w:ascii="楷体" w:hAnsi="楷体" w:eastAsia="楷体" w:cs="楷体"/>
      <w:szCs w:val="32"/>
    </w:rPr>
  </w:style>
  <w:style w:type="paragraph" w:styleId="5">
    <w:name w:val="annotation text"/>
    <w:basedOn w:val="1"/>
    <w:semiHidden/>
    <w:unhideWhenUsed/>
    <w:qFormat/>
    <w:uiPriority w:val="99"/>
    <w:pPr>
      <w:jc w:val="left"/>
    </w:pPr>
  </w:style>
  <w:style w:type="paragraph" w:styleId="6">
    <w:name w:val="Salutation"/>
    <w:basedOn w:val="1"/>
    <w:next w:val="1"/>
    <w:qFormat/>
    <w:uiPriority w:val="0"/>
  </w:style>
  <w:style w:type="paragraph" w:styleId="7">
    <w:name w:val="Body Text"/>
    <w:basedOn w:val="1"/>
    <w:next w:val="1"/>
    <w:qFormat/>
    <w:uiPriority w:val="0"/>
    <w:pPr>
      <w:spacing w:after="120"/>
    </w:pPr>
    <w:rPr>
      <w:rFonts w:ascii="Calibri" w:hAnsi="Calibri"/>
      <w:kern w:val="0"/>
      <w:szCs w:val="20"/>
    </w:rPr>
  </w:style>
  <w:style w:type="paragraph" w:styleId="8">
    <w:name w:val="Body Text Indent"/>
    <w:basedOn w:val="1"/>
    <w:next w:val="9"/>
    <w:link w:val="44"/>
    <w:semiHidden/>
    <w:unhideWhenUsed/>
    <w:qFormat/>
    <w:uiPriority w:val="99"/>
    <w:pPr>
      <w:ind w:firstLine="640"/>
    </w:pPr>
    <w:rPr>
      <w:rFonts w:ascii="Calibri" w:hAnsi="Calibri" w:eastAsia="宋体" w:cs="Times New Roman"/>
      <w:sz w:val="32"/>
      <w:szCs w:val="24"/>
    </w:rPr>
  </w:style>
  <w:style w:type="paragraph" w:styleId="9">
    <w:name w:val="Body Text First Indent 2"/>
    <w:basedOn w:val="8"/>
    <w:qFormat/>
    <w:uiPriority w:val="0"/>
    <w:pPr>
      <w:ind w:firstLine="420"/>
    </w:pPr>
  </w:style>
  <w:style w:type="paragraph" w:styleId="10">
    <w:name w:val="toc 3"/>
    <w:basedOn w:val="1"/>
    <w:next w:val="1"/>
    <w:semiHidden/>
    <w:unhideWhenUsed/>
    <w:qFormat/>
    <w:uiPriority w:val="39"/>
    <w:pPr>
      <w:ind w:left="840" w:leftChars="400"/>
    </w:pPr>
  </w:style>
  <w:style w:type="paragraph" w:styleId="11">
    <w:name w:val="Body Text Indent 2"/>
    <w:basedOn w:val="1"/>
    <w:qFormat/>
    <w:uiPriority w:val="0"/>
    <w:pPr>
      <w:ind w:firstLine="645"/>
      <w:outlineLvl w:val="0"/>
    </w:pPr>
    <w:rPr>
      <w:rFonts w:ascii="仿宋_GB2312"/>
      <w:spacing w:val="-4"/>
      <w:sz w:val="32"/>
    </w:rPr>
  </w:style>
  <w:style w:type="paragraph" w:styleId="12">
    <w:name w:val="footer"/>
    <w:basedOn w:val="1"/>
    <w:link w:val="31"/>
    <w:unhideWhenUsed/>
    <w:qFormat/>
    <w:uiPriority w:val="99"/>
    <w:pPr>
      <w:tabs>
        <w:tab w:val="center" w:pos="4153"/>
        <w:tab w:val="right" w:pos="8306"/>
      </w:tabs>
      <w:snapToGrid w:val="0"/>
      <w:jc w:val="left"/>
    </w:pPr>
    <w:rPr>
      <w:sz w:val="18"/>
      <w:szCs w:val="18"/>
    </w:rPr>
  </w:style>
  <w:style w:type="paragraph" w:styleId="13">
    <w:name w:val="header"/>
    <w:basedOn w:val="1"/>
    <w:next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pPr>
      <w:tabs>
        <w:tab w:val="left" w:pos="709"/>
        <w:tab w:val="right" w:leader="dot" w:pos="8296"/>
      </w:tabs>
    </w:pPr>
  </w:style>
  <w:style w:type="paragraph" w:styleId="15">
    <w:name w:val="footnote text"/>
    <w:basedOn w:val="1"/>
    <w:next w:val="9"/>
    <w:semiHidden/>
    <w:qFormat/>
    <w:uiPriority w:val="0"/>
    <w:pPr>
      <w:snapToGrid w:val="0"/>
      <w:jc w:val="left"/>
    </w:pPr>
    <w:rPr>
      <w:sz w:val="18"/>
      <w:szCs w:val="18"/>
    </w:rPr>
  </w:style>
  <w:style w:type="paragraph" w:styleId="16">
    <w:name w:val="toc 2"/>
    <w:basedOn w:val="1"/>
    <w:next w:val="1"/>
    <w:unhideWhenUsed/>
    <w:qFormat/>
    <w:uiPriority w:val="39"/>
    <w:pPr>
      <w:ind w:left="420" w:leftChars="200"/>
    </w:pPr>
  </w:style>
  <w:style w:type="paragraph" w:styleId="17">
    <w:name w:val="Normal (Web)"/>
    <w:basedOn w:val="1"/>
    <w:unhideWhenUsed/>
    <w:qFormat/>
    <w:uiPriority w:val="99"/>
    <w:pPr>
      <w:spacing w:before="100" w:beforeAutospacing="1" w:after="100" w:afterAutospacing="1"/>
      <w:jc w:val="left"/>
    </w:pPr>
    <w:rPr>
      <w:rFonts w:cs="Times New Roman"/>
      <w:kern w:val="0"/>
      <w:sz w:val="24"/>
    </w:rPr>
  </w:style>
  <w:style w:type="paragraph" w:styleId="18">
    <w:name w:val="Title"/>
    <w:basedOn w:val="1"/>
    <w:link w:val="43"/>
    <w:qFormat/>
    <w:uiPriority w:val="10"/>
    <w:pPr>
      <w:spacing w:before="240" w:after="60"/>
      <w:jc w:val="center"/>
      <w:outlineLvl w:val="0"/>
    </w:pPr>
    <w:rPr>
      <w:rFonts w:ascii="Arial" w:hAnsi="Arial"/>
      <w:b/>
      <w:sz w:val="32"/>
    </w:rPr>
  </w:style>
  <w:style w:type="table" w:styleId="20">
    <w:name w:val="Table Grid"/>
    <w:basedOn w:val="1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bCs/>
    </w:rPr>
  </w:style>
  <w:style w:type="character" w:styleId="23">
    <w:name w:val="Emphasis"/>
    <w:basedOn w:val="21"/>
    <w:qFormat/>
    <w:uiPriority w:val="20"/>
    <w:rPr>
      <w:i/>
    </w:rPr>
  </w:style>
  <w:style w:type="character" w:styleId="24">
    <w:name w:val="Hyperlink"/>
    <w:unhideWhenUsed/>
    <w:qFormat/>
    <w:uiPriority w:val="99"/>
    <w:rPr>
      <w:color w:val="4D4D4D"/>
      <w:u w:val="none"/>
    </w:rPr>
  </w:style>
  <w:style w:type="character" w:styleId="25">
    <w:name w:val="annotation reference"/>
    <w:basedOn w:val="21"/>
    <w:semiHidden/>
    <w:unhideWhenUsed/>
    <w:qFormat/>
    <w:uiPriority w:val="99"/>
    <w:rPr>
      <w:sz w:val="21"/>
      <w:szCs w:val="21"/>
    </w:rPr>
  </w:style>
  <w:style w:type="paragraph" w:customStyle="1" w:styleId="26">
    <w:name w:val="正文文本1"/>
    <w:basedOn w:val="1"/>
    <w:qFormat/>
    <w:uiPriority w:val="0"/>
    <w:pPr>
      <w:spacing w:line="386" w:lineRule="auto"/>
    </w:pPr>
    <w:rPr>
      <w:rFonts w:ascii="楷体" w:hAnsi="楷体" w:eastAsia="楷体" w:cs="楷体"/>
      <w:sz w:val="19"/>
      <w:szCs w:val="19"/>
      <w:lang w:val="zh-CN" w:bidi="zh-CN"/>
    </w:rPr>
  </w:style>
  <w:style w:type="paragraph" w:customStyle="1" w:styleId="27">
    <w:name w:val="Default"/>
    <w:next w:val="28"/>
    <w:qFormat/>
    <w:uiPriority w:val="0"/>
    <w:pPr>
      <w:autoSpaceDE w:val="0"/>
      <w:autoSpaceDN w:val="0"/>
      <w:adjustRightInd w:val="0"/>
    </w:pPr>
    <w:rPr>
      <w:rFonts w:ascii="微软雅黑" w:hAnsi="Calibri" w:eastAsia="微软雅黑" w:cs="微软雅黑"/>
      <w:color w:val="000000"/>
      <w:sz w:val="24"/>
      <w:szCs w:val="24"/>
      <w:lang w:val="en-US" w:eastAsia="zh-CN" w:bidi="ar-SA"/>
    </w:rPr>
  </w:style>
  <w:style w:type="paragraph" w:customStyle="1" w:styleId="28">
    <w:name w:val="_Style 1"/>
    <w:basedOn w:val="1"/>
    <w:next w:val="1"/>
    <w:qFormat/>
    <w:uiPriority w:val="0"/>
    <w:pPr>
      <w:pBdr>
        <w:top w:val="single" w:color="auto" w:sz="6" w:space="1"/>
      </w:pBdr>
      <w:jc w:val="center"/>
    </w:pPr>
    <w:rPr>
      <w:rFonts w:ascii="Arial" w:eastAsia="宋体"/>
      <w:vanish/>
      <w:sz w:val="16"/>
    </w:rPr>
  </w:style>
  <w:style w:type="paragraph" w:customStyle="1" w:styleId="29">
    <w:name w:val="常用样式（方正仿宋简）"/>
    <w:basedOn w:val="1"/>
    <w:qFormat/>
    <w:uiPriority w:val="0"/>
    <w:pPr>
      <w:spacing w:line="560" w:lineRule="exact"/>
      <w:ind w:firstLine="640"/>
    </w:pPr>
    <w:rPr>
      <w:rFonts w:eastAsia="仿宋"/>
      <w:sz w:val="32"/>
    </w:rPr>
  </w:style>
  <w:style w:type="character" w:customStyle="1" w:styleId="30">
    <w:name w:val="页眉 字符"/>
    <w:basedOn w:val="21"/>
    <w:link w:val="13"/>
    <w:qFormat/>
    <w:uiPriority w:val="99"/>
    <w:rPr>
      <w:sz w:val="18"/>
      <w:szCs w:val="18"/>
    </w:rPr>
  </w:style>
  <w:style w:type="character" w:customStyle="1" w:styleId="31">
    <w:name w:val="页脚 字符"/>
    <w:basedOn w:val="21"/>
    <w:link w:val="12"/>
    <w:qFormat/>
    <w:uiPriority w:val="99"/>
    <w:rPr>
      <w:sz w:val="18"/>
      <w:szCs w:val="18"/>
    </w:rPr>
  </w:style>
  <w:style w:type="character" w:customStyle="1" w:styleId="32">
    <w:name w:val="font11"/>
    <w:basedOn w:val="21"/>
    <w:qFormat/>
    <w:uiPriority w:val="0"/>
    <w:rPr>
      <w:rFonts w:hint="eastAsia" w:ascii="宋体" w:hAnsi="宋体" w:eastAsia="宋体" w:cs="宋体"/>
      <w:color w:val="000000"/>
      <w:sz w:val="21"/>
      <w:szCs w:val="21"/>
      <w:u w:val="none"/>
    </w:rPr>
  </w:style>
  <w:style w:type="character" w:customStyle="1" w:styleId="33">
    <w:name w:val="font01"/>
    <w:basedOn w:val="21"/>
    <w:qFormat/>
    <w:uiPriority w:val="0"/>
    <w:rPr>
      <w:rFonts w:hint="default" w:ascii="Calibri" w:hAnsi="Calibri" w:cs="Calibri"/>
      <w:color w:val="000000"/>
      <w:sz w:val="21"/>
      <w:szCs w:val="21"/>
      <w:u w:val="none"/>
    </w:rPr>
  </w:style>
  <w:style w:type="character" w:customStyle="1" w:styleId="34">
    <w:name w:val="font71"/>
    <w:basedOn w:val="21"/>
    <w:qFormat/>
    <w:uiPriority w:val="0"/>
    <w:rPr>
      <w:rFonts w:hint="eastAsia" w:ascii="仿宋" w:hAnsi="仿宋" w:eastAsia="仿宋" w:cs="仿宋"/>
      <w:b/>
      <w:color w:val="000000"/>
      <w:sz w:val="24"/>
      <w:szCs w:val="24"/>
      <w:u w:val="none"/>
    </w:rPr>
  </w:style>
  <w:style w:type="character" w:customStyle="1" w:styleId="35">
    <w:name w:val="font51"/>
    <w:basedOn w:val="21"/>
    <w:qFormat/>
    <w:uiPriority w:val="0"/>
    <w:rPr>
      <w:rFonts w:hint="eastAsia" w:ascii="仿宋" w:hAnsi="仿宋" w:eastAsia="仿宋" w:cs="仿宋"/>
      <w:color w:val="000000"/>
      <w:sz w:val="24"/>
      <w:szCs w:val="24"/>
      <w:u w:val="none"/>
    </w:rPr>
  </w:style>
  <w:style w:type="character" w:customStyle="1" w:styleId="36">
    <w:name w:val="font31"/>
    <w:basedOn w:val="21"/>
    <w:qFormat/>
    <w:uiPriority w:val="0"/>
    <w:rPr>
      <w:rFonts w:hint="eastAsia" w:ascii="宋体" w:hAnsi="宋体" w:eastAsia="宋体" w:cs="宋体"/>
      <w:b/>
      <w:color w:val="000000"/>
      <w:sz w:val="22"/>
      <w:szCs w:val="22"/>
      <w:u w:val="none"/>
    </w:rPr>
  </w:style>
  <w:style w:type="character" w:customStyle="1" w:styleId="37">
    <w:name w:val="font21"/>
    <w:basedOn w:val="21"/>
    <w:qFormat/>
    <w:uiPriority w:val="0"/>
    <w:rPr>
      <w:rFonts w:hint="eastAsia" w:ascii="宋体" w:hAnsi="宋体" w:eastAsia="宋体" w:cs="宋体"/>
      <w:color w:val="000000"/>
      <w:sz w:val="20"/>
      <w:szCs w:val="20"/>
      <w:u w:val="none"/>
    </w:rPr>
  </w:style>
  <w:style w:type="character" w:customStyle="1" w:styleId="38">
    <w:name w:val="font41"/>
    <w:basedOn w:val="21"/>
    <w:qFormat/>
    <w:uiPriority w:val="0"/>
    <w:rPr>
      <w:rFonts w:hint="default" w:ascii="Times New Roman" w:hAnsi="Times New Roman" w:cs="Times New Roman"/>
      <w:b/>
      <w:color w:val="000000"/>
      <w:sz w:val="20"/>
      <w:szCs w:val="20"/>
      <w:u w:val="none"/>
    </w:rPr>
  </w:style>
  <w:style w:type="paragraph" w:customStyle="1" w:styleId="39">
    <w:name w:val="WPSOffice手动目录 1"/>
    <w:qFormat/>
    <w:uiPriority w:val="0"/>
    <w:rPr>
      <w:rFonts w:ascii="Times New Roman" w:hAnsi="Times New Roman" w:eastAsia="宋体" w:cs="Times New Roman"/>
      <w:lang w:val="en-US" w:eastAsia="zh-CN" w:bidi="ar-SA"/>
    </w:rPr>
  </w:style>
  <w:style w:type="paragraph" w:customStyle="1" w:styleId="40">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41">
    <w:name w:val="表格"/>
    <w:basedOn w:val="1"/>
    <w:qFormat/>
    <w:uiPriority w:val="0"/>
    <w:rPr>
      <w:rFonts w:hint="eastAsia"/>
      <w:kern w:val="0"/>
      <w:sz w:val="24"/>
      <w:szCs w:val="20"/>
    </w:rPr>
  </w:style>
  <w:style w:type="paragraph" w:customStyle="1" w:styleId="42">
    <w:name w:val="页眉或页脚 (2)"/>
    <w:basedOn w:val="1"/>
    <w:qFormat/>
    <w:uiPriority w:val="0"/>
    <w:rPr>
      <w:rFonts w:eastAsia="Times New Roman" w:cs="Times New Roman"/>
      <w:sz w:val="20"/>
      <w:szCs w:val="20"/>
      <w:lang w:val="zh-CN" w:bidi="zh-CN"/>
    </w:rPr>
  </w:style>
  <w:style w:type="character" w:customStyle="1" w:styleId="43">
    <w:name w:val="标题 字符"/>
    <w:basedOn w:val="21"/>
    <w:link w:val="18"/>
    <w:qFormat/>
    <w:uiPriority w:val="0"/>
    <w:rPr>
      <w:rFonts w:ascii="等线 Light" w:hAnsi="等线 Light" w:eastAsia="等线 Light" w:cs="Times New Roman"/>
      <w:b/>
      <w:bCs/>
      <w:kern w:val="2"/>
      <w:sz w:val="32"/>
      <w:szCs w:val="32"/>
    </w:rPr>
  </w:style>
  <w:style w:type="character" w:customStyle="1" w:styleId="44">
    <w:name w:val="正文文本缩进 字符"/>
    <w:basedOn w:val="21"/>
    <w:link w:val="8"/>
    <w:qFormat/>
    <w:uiPriority w:val="0"/>
    <w:rPr>
      <w:kern w:val="2"/>
      <w:sz w:val="32"/>
      <w:szCs w:val="24"/>
    </w:rPr>
  </w:style>
  <w:style w:type="paragraph" w:customStyle="1" w:styleId="45">
    <w:name w:val="修订1"/>
    <w:hidden/>
    <w:semiHidden/>
    <w:qFormat/>
    <w:uiPriority w:val="99"/>
    <w:rPr>
      <w:rFonts w:ascii="Times New Roman" w:hAnsi="Times New Roman" w:eastAsia="仿宋_GB2312" w:cstheme="minorBidi"/>
      <w:kern w:val="2"/>
      <w:sz w:val="28"/>
      <w:szCs w:val="22"/>
      <w:lang w:val="en-US" w:eastAsia="zh-CN" w:bidi="ar-SA"/>
    </w:rPr>
  </w:style>
  <w:style w:type="paragraph" w:customStyle="1" w:styleId="46">
    <w:name w:val="Revision"/>
    <w:hidden/>
    <w:unhideWhenUsed/>
    <w:qFormat/>
    <w:uiPriority w:val="99"/>
    <w:rPr>
      <w:rFonts w:ascii="Times New Roman" w:hAnsi="Times New Roman" w:eastAsia="仿宋_GB2312" w:cstheme="minorBidi"/>
      <w:kern w:val="2"/>
      <w:sz w:val="28"/>
      <w:szCs w:val="22"/>
      <w:lang w:val="en-US" w:eastAsia="zh-CN" w:bidi="ar-SA"/>
    </w:rPr>
  </w:style>
  <w:style w:type="character" w:customStyle="1" w:styleId="47">
    <w:name w:val="15"/>
    <w:basedOn w:val="21"/>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Microsoft</Company>
  <Pages>17</Pages>
  <Words>7938</Words>
  <Characters>8662</Characters>
  <Lines>1</Lines>
  <Paragraphs>1</Paragraphs>
  <TotalTime>0</TotalTime>
  <ScaleCrop>false</ScaleCrop>
  <LinksUpToDate>false</LinksUpToDate>
  <CharactersWithSpaces>8681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2020-04-11T15:49:00Z</dcterms:created>
  <dc:creator>ZC</dc:creator>
  <cp:lastModifiedBy>Administrator</cp:lastModifiedBy>
  <cp:lastPrinted>2024-11-08T07:16:00Z</cp:lastPrinted>
  <dcterms:modified xsi:type="dcterms:W3CDTF">2025-12-11T02:45:07Z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0323C17550B84971857CA4630E76FAC8</vt:lpwstr>
  </property>
  <property fmtid="{D5CDD505-2E9C-101B-9397-08002B2CF9AE}" pid="4" name="KSOTemplateDocerSaveRecord">
    <vt:lpwstr>eyJoZGlkIjoiMzlkMzQ2Y2I1ODA5MzZkNzZhYmIyNGZlZjQwYWNlNDMiLCJ1c2VySWQiOiIyNTYxODExOTYifQ==</vt:lpwstr>
  </property>
</Properties>
</file>