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ACA333">
      <w:pPr>
        <w:spacing w:line="600" w:lineRule="exact"/>
        <w:ind w:firstLine="0" w:firstLineChars="0"/>
        <w:jc w:val="center"/>
        <w:rPr>
          <w:rFonts w:hint="default" w:ascii="Times New Roman" w:hAnsi="Times New Roman" w:cs="Times New Roman"/>
          <w:sz w:val="32"/>
          <w:szCs w:val="32"/>
          <w:highlight w:val="none"/>
        </w:rPr>
      </w:pPr>
      <w:bookmarkStart w:id="0" w:name="_Toc29524"/>
      <w:bookmarkStart w:id="1" w:name="_Toc22314"/>
      <w:bookmarkStart w:id="2" w:name="_Toc14462_WPSOffice_Level1"/>
    </w:p>
    <w:p w14:paraId="54111391">
      <w:pPr>
        <w:spacing w:line="600" w:lineRule="exact"/>
        <w:ind w:firstLine="0" w:firstLineChars="0"/>
        <w:jc w:val="center"/>
        <w:rPr>
          <w:rFonts w:hint="default" w:ascii="Times New Roman" w:hAnsi="Times New Roman" w:cs="Times New Roman"/>
          <w:sz w:val="32"/>
          <w:szCs w:val="32"/>
          <w:highlight w:val="none"/>
        </w:rPr>
      </w:pPr>
    </w:p>
    <w:p w14:paraId="324360F1">
      <w:pPr>
        <w:spacing w:line="600" w:lineRule="exact"/>
        <w:ind w:firstLine="0" w:firstLineChars="0"/>
        <w:jc w:val="center"/>
        <w:rPr>
          <w:rFonts w:hint="default" w:ascii="Times New Roman" w:hAnsi="Times New Roman" w:cs="Times New Roman"/>
          <w:sz w:val="32"/>
          <w:szCs w:val="32"/>
          <w:highlight w:val="none"/>
        </w:rPr>
      </w:pPr>
    </w:p>
    <w:p w14:paraId="3D9348ED">
      <w:pPr>
        <w:spacing w:line="600" w:lineRule="exact"/>
        <w:ind w:firstLine="0" w:firstLineChars="0"/>
        <w:jc w:val="center"/>
        <w:rPr>
          <w:rFonts w:hint="default" w:ascii="Times New Roman" w:hAnsi="Times New Roman" w:cs="Times New Roman"/>
          <w:sz w:val="32"/>
          <w:szCs w:val="32"/>
          <w:highlight w:val="none"/>
        </w:rPr>
      </w:pPr>
    </w:p>
    <w:p w14:paraId="0762F85E">
      <w:pPr>
        <w:spacing w:line="600" w:lineRule="exact"/>
        <w:ind w:firstLine="0" w:firstLineChars="0"/>
        <w:jc w:val="center"/>
        <w:rPr>
          <w:rFonts w:hint="default" w:ascii="Times New Roman" w:hAnsi="Times New Roman" w:cs="Times New Roman"/>
          <w:sz w:val="32"/>
          <w:szCs w:val="32"/>
          <w:highlight w:val="none"/>
        </w:rPr>
      </w:pPr>
    </w:p>
    <w:p w14:paraId="41026F82">
      <w:pPr>
        <w:spacing w:line="600" w:lineRule="exact"/>
        <w:ind w:firstLine="0" w:firstLineChars="0"/>
        <w:jc w:val="center"/>
        <w:rPr>
          <w:rFonts w:hint="default" w:ascii="Times New Roman" w:hAnsi="Times New Roman" w:cs="Times New Roman"/>
          <w:sz w:val="32"/>
          <w:szCs w:val="32"/>
          <w:highlight w:val="none"/>
        </w:rPr>
      </w:pPr>
    </w:p>
    <w:p w14:paraId="667EAF8C">
      <w:pPr>
        <w:spacing w:line="600" w:lineRule="exact"/>
        <w:ind w:firstLine="0" w:firstLineChars="0"/>
        <w:jc w:val="center"/>
        <w:rPr>
          <w:rFonts w:hint="default" w:ascii="Times New Roman" w:hAnsi="Times New Roman" w:cs="Times New Roman"/>
          <w:sz w:val="32"/>
          <w:szCs w:val="32"/>
          <w:highlight w:val="none"/>
        </w:rPr>
      </w:pPr>
    </w:p>
    <w:p w14:paraId="76DD2394">
      <w:pPr>
        <w:spacing w:line="600" w:lineRule="exact"/>
        <w:ind w:firstLine="0" w:firstLineChars="0"/>
        <w:jc w:val="center"/>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泸财绩〔2025〕3</w:t>
      </w:r>
      <w:r>
        <w:rPr>
          <w:rFonts w:hint="default" w:ascii="Times New Roman" w:hAnsi="Times New Roman" w:cs="Times New Roman"/>
          <w:sz w:val="32"/>
          <w:szCs w:val="32"/>
          <w:highlight w:val="none"/>
          <w:lang w:val="en-US" w:eastAsia="zh-CN"/>
        </w:rPr>
        <w:t>9</w:t>
      </w:r>
      <w:r>
        <w:rPr>
          <w:rFonts w:hint="default" w:ascii="Times New Roman" w:hAnsi="Times New Roman" w:cs="Times New Roman"/>
          <w:sz w:val="32"/>
          <w:szCs w:val="32"/>
          <w:highlight w:val="none"/>
        </w:rPr>
        <w:t>号</w:t>
      </w:r>
    </w:p>
    <w:p w14:paraId="1A959AEA">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1CCBE169">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7F5D06BC">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bookmarkStart w:id="3" w:name="_Toc27398"/>
      <w:r>
        <w:rPr>
          <w:rFonts w:hint="eastAsia" w:ascii="方正小标宋简体" w:hAnsi="方正小标宋简体" w:eastAsia="方正小标宋简体" w:cs="方正小标宋简体"/>
          <w:color w:val="auto"/>
          <w:sz w:val="44"/>
          <w:szCs w:val="44"/>
          <w:highlight w:val="none"/>
          <w:lang w:eastAsia="zh-CN"/>
        </w:rPr>
        <w:t>泸定县公安局</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eastAsia="zh"/>
        </w:rPr>
        <w:t>202</w:t>
      </w:r>
      <w:r>
        <w:rPr>
          <w:rFonts w:hint="eastAsia" w:ascii="方正小标宋简体" w:hAnsi="方正小标宋简体" w:eastAsia="方正小标宋简体" w:cs="方正小标宋简体"/>
          <w:color w:val="auto"/>
          <w:sz w:val="44"/>
          <w:szCs w:val="44"/>
          <w:highlight w:val="none"/>
          <w:lang w:val="en-US" w:eastAsia="zh-CN"/>
        </w:rPr>
        <w:t>4</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3"/>
    </w:p>
    <w:p w14:paraId="394EE5A3">
      <w:pPr>
        <w:pStyle w:val="17"/>
        <w:keepNext w:val="0"/>
        <w:keepLines w:val="0"/>
        <w:pageBreakBefore w:val="0"/>
        <w:kinsoku/>
        <w:wordWrap/>
        <w:overflowPunct/>
        <w:topLinePunct w:val="0"/>
        <w:autoSpaceDE/>
        <w:autoSpaceDN/>
        <w:bidi w:val="0"/>
        <w:spacing w:after="0" w:line="600" w:lineRule="exact"/>
        <w:ind w:left="0" w:firstLine="560"/>
        <w:rPr>
          <w:rFonts w:hint="default" w:ascii="Times New Roman" w:hAnsi="Times New Roman" w:eastAsia="仿宋" w:cs="Times New Roman"/>
          <w:color w:val="auto"/>
          <w:sz w:val="32"/>
          <w:szCs w:val="32"/>
          <w:highlight w:val="none"/>
          <w:lang w:val="fr-FR"/>
        </w:rPr>
      </w:pPr>
    </w:p>
    <w:p w14:paraId="5AAC2354">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textAlignment w:val="auto"/>
        <w:rPr>
          <w:rFonts w:hint="default" w:ascii="Times New Roman" w:hAnsi="Times New Roman" w:eastAsia="方正仿宋_GB2312" w:cs="Times New Roman"/>
          <w:color w:val="auto"/>
          <w:sz w:val="32"/>
          <w:szCs w:val="32"/>
          <w:highlight w:val="none"/>
          <w:lang w:val="fr-FR" w:eastAsia="zh-CN"/>
        </w:rPr>
      </w:pPr>
      <w:bookmarkStart w:id="4" w:name="_Toc6252"/>
      <w:bookmarkStart w:id="5" w:name="_Toc8938"/>
      <w:bookmarkStart w:id="6" w:name="_Toc26210"/>
      <w:r>
        <w:rPr>
          <w:rFonts w:hint="default" w:ascii="Times New Roman" w:hAnsi="Times New Roman" w:eastAsia="方正仿宋_GB2312" w:cs="Times New Roman"/>
          <w:color w:val="auto"/>
          <w:sz w:val="32"/>
          <w:szCs w:val="32"/>
          <w:highlight w:val="none"/>
          <w:lang w:val="fr-FR" w:eastAsia="zh-CN"/>
        </w:rPr>
        <w:t>泸定县公安局：</w:t>
      </w:r>
    </w:p>
    <w:p w14:paraId="50FB6A3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fr-FR"/>
        </w:rPr>
      </w:pPr>
      <w:r>
        <w:rPr>
          <w:rFonts w:hint="default" w:ascii="Times New Roman" w:hAnsi="Times New Roman" w:eastAsia="方正仿宋_GB2312" w:cs="Times New Roman"/>
          <w:sz w:val="32"/>
          <w:szCs w:val="32"/>
          <w:highlight w:val="none"/>
        </w:rPr>
        <w:t>根据《泸定县财政局</w:t>
      </w:r>
      <w:r>
        <w:rPr>
          <w:rFonts w:hint="default" w:ascii="Times New Roman" w:hAnsi="Times New Roman" w:eastAsia="方正仿宋_GB2312" w:cs="Times New Roman"/>
          <w:sz w:val="32"/>
          <w:szCs w:val="32"/>
          <w:highlight w:val="none"/>
          <w:lang w:eastAsia="zh"/>
        </w:rPr>
        <w:t>关于开展202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年度部门整体绩效评价工作的通知</w:t>
      </w:r>
      <w:r>
        <w:rPr>
          <w:rFonts w:hint="default" w:ascii="Times New Roman" w:hAnsi="Times New Roman" w:eastAsia="方正仿宋_GB2312" w:cs="Times New Roman"/>
          <w:sz w:val="32"/>
          <w:szCs w:val="32"/>
          <w:highlight w:val="none"/>
        </w:rPr>
        <w:t>》（</w:t>
      </w:r>
      <w:r>
        <w:rPr>
          <w:rFonts w:hint="default" w:ascii="Times New Roman" w:hAnsi="Times New Roman" w:eastAsia="方正仿宋_GB2312" w:cs="Times New Roman"/>
          <w:sz w:val="32"/>
          <w:szCs w:val="32"/>
          <w:highlight w:val="none"/>
          <w:lang w:eastAsia="zh"/>
        </w:rPr>
        <w:t>泸财〔202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w:t>
      </w:r>
      <w:r>
        <w:rPr>
          <w:rFonts w:hint="default" w:ascii="Times New Roman" w:hAnsi="Times New Roman" w:eastAsia="方正仿宋_GB2312" w:cs="Times New Roman"/>
          <w:sz w:val="32"/>
          <w:szCs w:val="32"/>
          <w:highlight w:val="none"/>
        </w:rPr>
        <w:t>67</w:t>
      </w:r>
      <w:r>
        <w:rPr>
          <w:rFonts w:hint="default" w:ascii="Times New Roman" w:hAnsi="Times New Roman" w:eastAsia="方正仿宋_GB2312" w:cs="Times New Roman"/>
          <w:sz w:val="32"/>
          <w:szCs w:val="32"/>
          <w:highlight w:val="none"/>
          <w:lang w:eastAsia="zh"/>
        </w:rPr>
        <w:t>号</w:t>
      </w:r>
      <w:r>
        <w:rPr>
          <w:rFonts w:hint="default" w:ascii="Times New Roman" w:hAnsi="Times New Roman" w:eastAsia="方正仿宋_GB2312" w:cs="Times New Roman"/>
          <w:sz w:val="32"/>
          <w:szCs w:val="32"/>
          <w:highlight w:val="none"/>
        </w:rPr>
        <w:t>）要求，由我局工作人员和第三方机构专业人员组成绩效评价组，</w:t>
      </w:r>
      <w:r>
        <w:rPr>
          <w:rFonts w:hint="default" w:ascii="Times New Roman" w:hAnsi="Times New Roman" w:eastAsia="方正仿宋_GB2312" w:cs="Times New Roman"/>
          <w:color w:val="auto"/>
          <w:sz w:val="32"/>
          <w:szCs w:val="32"/>
          <w:highlight w:val="none"/>
          <w:lang w:val="fr-FR"/>
        </w:rPr>
        <w:t>对</w:t>
      </w:r>
      <w:r>
        <w:rPr>
          <w:rFonts w:hint="default" w:ascii="Times New Roman" w:hAnsi="Times New Roman" w:eastAsia="方正仿宋_GB2312" w:cs="Times New Roman"/>
          <w:color w:val="auto"/>
          <w:sz w:val="32"/>
          <w:szCs w:val="32"/>
          <w:highlight w:val="none"/>
          <w:lang w:val="fr-FR" w:eastAsia="zh-CN"/>
        </w:rPr>
        <w:t>泸定县公安局</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年部门整体支出进行</w:t>
      </w:r>
      <w:r>
        <w:rPr>
          <w:rFonts w:hint="default" w:ascii="Times New Roman" w:hAnsi="Times New Roman" w:eastAsia="方正仿宋_GB2312" w:cs="Times New Roman"/>
          <w:color w:val="auto"/>
          <w:sz w:val="32"/>
          <w:szCs w:val="32"/>
          <w:highlight w:val="none"/>
          <w:lang w:val="fr-FR"/>
        </w:rPr>
        <w:t>绩效评价。</w:t>
      </w:r>
      <w:r>
        <w:rPr>
          <w:rFonts w:hint="default" w:ascii="Times New Roman" w:hAnsi="Times New Roman" w:eastAsia="方正仿宋_GB2312" w:cs="Times New Roman"/>
          <w:color w:val="auto"/>
          <w:sz w:val="32"/>
          <w:szCs w:val="32"/>
          <w:highlight w:val="none"/>
          <w:lang w:val="fr-FR" w:eastAsia="zh-CN"/>
        </w:rPr>
        <w:t>泸定县公安局</w:t>
      </w:r>
      <w:r>
        <w:rPr>
          <w:rFonts w:hint="default" w:ascii="Times New Roman" w:hAnsi="Times New Roman" w:eastAsia="方正仿宋_GB2312" w:cs="Times New Roman"/>
          <w:color w:val="auto"/>
          <w:sz w:val="32"/>
          <w:szCs w:val="32"/>
          <w:highlight w:val="none"/>
          <w:lang w:val="fr-FR"/>
        </w:rPr>
        <w:t>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〕8号）、《中共甘孜州委办公室 甘孜州人民政府办公室关于印发</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甘孜州全面实施预算绩效管理工作实施方案</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的通知》（甘委办〔201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〕120号</w:t>
      </w:r>
      <w:r>
        <w:rPr>
          <w:rFonts w:hint="default" w:ascii="Times New Roman" w:hAnsi="Times New Roman" w:eastAsia="方正仿宋_GB2312" w:cs="Times New Roman"/>
          <w:color w:val="auto"/>
          <w:sz w:val="32"/>
          <w:szCs w:val="32"/>
          <w:highlight w:val="none"/>
          <w:lang w:val="fr-FR" w:eastAsia="zh-CN"/>
        </w:rPr>
        <w:t>）</w:t>
      </w:r>
      <w:r>
        <w:rPr>
          <w:rFonts w:hint="default" w:ascii="Times New Roman" w:hAnsi="Times New Roman" w:eastAsia="方正仿宋_GB2312" w:cs="Times New Roman"/>
          <w:color w:val="auto"/>
          <w:sz w:val="32"/>
          <w:szCs w:val="32"/>
          <w:highlight w:val="none"/>
          <w:lang w:val="en-US" w:eastAsia="zh-CN"/>
        </w:rPr>
        <w:t>的</w:t>
      </w:r>
      <w:r>
        <w:rPr>
          <w:rFonts w:hint="default" w:ascii="Times New Roman" w:hAnsi="Times New Roman" w:eastAsia="方正仿宋_GB2312" w:cs="Times New Roman"/>
          <w:color w:val="auto"/>
          <w:sz w:val="32"/>
          <w:szCs w:val="32"/>
          <w:highlight w:val="none"/>
          <w:lang w:val="fr-FR"/>
        </w:rPr>
        <w:t>要求，结合</w:t>
      </w:r>
      <w:r>
        <w:rPr>
          <w:rFonts w:hint="default" w:ascii="Times New Roman" w:hAnsi="Times New Roman" w:eastAsia="方正仿宋_GB2312" w:cs="Times New Roman"/>
          <w:color w:val="auto"/>
          <w:sz w:val="32"/>
          <w:szCs w:val="32"/>
          <w:highlight w:val="none"/>
          <w:lang w:val="fr-FR" w:eastAsia="zh-CN"/>
        </w:rPr>
        <w:t>泸定县公安局</w:t>
      </w:r>
      <w:r>
        <w:rPr>
          <w:rFonts w:hint="default" w:ascii="Times New Roman" w:hAnsi="Times New Roman" w:eastAsia="方正仿宋_GB2312" w:cs="Times New Roman"/>
          <w:color w:val="auto"/>
          <w:sz w:val="32"/>
          <w:szCs w:val="32"/>
          <w:highlight w:val="none"/>
          <w:lang w:val="fr-FR"/>
        </w:rPr>
        <w:t>的实际情况，对</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4年度</w:t>
      </w:r>
      <w:r>
        <w:rPr>
          <w:rFonts w:hint="default" w:ascii="Times New Roman" w:hAnsi="Times New Roman" w:eastAsia="方正仿宋_GB2312" w:cs="Times New Roman"/>
          <w:color w:val="auto"/>
          <w:sz w:val="32"/>
          <w:szCs w:val="32"/>
          <w:highlight w:val="none"/>
        </w:rPr>
        <w:t>部门整体支出</w:t>
      </w:r>
      <w:r>
        <w:rPr>
          <w:rFonts w:hint="default" w:ascii="Times New Roman" w:hAnsi="Times New Roman" w:eastAsia="方正仿宋_GB2312" w:cs="Times New Roman"/>
          <w:color w:val="auto"/>
          <w:sz w:val="32"/>
          <w:szCs w:val="32"/>
          <w:highlight w:val="none"/>
          <w:lang w:val="fr-FR"/>
        </w:rPr>
        <w:t>进行绩效评价，并出具绩效评价报告，现将相关情况报告如下：</w:t>
      </w:r>
      <w:bookmarkEnd w:id="4"/>
      <w:bookmarkEnd w:id="5"/>
      <w:bookmarkEnd w:id="6"/>
      <w:bookmarkStart w:id="7" w:name="_Toc12185"/>
      <w:bookmarkStart w:id="8" w:name="_Toc8555"/>
      <w:bookmarkStart w:id="9" w:name="_Toc109483833"/>
    </w:p>
    <w:p w14:paraId="1CE7ED0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lang w:eastAsia="zh-CN"/>
        </w:rPr>
      </w:pPr>
      <w:bookmarkStart w:id="10" w:name="_Toc799907804"/>
      <w:bookmarkStart w:id="11" w:name="_Toc26009"/>
      <w:bookmarkStart w:id="12" w:name="_Toc18579"/>
      <w:bookmarkStart w:id="13" w:name="_Toc12546"/>
      <w:bookmarkStart w:id="14" w:name="_Toc27571"/>
      <w:bookmarkStart w:id="15" w:name="_Toc4351"/>
      <w:bookmarkStart w:id="16" w:name="_Toc15220"/>
      <w:bookmarkStart w:id="17" w:name="_Toc10147"/>
      <w:r>
        <w:rPr>
          <w:rFonts w:hint="default" w:ascii="Times New Roman" w:hAnsi="Times New Roman" w:eastAsia="方正黑体简体" w:cs="Times New Roman"/>
          <w:color w:val="auto"/>
          <w:kern w:val="0"/>
          <w:sz w:val="32"/>
          <w:szCs w:val="32"/>
          <w:highlight w:val="none"/>
          <w:shd w:val="clear" w:color="auto" w:fill="FFFFFF"/>
        </w:rPr>
        <w:t>一、</w:t>
      </w:r>
      <w:bookmarkEnd w:id="7"/>
      <w:bookmarkEnd w:id="8"/>
      <w:r>
        <w:rPr>
          <w:rFonts w:hint="default" w:ascii="Times New Roman" w:hAnsi="Times New Roman" w:eastAsia="方正黑体简体" w:cs="Times New Roman"/>
          <w:color w:val="auto"/>
          <w:kern w:val="0"/>
          <w:sz w:val="32"/>
          <w:szCs w:val="32"/>
          <w:highlight w:val="none"/>
          <w:shd w:val="clear" w:color="auto" w:fill="FFFFFF"/>
        </w:rPr>
        <w:t>部门</w:t>
      </w:r>
      <w:bookmarkEnd w:id="9"/>
      <w:bookmarkEnd w:id="10"/>
      <w:bookmarkEnd w:id="11"/>
      <w:bookmarkStart w:id="18" w:name="_Toc109483834"/>
      <w:bookmarkStart w:id="19" w:name="_Toc16549"/>
      <w:bookmarkStart w:id="20" w:name="_Toc30550"/>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1" w:name="_Toc7513"/>
      <w:bookmarkStart w:id="22" w:name="_Toc419097264"/>
      <w:bookmarkStart w:id="23" w:name="_Toc20865"/>
      <w:bookmarkStart w:id="24" w:name="_Toc2337"/>
      <w:bookmarkStart w:id="25" w:name="_Toc24161"/>
      <w:bookmarkStart w:id="26" w:name="_Toc18535"/>
      <w:bookmarkStart w:id="27" w:name="_Toc19098"/>
      <w:bookmarkStart w:id="28" w:name="_Toc11769"/>
      <w:r>
        <w:rPr>
          <w:rFonts w:hint="default" w:ascii="Times New Roman" w:hAnsi="Times New Roman" w:eastAsia="方正楷体简体" w:cs="Times New Roman"/>
          <w:color w:val="auto"/>
          <w:kern w:val="2"/>
          <w:sz w:val="32"/>
          <w:szCs w:val="32"/>
          <w:highlight w:val="none"/>
          <w:shd w:val="clear"/>
          <w:lang w:val="zh-CN" w:eastAsia="zh-CN"/>
        </w:rPr>
        <w:t>（一）</w:t>
      </w:r>
      <w:bookmarkEnd w:id="18"/>
      <w:bookmarkEnd w:id="19"/>
      <w:bookmarkEnd w:id="20"/>
      <w:bookmarkEnd w:id="21"/>
      <w:bookmarkEnd w:id="22"/>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fr-FR" w:eastAsia="zh-CN"/>
        </w:rPr>
      </w:pPr>
      <w:bookmarkStart w:id="29" w:name="_Toc109483835"/>
      <w:r>
        <w:rPr>
          <w:rFonts w:hint="default" w:ascii="Times New Roman" w:hAnsi="Times New Roman" w:eastAsia="方正仿宋_GB2312" w:cs="Times New Roman"/>
          <w:color w:val="auto"/>
          <w:sz w:val="32"/>
          <w:szCs w:val="32"/>
          <w:highlight w:val="none"/>
          <w:lang w:val="en-US" w:eastAsia="zh-CN"/>
        </w:rPr>
        <w:t>泸定县公安局（以下简称县公安局）</w:t>
      </w:r>
      <w:r>
        <w:rPr>
          <w:rFonts w:hint="default" w:ascii="Times New Roman" w:hAnsi="Times New Roman" w:eastAsia="方正仿宋_GB2312" w:cs="Times New Roman"/>
          <w:color w:val="auto"/>
          <w:sz w:val="32"/>
          <w:szCs w:val="32"/>
          <w:highlight w:val="none"/>
          <w:lang w:val="fr-FR" w:eastAsia="zh-CN"/>
        </w:rPr>
        <w:t>，属财政补助（收支统管、全额保障）的一级预算单位，机构性质：机关单位；单位负责人：</w:t>
      </w:r>
      <w:r>
        <w:rPr>
          <w:rFonts w:hint="default" w:ascii="Times New Roman" w:hAnsi="Times New Roman" w:eastAsia="方正仿宋_GB2312" w:cs="Times New Roman"/>
          <w:color w:val="auto"/>
          <w:sz w:val="32"/>
          <w:szCs w:val="32"/>
          <w:highlight w:val="none"/>
          <w:lang w:val="en-US" w:eastAsia="zh-CN"/>
        </w:rPr>
        <w:t>王晶维</w:t>
      </w:r>
      <w:r>
        <w:rPr>
          <w:rFonts w:hint="default" w:ascii="Times New Roman" w:hAnsi="Times New Roman" w:eastAsia="方正仿宋_GB2312" w:cs="Times New Roman"/>
          <w:color w:val="auto"/>
          <w:sz w:val="32"/>
          <w:szCs w:val="32"/>
          <w:highlight w:val="none"/>
          <w:lang w:val="fr-FR" w:eastAsia="zh-CN"/>
        </w:rPr>
        <w:t>；统一社会信用代码：</w:t>
      </w:r>
      <w:r>
        <w:rPr>
          <w:rFonts w:hint="default" w:ascii="Times New Roman" w:hAnsi="Times New Roman" w:eastAsia="方正仿宋_GB2312" w:cs="Times New Roman"/>
          <w:color w:val="auto"/>
          <w:sz w:val="32"/>
          <w:szCs w:val="32"/>
          <w:highlight w:val="none"/>
          <w:lang w:val="en-US" w:eastAsia="zh-CN"/>
        </w:rPr>
        <w:t>115133220089782571</w:t>
      </w:r>
      <w:r>
        <w:rPr>
          <w:rFonts w:hint="default" w:ascii="Times New Roman" w:hAnsi="Times New Roman" w:eastAsia="方正仿宋_GB2312" w:cs="Times New Roman"/>
          <w:color w:val="auto"/>
          <w:sz w:val="32"/>
          <w:szCs w:val="32"/>
          <w:highlight w:val="none"/>
          <w:lang w:val="fr-FR" w:eastAsia="zh-CN"/>
        </w:rPr>
        <w:t>；单位所在地：</w:t>
      </w:r>
      <w:r>
        <w:rPr>
          <w:rFonts w:hint="default" w:ascii="Times New Roman" w:hAnsi="Times New Roman" w:eastAsia="方正仿宋_GB2312" w:cs="Times New Roman"/>
          <w:color w:val="auto"/>
          <w:sz w:val="32"/>
          <w:szCs w:val="32"/>
          <w:highlight w:val="none"/>
          <w:lang w:val="en-US" w:eastAsia="zh-CN"/>
        </w:rPr>
        <w:t>四川省泸定县泸桥镇延安路3号</w:t>
      </w:r>
      <w:r>
        <w:rPr>
          <w:rFonts w:hint="default" w:ascii="Times New Roman" w:hAnsi="Times New Roman" w:eastAsia="方正仿宋_GB2312" w:cs="Times New Roman"/>
          <w:color w:val="auto"/>
          <w:sz w:val="32"/>
          <w:szCs w:val="32"/>
          <w:highlight w:val="none"/>
          <w:lang w:val="fr-FR" w:eastAsia="zh-CN"/>
        </w:rPr>
        <w:t xml:space="preserve">。 </w:t>
      </w:r>
    </w:p>
    <w:p w14:paraId="5FA54FA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
        </w:rPr>
      </w:pPr>
      <w:bookmarkStart w:id="30" w:name="_Toc1278"/>
      <w:bookmarkStart w:id="31" w:name="_Toc31223"/>
      <w:bookmarkStart w:id="32" w:name="_Toc17750"/>
      <w:bookmarkStart w:id="33" w:name="_Toc26703"/>
      <w:bookmarkStart w:id="34" w:name="_Toc28538"/>
      <w:bookmarkStart w:id="35" w:name="_Toc16904"/>
      <w:r>
        <w:rPr>
          <w:rFonts w:hint="default" w:ascii="Times New Roman" w:hAnsi="Times New Roman" w:eastAsia="方正楷体简体" w:cs="Times New Roman"/>
          <w:color w:val="auto"/>
          <w:kern w:val="2"/>
          <w:sz w:val="32"/>
          <w:szCs w:val="32"/>
          <w:highlight w:val="none"/>
          <w:shd w:val="clear"/>
          <w:lang w:val="zh-CN" w:eastAsia="zh-CN"/>
        </w:rPr>
        <w:t>（二）部门</w:t>
      </w:r>
      <w:bookmarkEnd w:id="30"/>
      <w:bookmarkEnd w:id="31"/>
      <w:bookmarkEnd w:id="32"/>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3"/>
      <w:bookmarkEnd w:id="34"/>
      <w:bookmarkEnd w:id="35"/>
    </w:p>
    <w:p w14:paraId="5B0266D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1.内设机构。泸定县公安局为正科级党政机关。内设机构16个，派出所7个，下属二级预算单位0个。</w:t>
      </w:r>
    </w:p>
    <w:p w14:paraId="2D03837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2.人员概况。截至2024年末，泸定县公安局全局共有民警132人、工勤16人、治安辅警145人；离休人员1人，退休人员51人，遗属人员8人。</w:t>
      </w:r>
    </w:p>
    <w:p w14:paraId="2171EDF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36" w:name="_Toc568184988"/>
      <w:bookmarkStart w:id="37" w:name="_Toc16978"/>
      <w:bookmarkStart w:id="38" w:name="_Toc21223"/>
      <w:bookmarkStart w:id="39" w:name="_Toc12241"/>
      <w:bookmarkStart w:id="40" w:name="_Toc16740"/>
      <w:bookmarkStart w:id="41" w:name="_Toc22604"/>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29"/>
      <w:bookmarkEnd w:id="36"/>
      <w:bookmarkEnd w:id="37"/>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8"/>
      <w:bookmarkEnd w:id="39"/>
      <w:bookmarkEnd w:id="40"/>
      <w:bookmarkEnd w:id="41"/>
    </w:p>
    <w:p w14:paraId="1137FB5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42" w:name="_Toc109483836"/>
      <w:bookmarkStart w:id="43" w:name="_Toc13707"/>
      <w:bookmarkStart w:id="44" w:name="_Toc22594"/>
      <w:bookmarkStart w:id="45" w:name="_Toc1218480988"/>
      <w:bookmarkStart w:id="46" w:name="_Toc5982"/>
      <w:bookmarkStart w:id="47" w:name="_Toc26564"/>
      <w:bookmarkStart w:id="48" w:name="_Toc16871"/>
      <w:bookmarkStart w:id="49" w:name="_Toc33"/>
      <w:bookmarkStart w:id="50" w:name="_Toc15163"/>
      <w:bookmarkStart w:id="51" w:name="_Toc14896"/>
      <w:r>
        <w:rPr>
          <w:rFonts w:hint="default" w:ascii="Times New Roman" w:hAnsi="Times New Roman" w:eastAsia="方正仿宋_GB2312" w:cs="Times New Roman"/>
          <w:color w:val="auto"/>
          <w:sz w:val="32"/>
          <w:szCs w:val="32"/>
          <w:highlight w:val="none"/>
          <w:lang w:val="en-US" w:eastAsia="zh-CN"/>
        </w:rPr>
        <w:t>1.贯彻执行国家公安工作的方针、政策和法律法规、规章；部署、指导、监督、检查全县公安工作。负责本系统、本部门依法行政工作，落实行政执法责任制。</w:t>
      </w:r>
    </w:p>
    <w:p w14:paraId="5A215D71">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2.指导、协调全县公安机关应急管理、抢险救援工作和社会公共突发事件的处置工作。</w:t>
      </w:r>
    </w:p>
    <w:p w14:paraId="7196593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3.组织指导全县公安机关侦查工作，协调处理或直接侦办全县各类刑事犯罪案件、经济犯罪案件。</w:t>
      </w:r>
    </w:p>
    <w:p w14:paraId="1882DBB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4.负责全县治安管理工作并承担相应责任。协调处置全县治安事故和群体性事件，依法查处破坏社会治安秩序行为，依法开展治安行政管理工作，开展治安保卫工作。</w:t>
      </w:r>
    </w:p>
    <w:p w14:paraId="373FFE8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5.负责全县出入境管理有关工作，负责全县出境、入境和持普通护照的外国人在本县居留、旅行的有关管理工作。</w:t>
      </w:r>
    </w:p>
    <w:p w14:paraId="010A2141">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6.负责全县道路交通安全管理工作并承担相应责任。指导、监督全县公安机关维护道路交通安全、道路交通秩序以及开展机动车辆（不含拖拉机）、驾驶人员管理工作。</w:t>
      </w:r>
    </w:p>
    <w:p w14:paraId="1750CC7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7.对公共信息网络进行安全保护工作，负责信息安全等级保护工作的监督、检查、指导。</w:t>
      </w:r>
    </w:p>
    <w:p w14:paraId="14CBBF11">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8.防范、处置邪教及有害气功组织的违法犯罪活动。</w:t>
      </w:r>
    </w:p>
    <w:p w14:paraId="1E11E7A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9.依法承担执行刑罚和监督、检查工作，指导、监督县看守所、拘留所的管理工作，指导、监督收容教养审核工作，管理泸定县看守所。</w:t>
      </w:r>
    </w:p>
    <w:p w14:paraId="6FCD2C5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10.负责全县公安警卫业务工作，组织实施对有关党和国家领导人以及重要外宾在县的安全警卫工作并承担相应责任。</w:t>
      </w:r>
    </w:p>
    <w:p w14:paraId="3852D7D1">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11.组织实施全县公安科学技术工作，组织、指导、规划全县公安机关的指挥系统、信息技术、刑事技术建设。</w:t>
      </w:r>
    </w:p>
    <w:p w14:paraId="7771318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12.拟订全县公安机关装备、被装和经费等警务保障计划和管理制度，组织协调全县公安机关重大任务的警务保障工作。</w:t>
      </w:r>
    </w:p>
    <w:p w14:paraId="50019E9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13.指导全县公安队伍建设和公安机关党风廉政建设，组织、指导全县公安机关人事管理、民警教育训练和宣传工作，按规定权限管理干警，拟订全县公安队伍监督管理工作规章制度，组织、指导全县公安机关督察、审计、信访工作，指导、监督全县公安机关及人民警察的执法活动，按规定权限实施对干警的监督；查处或督办公安队伍违纪案件。</w:t>
      </w:r>
    </w:p>
    <w:p w14:paraId="2E93C7E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14.承担县禁毒委员会办公室、县反恐怖工作领导小组办公室的具体工作。</w:t>
      </w:r>
    </w:p>
    <w:p w14:paraId="08A22DA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15.承担县政府公布的有关行政审批事项。</w:t>
      </w:r>
    </w:p>
    <w:p w14:paraId="7693F81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cs="Times New Roman"/>
          <w:i w:val="0"/>
          <w:iCs w:val="0"/>
          <w:caps w:val="0"/>
          <w:color w:val="000000"/>
          <w:spacing w:val="0"/>
          <w:sz w:val="32"/>
          <w:szCs w:val="32"/>
        </w:rPr>
      </w:pPr>
      <w:r>
        <w:rPr>
          <w:rFonts w:hint="default" w:ascii="Times New Roman" w:hAnsi="Times New Roman" w:eastAsia="方正仿宋_GB2312" w:cs="Times New Roman"/>
          <w:color w:val="auto"/>
          <w:sz w:val="32"/>
          <w:szCs w:val="32"/>
          <w:highlight w:val="none"/>
          <w:lang w:val="en-US" w:eastAsia="zh-CN"/>
        </w:rPr>
        <w:t>16.承办县委、县政府和州公安局交办的其他事项。</w:t>
      </w:r>
    </w:p>
    <w:p w14:paraId="069C751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lang w:val="zh-CN"/>
        </w:rPr>
      </w:pPr>
      <w:r>
        <w:rPr>
          <w:rFonts w:hint="default" w:ascii="Times New Roman" w:hAnsi="Times New Roman" w:eastAsia="方正黑体简体" w:cs="Times New Roman"/>
          <w:color w:val="auto"/>
          <w:kern w:val="0"/>
          <w:sz w:val="32"/>
          <w:szCs w:val="32"/>
          <w:highlight w:val="none"/>
          <w:shd w:val="clear" w:color="auto" w:fill="FFFFFF"/>
          <w:lang w:val="zh-CN"/>
        </w:rPr>
        <w:t>二、</w:t>
      </w:r>
      <w:r>
        <w:rPr>
          <w:rFonts w:hint="default" w:ascii="Times New Roman" w:hAnsi="Times New Roman" w:eastAsia="方正黑体简体" w:cs="Times New Roman"/>
          <w:color w:val="auto"/>
          <w:kern w:val="0"/>
          <w:sz w:val="32"/>
          <w:szCs w:val="32"/>
          <w:highlight w:val="none"/>
          <w:shd w:val="clear" w:color="auto" w:fill="FFFFFF"/>
          <w:lang w:val="en-US" w:eastAsia="zh-CN"/>
        </w:rPr>
        <w:t>部门收支</w:t>
      </w:r>
      <w:r>
        <w:rPr>
          <w:rFonts w:hint="default" w:ascii="Times New Roman" w:hAnsi="Times New Roman" w:eastAsia="方正黑体简体" w:cs="Times New Roman"/>
          <w:color w:val="auto"/>
          <w:kern w:val="0"/>
          <w:sz w:val="32"/>
          <w:szCs w:val="32"/>
          <w:highlight w:val="none"/>
          <w:shd w:val="clear" w:color="auto" w:fill="FFFFFF"/>
          <w:lang w:val="zh-CN"/>
        </w:rPr>
        <w:t>情况</w:t>
      </w:r>
      <w:bookmarkEnd w:id="42"/>
      <w:bookmarkEnd w:id="43"/>
      <w:bookmarkEnd w:id="44"/>
      <w:bookmarkEnd w:id="45"/>
      <w:bookmarkEnd w:id="46"/>
      <w:bookmarkEnd w:id="47"/>
      <w:bookmarkEnd w:id="48"/>
      <w:bookmarkEnd w:id="49"/>
      <w:bookmarkEnd w:id="50"/>
      <w:bookmarkEnd w:id="51"/>
      <w:bookmarkStart w:id="52" w:name="_Toc2659"/>
      <w:bookmarkStart w:id="53" w:name="_Toc109483837"/>
    </w:p>
    <w:bookmarkEnd w:id="52"/>
    <w:bookmarkEnd w:id="53"/>
    <w:p w14:paraId="24BA0DD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rPr>
      </w:pPr>
      <w:bookmarkStart w:id="54" w:name="_Toc25866"/>
      <w:bookmarkStart w:id="55" w:name="_Toc15898"/>
      <w:bookmarkStart w:id="56" w:name="_Toc11105"/>
      <w:bookmarkStart w:id="57" w:name="_Toc2374"/>
      <w:bookmarkStart w:id="58" w:name="_Toc21428"/>
      <w:bookmarkStart w:id="59" w:name="_Toc29180"/>
      <w:bookmarkStart w:id="60" w:name="_Toc32369"/>
      <w:bookmarkStart w:id="61" w:name="_Toc1949541301"/>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fr-FR"/>
        </w:rPr>
        <w:t>一</w:t>
      </w:r>
      <w:r>
        <w:rPr>
          <w:rFonts w:hint="default" w:ascii="Times New Roman" w:hAnsi="Times New Roman" w:eastAsia="方正楷体简体" w:cs="Times New Roman"/>
          <w:color w:val="auto"/>
          <w:kern w:val="2"/>
          <w:sz w:val="32"/>
          <w:szCs w:val="32"/>
          <w:highlight w:val="none"/>
          <w:shd w:val="clear"/>
          <w:lang w:val="zh-CN"/>
        </w:rPr>
        <w:t>）收入情况</w:t>
      </w:r>
      <w:bookmarkEnd w:id="54"/>
      <w:bookmarkEnd w:id="55"/>
      <w:bookmarkEnd w:id="56"/>
      <w:bookmarkEnd w:id="57"/>
      <w:bookmarkEnd w:id="58"/>
      <w:bookmarkEnd w:id="59"/>
      <w:bookmarkEnd w:id="60"/>
      <w:bookmarkEnd w:id="61"/>
      <w:bookmarkStart w:id="62" w:name="_Toc19132"/>
    </w:p>
    <w:bookmarkEnd w:id="62"/>
    <w:p w14:paraId="3B37BEF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63" w:name="_Toc27073"/>
      <w:bookmarkStart w:id="64" w:name="_Toc17751"/>
      <w:bookmarkStart w:id="65" w:name="_Toc349786989"/>
      <w:bookmarkStart w:id="66" w:name="_Toc27782"/>
      <w:bookmarkStart w:id="67" w:name="_Toc109483838"/>
      <w:bookmarkStart w:id="68" w:name="_Toc19326"/>
      <w:bookmarkStart w:id="69" w:name="_Toc21171"/>
      <w:r>
        <w:rPr>
          <w:rFonts w:hint="default" w:ascii="Times New Roman" w:hAnsi="Times New Roman" w:eastAsia="方正仿宋_GB2312" w:cs="Times New Roman"/>
          <w:color w:val="auto"/>
          <w:sz w:val="32"/>
          <w:szCs w:val="32"/>
          <w:highlight w:val="none"/>
          <w:lang w:val="en-US" w:eastAsia="zh-CN"/>
        </w:rPr>
        <w:t>年初预算反映，县公安局2024年预算收入合计4,744.42万元，上年结转结余0.00万元，无预算调整。本年收入4,744.42万元，全部为一般公共预算财政拨款收入。</w:t>
      </w:r>
    </w:p>
    <w:p w14:paraId="0FB3ADF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
        </w:rPr>
      </w:pPr>
      <w:r>
        <w:rPr>
          <w:rFonts w:hint="default" w:ascii="Times New Roman" w:hAnsi="Times New Roman" w:eastAsia="方正仿宋_GB2312" w:cs="Times New Roman"/>
          <w:color w:val="auto"/>
          <w:sz w:val="32"/>
          <w:szCs w:val="32"/>
          <w:highlight w:val="none"/>
          <w:lang w:val="en-US" w:eastAsia="zh-CN"/>
        </w:rPr>
        <w:t>决算报表反映，县公安局2024年决算收入合计8,383.58万元，其中：本年收入7,805.74万元，年初结转和结余577.83万元。</w:t>
      </w:r>
    </w:p>
    <w:p w14:paraId="53A3587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rPr>
      </w:pPr>
      <w:bookmarkStart w:id="70" w:name="_Toc30600"/>
      <w:bookmarkStart w:id="71" w:name="_Toc15130"/>
      <w:bookmarkStart w:id="72" w:name="_Toc16309"/>
      <w:r>
        <w:rPr>
          <w:rFonts w:hint="default" w:ascii="Times New Roman" w:hAnsi="Times New Roman" w:eastAsia="方正楷体简体" w:cs="Times New Roman"/>
          <w:color w:val="auto"/>
          <w:kern w:val="2"/>
          <w:sz w:val="32"/>
          <w:szCs w:val="32"/>
          <w:highlight w:val="none"/>
          <w:shd w:val="clear"/>
          <w:lang w:val="zh-CN"/>
        </w:rPr>
        <w:t>（二）支出情况</w:t>
      </w:r>
      <w:bookmarkEnd w:id="63"/>
      <w:bookmarkEnd w:id="64"/>
      <w:bookmarkEnd w:id="65"/>
      <w:bookmarkEnd w:id="66"/>
      <w:bookmarkEnd w:id="67"/>
      <w:bookmarkEnd w:id="68"/>
      <w:bookmarkEnd w:id="69"/>
      <w:bookmarkEnd w:id="70"/>
      <w:bookmarkEnd w:id="71"/>
      <w:bookmarkEnd w:id="72"/>
    </w:p>
    <w:p w14:paraId="5303903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73" w:name="_Toc10837"/>
      <w:bookmarkStart w:id="74" w:name="_Toc18390"/>
      <w:bookmarkStart w:id="75" w:name="_Toc24721"/>
      <w:bookmarkStart w:id="76" w:name="_Toc13841"/>
      <w:bookmarkStart w:id="77" w:name="_Toc809"/>
      <w:bookmarkStart w:id="78" w:name="_Toc1457008154"/>
      <w:bookmarkStart w:id="79" w:name="_Toc109483839"/>
      <w:r>
        <w:rPr>
          <w:rFonts w:hint="default" w:ascii="Times New Roman" w:hAnsi="Times New Roman" w:eastAsia="方正仿宋_GB2312" w:cs="Times New Roman"/>
          <w:color w:val="auto"/>
          <w:sz w:val="32"/>
          <w:szCs w:val="32"/>
          <w:highlight w:val="none"/>
          <w:lang w:val="en-US" w:eastAsia="zh-CN"/>
        </w:rPr>
        <w:t>年初预算反映，县公安局2024年预算支出合计4,744.42万元，无年末结转和结余。本年支出中：基本支出4,383.57万元（人员经费4,008.57万元、公用经费375.00万元），项目支出360.84万元。</w:t>
      </w:r>
    </w:p>
    <w:p w14:paraId="4C346E4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决算报表反映，县公安局2024年决算支出合计8,383.58万元，本年支出7,805.74万元，年末结转和结余577.83万元。本年支出中：基本支出4,787.53万元（人员经费4,421.07万元、公用经费366.46万元），项目支出3,018.21万元。</w:t>
      </w:r>
    </w:p>
    <w:p w14:paraId="03B600DB">
      <w:pPr>
        <w:keepNext w:val="0"/>
        <w:keepLines w:val="0"/>
        <w:pageBreakBefore w:val="0"/>
        <w:widowControl w:val="0"/>
        <w:kinsoku/>
        <w:wordWrap/>
        <w:overflowPunct/>
        <w:topLinePunct w:val="0"/>
        <w:bidi w:val="0"/>
        <w:spacing w:line="560" w:lineRule="exact"/>
        <w:ind w:firstLine="640" w:firstLineChars="200"/>
        <w:textAlignment w:val="auto"/>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决算报表反映，2024年县公安局年末结转结余577.83万元。</w:t>
      </w:r>
    </w:p>
    <w:p w14:paraId="4BC19A9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0" w:name="_Toc10974"/>
      <w:bookmarkStart w:id="81" w:name="_Toc7705"/>
      <w:bookmarkStart w:id="82" w:name="_Toc16353"/>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5552689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3" w:name="_Toc29501"/>
      <w:bookmarkStart w:id="84" w:name="_Toc19300"/>
      <w:bookmarkStart w:id="85" w:name="_Toc28011"/>
      <w:bookmarkStart w:id="86" w:name="_Toc22633"/>
      <w:bookmarkStart w:id="87" w:name="_Toc3573"/>
      <w:bookmarkStart w:id="88" w:name="_Toc1418"/>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3"/>
      <w:bookmarkEnd w:id="84"/>
      <w:bookmarkEnd w:id="85"/>
      <w:bookmarkEnd w:id="86"/>
      <w:bookmarkEnd w:id="87"/>
      <w:bookmarkEnd w:id="88"/>
    </w:p>
    <w:p w14:paraId="38A1F77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 w:cs="Times New Roman"/>
          <w:kern w:val="2"/>
          <w:sz w:val="32"/>
          <w:szCs w:val="32"/>
          <w:shd w:val="clear" w:color="auto" w:fill="auto"/>
          <w:lang w:val="en-US" w:eastAsia="zh-CN" w:bidi="ar-SA"/>
        </w:rPr>
      </w:pPr>
      <w:bookmarkStart w:id="89" w:name="_Toc11959"/>
      <w:bookmarkStart w:id="90" w:name="_Toc24652"/>
      <w:bookmarkStart w:id="91" w:name="_Toc30825"/>
      <w:bookmarkStart w:id="92" w:name="_Toc4650"/>
      <w:bookmarkStart w:id="93" w:name="_Toc132"/>
      <w:bookmarkStart w:id="94" w:name="_Toc6926"/>
      <w:r>
        <w:rPr>
          <w:rFonts w:hint="default" w:ascii="Times New Roman" w:hAnsi="Times New Roman" w:eastAsia="方正仿宋_GB2312" w:cs="Times New Roman"/>
          <w:color w:val="auto"/>
          <w:sz w:val="32"/>
          <w:szCs w:val="32"/>
          <w:highlight w:val="none"/>
          <w:lang w:val="en-US" w:eastAsia="zh-CN"/>
        </w:rPr>
        <w:t>2024年以维护全县政治稳定为主线，以提升人民群众安全感和满意度为方向，坚持改革强警、科技强警，从全面推进反恐维稳工作，加强风险防控和应对处置，全面加强信息科技建设和应用，加强社会创新治理，强化执法规范化建设，推进从严治警建设高素质队伍等方面入手，不断提升公安机关捍卫政治安全、维护社会安定、保障人民安宁的能力水平，为推进平安泸定建设作出积极的贡献。</w:t>
      </w:r>
    </w:p>
    <w:p w14:paraId="332148A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89"/>
      <w:bookmarkEnd w:id="90"/>
      <w:bookmarkEnd w:id="91"/>
      <w:bookmarkEnd w:id="92"/>
      <w:bookmarkEnd w:id="93"/>
      <w:bookmarkEnd w:id="94"/>
    </w:p>
    <w:p w14:paraId="54A408D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95" w:name="_Toc17536"/>
      <w:bookmarkStart w:id="96" w:name="_Toc6491"/>
      <w:bookmarkStart w:id="97" w:name="_Toc24081"/>
      <w:r>
        <w:rPr>
          <w:rFonts w:hint="default" w:ascii="Times New Roman" w:hAnsi="Times New Roman" w:eastAsia="方正仿宋_GB2312" w:cs="Times New Roman"/>
          <w:color w:val="auto"/>
          <w:sz w:val="32"/>
          <w:szCs w:val="32"/>
          <w:highlight w:val="none"/>
          <w:lang w:val="en-US" w:eastAsia="zh-CN"/>
        </w:rPr>
        <w:t>县公安局2024年认真落实中央、省、州纪委全会部署安排，完成了以下工作任务：</w:t>
      </w:r>
    </w:p>
    <w:p w14:paraId="46238A5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 w:cs="Times New Roman"/>
          <w:b w:val="0"/>
          <w:bCs/>
          <w:sz w:val="32"/>
          <w:szCs w:val="32"/>
          <w:shd w:val="clear" w:color="auto" w:fill="auto"/>
          <w:lang w:val="en-US" w:eastAsia="zh-CN"/>
        </w:rPr>
      </w:pPr>
      <w:bookmarkStart w:id="98" w:name="_Toc32189"/>
      <w:bookmarkStart w:id="99" w:name="_Toc21154"/>
      <w:bookmarkStart w:id="100" w:name="_Toc13068"/>
      <w:r>
        <w:rPr>
          <w:rFonts w:hint="default" w:ascii="Times New Roman" w:hAnsi="Times New Roman" w:eastAsia="方正仿宋_GB2312" w:cs="Times New Roman"/>
          <w:color w:val="auto"/>
          <w:sz w:val="32"/>
          <w:szCs w:val="32"/>
          <w:highlight w:val="none"/>
          <w:lang w:val="en-US" w:eastAsia="zh-CN"/>
        </w:rPr>
        <w:t>2024年以维护全县政治稳定为主线，以提升人民群众安全感和满意度为方向，坚持改革强警、科技强警，从全面推进反恐维稳工作，加强风险防控和应对处置，全面加强信息科技建设和应用，加强社会创新治理，强化执法规范化建设，推进从严治警建设高素质队伍等方面入手，不断提升公安机关捍卫政治安全、维护社会安定、保障人民安宁的能力水平，为推进平安泸定建设作出积极的贡献。具体如下：一是进一步强化队伍管理；二是进一步强化问题导向；三是进一步强化工作统筹；四是进一步强化目标引领。</w:t>
      </w:r>
    </w:p>
    <w:p w14:paraId="234D532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1" w:name="_Toc24619"/>
      <w:bookmarkStart w:id="102" w:name="_Toc7521"/>
      <w:bookmarkStart w:id="103" w:name="_Toc24977"/>
      <w:bookmarkStart w:id="104" w:name="_Toc28828"/>
      <w:bookmarkStart w:id="105" w:name="_Toc29571"/>
      <w:bookmarkStart w:id="106" w:name="_Toc11694"/>
      <w:bookmarkStart w:id="107" w:name="_Toc428273082"/>
      <w:bookmarkStart w:id="108" w:name="_Toc8903"/>
      <w:bookmarkStart w:id="109" w:name="_Toc27305"/>
      <w:bookmarkStart w:id="110" w:name="_Toc4199"/>
      <w:bookmarkStart w:id="111" w:name="_Toc109483840"/>
      <w:r>
        <w:rPr>
          <w:rFonts w:hint="default" w:ascii="Times New Roman" w:hAnsi="Times New Roman" w:eastAsia="方正楷体简体" w:cs="Times New Roman"/>
          <w:color w:val="auto"/>
          <w:kern w:val="2"/>
          <w:sz w:val="32"/>
          <w:szCs w:val="32"/>
          <w:highlight w:val="none"/>
          <w:shd w:val="clear"/>
          <w:lang w:val="zh-CN" w:eastAsia="zh-CN"/>
        </w:rPr>
        <w:t>（一）绩效评价实施过程</w:t>
      </w:r>
      <w:bookmarkEnd w:id="101"/>
      <w:bookmarkEnd w:id="102"/>
      <w:bookmarkEnd w:id="103"/>
      <w:bookmarkEnd w:id="104"/>
      <w:bookmarkEnd w:id="105"/>
      <w:bookmarkEnd w:id="106"/>
    </w:p>
    <w:p w14:paraId="3E043EB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评价小组按照评价日程安排，对</w:t>
      </w:r>
      <w:r>
        <w:rPr>
          <w:rFonts w:hint="default" w:ascii="Times New Roman" w:hAnsi="Times New Roman" w:eastAsia="方正仿宋_GB2312" w:cs="Times New Roman"/>
          <w:color w:val="auto"/>
          <w:sz w:val="32"/>
          <w:szCs w:val="32"/>
          <w:highlight w:val="none"/>
          <w:lang w:val="en-US" w:eastAsia="zh-CN"/>
        </w:rPr>
        <w:t>县公安局</w:t>
      </w:r>
      <w:r>
        <w:rPr>
          <w:rFonts w:hint="default" w:ascii="Times New Roman" w:hAnsi="Times New Roman" w:eastAsia="方正仿宋_GB2312" w:cs="Times New Roman"/>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1.对相关资料进行研读，对整体评价有基本的把握和了解，归纳出进一步评价所需的信息供下一步取数参考。</w:t>
      </w:r>
    </w:p>
    <w:p w14:paraId="5D575BB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2.集中对各个评价指标逐一进行分析，以保证取数的准确性。</w:t>
      </w:r>
    </w:p>
    <w:p w14:paraId="777A176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3.评价小组汇总分析评价过程中发现的问题并对存在问题进行讨论，根据取得的数据分别计算各评价指标所得分数，形成评价结果。</w:t>
      </w:r>
    </w:p>
    <w:p w14:paraId="3B0DF91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4.根据评价结果，撰写评价报告。</w:t>
      </w:r>
    </w:p>
    <w:p w14:paraId="0280D38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5.与绩效评价相关者沟通，完善并形成绩效评价报告终稿。</w:t>
      </w:r>
    </w:p>
    <w:p w14:paraId="2ADF116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12" w:name="_Toc30977"/>
      <w:bookmarkStart w:id="113" w:name="_Toc23900"/>
      <w:bookmarkStart w:id="114" w:name="_Toc16416"/>
      <w:bookmarkStart w:id="115" w:name="_Toc4385"/>
      <w:bookmarkStart w:id="116" w:name="_Toc3794"/>
      <w:bookmarkStart w:id="117" w:name="_Toc24380"/>
      <w:r>
        <w:rPr>
          <w:rFonts w:hint="default" w:ascii="Times New Roman" w:hAnsi="Times New Roman" w:eastAsia="方正楷体简体" w:cs="Times New Roman"/>
          <w:color w:val="auto"/>
          <w:kern w:val="2"/>
          <w:sz w:val="32"/>
          <w:szCs w:val="32"/>
          <w:highlight w:val="none"/>
          <w:shd w:val="clear"/>
          <w:lang w:val="zh-CN" w:eastAsia="zh-CN"/>
        </w:rPr>
        <w:t>（</w:t>
      </w:r>
      <w:r>
        <w:rPr>
          <w:rFonts w:hint="default" w:ascii="Times New Roman" w:hAnsi="Times New Roman" w:eastAsia="方正楷体简体" w:cs="Times New Roman"/>
          <w:color w:val="auto"/>
          <w:kern w:val="2"/>
          <w:sz w:val="32"/>
          <w:szCs w:val="32"/>
          <w:highlight w:val="none"/>
          <w:shd w:val="clear"/>
          <w:lang w:val="en-US" w:eastAsia="zh-CN"/>
        </w:rPr>
        <w:t>二）</w:t>
      </w:r>
      <w:bookmarkEnd w:id="107"/>
      <w:bookmarkEnd w:id="108"/>
      <w:r>
        <w:rPr>
          <w:rFonts w:hint="default" w:ascii="Times New Roman" w:hAnsi="Times New Roman" w:eastAsia="方正楷体简体" w:cs="Times New Roman"/>
          <w:color w:val="auto"/>
          <w:kern w:val="2"/>
          <w:sz w:val="32"/>
          <w:szCs w:val="32"/>
          <w:highlight w:val="none"/>
          <w:shd w:val="clear"/>
          <w:lang w:val="en-US" w:eastAsia="zh-CN"/>
        </w:rPr>
        <w:t>评价结论</w:t>
      </w:r>
      <w:bookmarkEnd w:id="112"/>
      <w:bookmarkEnd w:id="113"/>
      <w:bookmarkEnd w:id="114"/>
      <w:bookmarkEnd w:id="115"/>
      <w:bookmarkEnd w:id="116"/>
      <w:bookmarkEnd w:id="117"/>
    </w:p>
    <w:bookmarkEnd w:id="109"/>
    <w:bookmarkEnd w:id="110"/>
    <w:bookmarkEnd w:id="111"/>
    <w:p w14:paraId="11D0484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公安局坚持以维护全县政治稳定为主线，以提升人民群众安全感和满意度为方向，不断提升公安机关捍卫政治安全、维护社会安定、保障人民安宁的能力水平，为推进平安泸定建设作出积极的贡献。县公安局在维持部门运转的基础上，完成了部门职责范围内的各项工作，部门履职情况较好。</w:t>
      </w:r>
    </w:p>
    <w:p w14:paraId="38EC819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按照设定的评价指标体系，通过对县公安局</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4年度部门整体支出情况在预算编制、预算执行、完成结果、信息公开、整改反馈、自评质量方面进行综合评价，</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4年度县公安局部门整体支出绩效评价指标分值100.00分，得分86.97分。详见下表：</w:t>
      </w:r>
    </w:p>
    <w:p w14:paraId="586E1AED">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center"/>
        <w:textAlignment w:val="auto"/>
        <w:outlineLvl w:val="9"/>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县公安局</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83"/>
        <w:gridCol w:w="2292"/>
        <w:gridCol w:w="1318"/>
        <w:gridCol w:w="635"/>
        <w:gridCol w:w="959"/>
        <w:gridCol w:w="824"/>
      </w:tblGrid>
      <w:tr w14:paraId="7F546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689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bookmarkStart w:id="118" w:name="_Toc4242"/>
            <w:bookmarkStart w:id="119" w:name="_Toc13729"/>
            <w:bookmarkStart w:id="120" w:name="_Toc14707"/>
            <w:bookmarkStart w:id="121" w:name="_Toc1687911260"/>
            <w:bookmarkStart w:id="122" w:name="_Toc109483841"/>
            <w:bookmarkStart w:id="123" w:name="_Toc26985"/>
            <w:bookmarkStart w:id="124" w:name="_Toc16394"/>
            <w:bookmarkStart w:id="125" w:name="_Toc24818"/>
            <w:bookmarkStart w:id="126" w:name="_Toc31945"/>
            <w:bookmarkStart w:id="127" w:name="_Toc28266"/>
            <w:r>
              <w:rPr>
                <w:rFonts w:hint="default" w:ascii="Times New Roman" w:hAnsi="Times New Roman" w:eastAsia="方正仿宋_GB2312" w:cs="Times New Roman"/>
                <w:b/>
                <w:bCs/>
                <w:i w:val="0"/>
                <w:iCs w:val="0"/>
                <w:color w:val="000000"/>
                <w:kern w:val="0"/>
                <w:sz w:val="20"/>
                <w:szCs w:val="20"/>
                <w:u w:val="none"/>
                <w:lang w:val="en-US" w:eastAsia="zh-CN" w:bidi="ar"/>
              </w:rPr>
              <w:t>一级指标</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71C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二级指标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749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三级指标</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3BC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分值</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462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扣分</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BC2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得分</w:t>
            </w:r>
          </w:p>
        </w:tc>
      </w:tr>
      <w:tr w14:paraId="50B11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4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5CF0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部门预算管理（50分）</w:t>
            </w: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F0E4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目标管理（15分）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F84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目标制定</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ECD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967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404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r>
      <w:tr w14:paraId="722FF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5D8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806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066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目标实现</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6A3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A3C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966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r>
      <w:tr w14:paraId="1EECF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28D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8B9F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过程控制（10分）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E23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执行进度</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7BF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DFF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0.26</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290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3.74</w:t>
            </w:r>
          </w:p>
        </w:tc>
      </w:tr>
      <w:tr w14:paraId="0205A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6A5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360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F9D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同步调整</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89E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B4A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947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r>
      <w:tr w14:paraId="6B7B0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CB2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D1F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DAB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及时处置</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3DA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02B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4F7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r>
      <w:tr w14:paraId="5EF7A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839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7AB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完成效率（5分）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49D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预算结余率</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678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823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1.36</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56A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3.64</w:t>
            </w:r>
          </w:p>
        </w:tc>
      </w:tr>
      <w:tr w14:paraId="40EEF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B79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8B8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完成效果（20分）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F44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实施效果</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35E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385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2.44</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418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17.56</w:t>
            </w:r>
          </w:p>
        </w:tc>
      </w:tr>
      <w:tr w14:paraId="1DBD3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958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专项预算绩效（30分）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784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整体完成（30分）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0BE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完成率</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41B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370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3.97</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C57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26.03</w:t>
            </w:r>
          </w:p>
        </w:tc>
      </w:tr>
      <w:tr w14:paraId="21CC0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19C1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绩效结果应用（14分）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6CB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内部应用（4分）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283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预算挂钩</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5A2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3FF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765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r>
      <w:tr w14:paraId="265B4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DB3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E69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信息公开（4分）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A41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自评公开</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718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950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5E7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r>
      <w:tr w14:paraId="13CA3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634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7B7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整改反馈（6分）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12B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问题整改</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3B3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F80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1E1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r>
      <w:tr w14:paraId="7ADCD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1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D84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51A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034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8E2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596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5F6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r>
      <w:tr w14:paraId="36DA1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57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EB7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合计</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BC7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2BD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13.03</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F36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86.97</w:t>
            </w:r>
          </w:p>
        </w:tc>
      </w:tr>
    </w:tbl>
    <w:p w14:paraId="7CAEDB5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县公安局</w:t>
      </w:r>
      <w:r>
        <w:rPr>
          <w:rFonts w:hint="default" w:ascii="Times New Roman" w:hAnsi="Times New Roman" w:eastAsia="方正仿宋_GB2312" w:cs="Times New Roman"/>
          <w:color w:val="auto"/>
          <w:sz w:val="32"/>
          <w:szCs w:val="32"/>
          <w:highlight w:val="none"/>
          <w:lang w:val="en-US" w:eastAsia="zh"/>
        </w:rPr>
        <w:t>认真落实中央、省、州纪委全会部署安排，以维护全县政治稳定为主线，以提升人民群众安全感和满意度为方向，坚持改革强警、科技强警</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全面推进</w:t>
      </w:r>
      <w:r>
        <w:rPr>
          <w:rFonts w:hint="default" w:ascii="Times New Roman" w:hAnsi="Times New Roman" w:eastAsia="方正仿宋_GB2312" w:cs="Times New Roman"/>
          <w:color w:val="auto"/>
          <w:sz w:val="32"/>
          <w:szCs w:val="32"/>
          <w:highlight w:val="none"/>
          <w:lang w:val="en-US" w:eastAsia="zh-CN"/>
        </w:rPr>
        <w:t>反恐</w:t>
      </w:r>
      <w:r>
        <w:rPr>
          <w:rFonts w:hint="default" w:ascii="Times New Roman" w:hAnsi="Times New Roman" w:eastAsia="方正仿宋_GB2312" w:cs="Times New Roman"/>
          <w:color w:val="auto"/>
          <w:sz w:val="32"/>
          <w:szCs w:val="32"/>
          <w:highlight w:val="none"/>
          <w:lang w:val="en-US" w:eastAsia="zh"/>
        </w:rPr>
        <w:t>维稳工作</w:t>
      </w:r>
      <w:r>
        <w:rPr>
          <w:rFonts w:hint="default" w:ascii="Times New Roman" w:hAnsi="Times New Roman" w:eastAsia="方正仿宋_GB2312" w:cs="Times New Roman"/>
          <w:color w:val="auto"/>
          <w:sz w:val="32"/>
          <w:szCs w:val="32"/>
          <w:highlight w:val="none"/>
          <w:lang w:val="en-US" w:eastAsia="zh-CN"/>
        </w:rPr>
        <w:t>。评价组对县公安局进行事后评价，最终县公安局绩效等级为“良”。秉承科学公正、统筹兼顾、激励约束和公开透明的财政绩效原则。</w:t>
      </w:r>
      <w:r>
        <w:rPr>
          <w:rFonts w:hint="eastAsia" w:eastAsia="方正仿宋_GB2312" w:cs="Times New Roman"/>
          <w:color w:val="auto"/>
          <w:sz w:val="32"/>
          <w:szCs w:val="32"/>
          <w:highlight w:val="none"/>
          <w:lang w:val="en-US" w:eastAsia="zh-CN"/>
        </w:rPr>
        <w:t>我局</w:t>
      </w:r>
      <w:r>
        <w:rPr>
          <w:rFonts w:hint="default" w:ascii="Times New Roman" w:hAnsi="Times New Roman" w:eastAsia="方正仿宋_GB2312" w:cs="Times New Roman"/>
          <w:color w:val="auto"/>
          <w:sz w:val="32"/>
          <w:szCs w:val="32"/>
          <w:highlight w:val="none"/>
          <w:lang w:val="en-US" w:eastAsia="zh-CN"/>
        </w:rPr>
        <w:t>建议泸定县财政局针对部门预算绩效管理，进一步要求县公安局完善绩效目标编制、提高绩效自评质量、加强年初预算编制准确性。</w:t>
      </w:r>
    </w:p>
    <w:p w14:paraId="0651BF7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8" w:name="_Toc6100"/>
      <w:bookmarkStart w:id="129" w:name="_Toc11390"/>
      <w:bookmarkStart w:id="130" w:name="_Toc26977"/>
      <w:r>
        <w:rPr>
          <w:rFonts w:hint="default" w:ascii="Times New Roman" w:hAnsi="Times New Roman" w:eastAsia="方正楷体简体" w:cs="Times New Roman"/>
          <w:color w:val="auto"/>
          <w:kern w:val="2"/>
          <w:sz w:val="32"/>
          <w:szCs w:val="32"/>
          <w:highlight w:val="none"/>
          <w:shd w:val="clear"/>
          <w:lang w:val="en-US" w:eastAsia="zh-CN"/>
        </w:rPr>
        <w:t>（四）</w:t>
      </w:r>
      <w:bookmarkEnd w:id="121"/>
      <w:bookmarkEnd w:id="122"/>
      <w:bookmarkEnd w:id="123"/>
      <w:bookmarkEnd w:id="124"/>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5"/>
      <w:bookmarkEnd w:id="126"/>
      <w:bookmarkEnd w:id="127"/>
      <w:bookmarkEnd w:id="128"/>
      <w:bookmarkEnd w:id="129"/>
      <w:bookmarkEnd w:id="130"/>
    </w:p>
    <w:p w14:paraId="6BF6F19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1.部门预算总体绩效管理情况</w:t>
      </w:r>
    </w:p>
    <w:p w14:paraId="18E7688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（1）目标管理</w:t>
      </w:r>
    </w:p>
    <w:p w14:paraId="14F83ED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二级指标“目标管理”下设两个三级指标分别为：目标制定、目标实现。</w:t>
      </w:r>
    </w:p>
    <w:p w14:paraId="5852C13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①目标制定</w:t>
      </w:r>
    </w:p>
    <w:p w14:paraId="6BF4B43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公安局在泸定县人民政府门户网站公开的2024年度部门预算和绩效目标，制定了年度部门及项目整体支出绩效目标，绩效目标涵盖数量、质量、时效、效益等指标，绩效目标随预算已上报人大完成审核，部门整体项目绩效目标经绩效管理工作组审议，已将部门绩效目标纳入集体决策范围。根据现场评价情况，泸定县公安局《部门（单位）整体支出绩效目标申报表》目标要素齐全，但存在整体目标不够细化，绩效目标设置不明确等问题。</w:t>
      </w:r>
    </w:p>
    <w:p w14:paraId="4392A5A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本项分值为10.00分，扣3.00分，得分为7.00分。</w:t>
      </w:r>
    </w:p>
    <w:p w14:paraId="051439E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②目标实现</w:t>
      </w:r>
    </w:p>
    <w:p w14:paraId="692F37B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公安局提供的2024年度年初预算项目绩效目标申报表及项目完成资料，县公安局整体涉及3个数量指标，2个成本指标。根据现场评价情况，实际完成3个数量指标，完成率100%；实际完成2个成本指标，完成率100%。</w:t>
      </w:r>
    </w:p>
    <w:p w14:paraId="35DC9D7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本项分值为5.00分，扣0.00分，得分为5.00分。</w:t>
      </w:r>
    </w:p>
    <w:p w14:paraId="07A8489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（2）过程控制</w:t>
      </w:r>
    </w:p>
    <w:p w14:paraId="51D011B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二级指标“过程控制”下设三个三级指标分别为：执行进度、同步调整、及时处置。</w:t>
      </w:r>
    </w:p>
    <w:p w14:paraId="2AC6A60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①执行进度</w:t>
      </w:r>
    </w:p>
    <w:p w14:paraId="507D192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2E74A9F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县公安局1—6月预算数8,319.07万元，实际执行数3,681.29万元，进度为44.25%；1-9月预算数8,319.07万元，实际执行数5,309.10万元，进度为63.82%；1-11月预算数8,319.07万元，实际执行数6,167.87万元，进度为74.14%。</w:t>
      </w:r>
    </w:p>
    <w:p w14:paraId="0CE9753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上述三个阶段中，根据可执行指标执行情况表被评价单位1-6月达到目标进度，但1-9月、1-11月实际支出进度未达到目标进度。</w:t>
      </w:r>
    </w:p>
    <w:p w14:paraId="51F3DF0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本项分值为4.00分，扣0.26分，得分为3.74分。</w:t>
      </w:r>
    </w:p>
    <w:p w14:paraId="22956C4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②同步调整</w:t>
      </w:r>
    </w:p>
    <w:p w14:paraId="6C6EECA3">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2024年县公安局预算项目22个，根据被评价单位提供的可执行指标执行情况表，预算调整项目22个，均随预算调整同步完成绩效目标调整。</w:t>
      </w:r>
    </w:p>
    <w:p w14:paraId="67B9BB7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756E4F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③及时处置</w:t>
      </w:r>
    </w:p>
    <w:p w14:paraId="4A1F9D4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2024年财政局未对县信访局开展重点绩效监控，县公安局自行开展了绩效运行监控，未发现绩效相关问题，未提出预算收回、调整处置意见。</w:t>
      </w:r>
    </w:p>
    <w:p w14:paraId="3F0CF77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8F3F60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（3）完成效率</w:t>
      </w:r>
    </w:p>
    <w:p w14:paraId="6AD9472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二级指标“完成效率”下设一个三级指标为：预算结余率。</w:t>
      </w:r>
    </w:p>
    <w:p w14:paraId="73B5FAF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根据县公安局2024年度决算报表与可执行指标执行情况表被评价单位2024年度预算项目共计22个，部门预算项目资金结余率小于10%有16个，大于10%有6个。</w:t>
      </w:r>
    </w:p>
    <w:p w14:paraId="4A928BD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本项分值为5.00分，扣1.36分，得分为3.64分。</w:t>
      </w:r>
    </w:p>
    <w:p w14:paraId="38BE5ED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2.部门预算项目绩效管理情况</w:t>
      </w:r>
    </w:p>
    <w:p w14:paraId="5AC6685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（1）完成效果</w:t>
      </w:r>
    </w:p>
    <w:p w14:paraId="2B68E03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二级指标“完成效果”下设一个三级指标为实施效果。</w:t>
      </w:r>
    </w:p>
    <w:p w14:paraId="37D66CB3">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泸定县2024年预算项目共计9个，涉及预算资金389.94万元，评价组抽取项目4个，抽取项目预算资金312.84万元；抽取率为80.23%。抽取项目为：天网租赁项目、禁毒专项项目、移动警务终端费用项目、民警执勤加班津贴项目。评价组抽取项目的绩效评价指标体系均采用《2025年泸定县部门整体支出绩效评价指标体系》。经评价小组复核评分，抽查的预算项目平均得分87.82分。</w:t>
      </w:r>
    </w:p>
    <w:p w14:paraId="4ADF518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本项分值为20.00分，扣2.44分，得分为17.56分。</w:t>
      </w:r>
    </w:p>
    <w:p w14:paraId="3B1C687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3.专项预算绩效管理情况</w:t>
      </w:r>
    </w:p>
    <w:p w14:paraId="19A5BE0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（1）整体完成</w:t>
      </w:r>
    </w:p>
    <w:p w14:paraId="1B9DC6F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二级指标“整体完成”下设一个三级指标为：完成率。</w:t>
      </w:r>
    </w:p>
    <w:p w14:paraId="70C3112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公安局专项预算项目13个，涉及预算资金3,331.35万元，评价组抽取项目样本6个，抽取项目预算资金1,158.97万元，抽取率为34.80%。抽取项目为：中央政府转移支付专项资金项目（包含6个子项目，分别为：办案费、装备费、出入境专项费、禁毒专项费、森林专项费、电信诈骗专项经费）。抽查的项目中，绩效评价指标体系均采用《泸定县2024年部门预算项目绩效评价指标体系》。经评价小组复核评分，抽查的预算项目得分86.75分。</w:t>
      </w:r>
    </w:p>
    <w:p w14:paraId="7C50EB7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本项分值为30.00分，扣3.97分，得分为26.03分。</w:t>
      </w:r>
    </w:p>
    <w:p w14:paraId="6B552CA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4.绩效结果应用</w:t>
      </w:r>
    </w:p>
    <w:p w14:paraId="0AF25A0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（1）内部应用</w:t>
      </w:r>
    </w:p>
    <w:p w14:paraId="1C81E90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二级指标“内部应用”下设一个三级指标为：预算挂钩。</w:t>
      </w:r>
    </w:p>
    <w:p w14:paraId="10E8C4C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截至评价日，县公安局制定了《预算管理内部控制制度》，在制度文件中将绩效管理情况纳入内部考核，但绩效管理结果未与预算挂钩。</w:t>
      </w:r>
    </w:p>
    <w:p w14:paraId="26F62B8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本项分值为4.00分，扣2.00分，得分为2.00分。</w:t>
      </w:r>
    </w:p>
    <w:p w14:paraId="3DFC40C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（2）信息公开</w:t>
      </w:r>
    </w:p>
    <w:p w14:paraId="02CEE86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二级指标“信息公开”下设一个三级指标为：自评公开。</w:t>
      </w:r>
    </w:p>
    <w:p w14:paraId="74A12D0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预决算公开。县公安局于2024年3月25日在泸定县人民政府网上进行了部门预算及项目绩效目标的公开。截至评价日，代表大会常务委员会暂未召开，未对2024年泸定县决算（草案）和决算报告进行审查，故未进行2024年决算信息的公开。</w:t>
      </w:r>
    </w:p>
    <w:p w14:paraId="4A2F8C2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6B3C2C5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（3）整改反馈</w:t>
      </w:r>
    </w:p>
    <w:p w14:paraId="23157FC1">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二级指标“整改反馈”下设两个三级指标为：问题整改、应用反馈。</w:t>
      </w:r>
    </w:p>
    <w:p w14:paraId="149F0DF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①2024年度，2024年县公安局针对《财政监督检查整改通知书》（泸财监〔2024〕6号）提出的一系列问题，通过现场核查，被评价单位已对项目进行整改并提交整改报告至财政局。</w:t>
      </w:r>
    </w:p>
    <w:p w14:paraId="0E6FAB3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477FA3F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②2024年度，县公安局在规定时间内向财政部门反馈绩效结果应用报告，报告内容翔实、问题整改到位、结果应用充分。</w:t>
      </w:r>
    </w:p>
    <w:p w14:paraId="192AD22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714DA50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5.自评质量</w:t>
      </w:r>
    </w:p>
    <w:p w14:paraId="772DA10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二级指标“自评质量”下设一个三级指标为：自评质量。</w:t>
      </w:r>
    </w:p>
    <w:p w14:paraId="4145457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公安局2024年部门整体支出绩效自评得分81分（不包括“自评质量”指标分值，满分为94分），根据现场评价情况，评价组对县公安局的考评得分80.97分（不包括“自评质量”指标分值，满分为94分），自评差异率0.04%，低于10.00%。</w:t>
      </w:r>
    </w:p>
    <w:p w14:paraId="62CC150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bookmarkEnd w:id="2"/>
    <w:p w14:paraId="6478B652">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bookmarkStart w:id="131" w:name="_Toc4350"/>
      <w:bookmarkStart w:id="132" w:name="_Toc30339"/>
      <w:bookmarkStart w:id="133" w:name="_Toc21218"/>
      <w:bookmarkStart w:id="134" w:name="_Toc30515"/>
      <w:bookmarkStart w:id="135" w:name="_Toc823448808"/>
      <w:bookmarkStart w:id="136" w:name="_Toc25603"/>
      <w:bookmarkStart w:id="137" w:name="_Toc5060"/>
      <w:bookmarkStart w:id="138" w:name="_Toc7306"/>
      <w:bookmarkStart w:id="139" w:name="_Toc14032"/>
      <w:bookmarkStart w:id="140" w:name="_Toc248033833"/>
      <w:bookmarkStart w:id="141" w:name="_Toc8336"/>
      <w:bookmarkStart w:id="142" w:name="_Toc19973"/>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1E5F6583">
      <w:pPr>
        <w:keepNext w:val="0"/>
        <w:keepLines w:val="0"/>
        <w:pageBreakBefore w:val="0"/>
        <w:widowControl w:val="0"/>
        <w:kinsoku/>
        <w:wordWrap/>
        <w:overflowPunct/>
        <w:topLinePunct w:val="0"/>
        <w:bidi w:val="0"/>
        <w:snapToGrid/>
        <w:spacing w:line="560" w:lineRule="exact"/>
        <w:ind w:leftChars="0" w:right="0" w:firstLine="640" w:firstLineChars="200"/>
        <w:textAlignment w:val="auto"/>
        <w:rPr>
          <w:rFonts w:hint="default" w:ascii="Times New Roman" w:hAnsi="Times New Roman" w:eastAsia="方正楷体简体" w:cs="Times New Roman"/>
          <w:b w:val="0"/>
          <w:bCs w:val="0"/>
          <w:sz w:val="32"/>
          <w:szCs w:val="32"/>
        </w:rPr>
      </w:pPr>
      <w:bookmarkStart w:id="143" w:name="_Toc22968"/>
      <w:bookmarkStart w:id="144" w:name="_Toc771997543"/>
      <w:bookmarkStart w:id="145" w:name="_Toc10426"/>
      <w:bookmarkStart w:id="146" w:name="_Toc31629"/>
      <w:bookmarkStart w:id="147" w:name="_Toc15651"/>
      <w:bookmarkStart w:id="148" w:name="_Toc3240"/>
      <w:bookmarkStart w:id="149" w:name="_Toc464104487"/>
      <w:r>
        <w:rPr>
          <w:rFonts w:hint="default" w:ascii="Times New Roman" w:hAnsi="Times New Roman" w:eastAsia="方正楷体简体" w:cs="Times New Roman"/>
          <w:b w:val="0"/>
          <w:bCs w:val="0"/>
          <w:sz w:val="32"/>
          <w:szCs w:val="32"/>
        </w:rPr>
        <w:t>（一）绩效目标编制和上报不准确</w:t>
      </w:r>
    </w:p>
    <w:p w14:paraId="7B373FB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中发现，县公安局2024年部门综合绩效目标与个别预算项目绩效目标均不同程度存在编制不规范，指标设置不够科学准确、具体明确等问题，导致绩效目标科学性、合理性不够强，不便于考核评价。具体情况表现为：</w:t>
      </w:r>
    </w:p>
    <w:p w14:paraId="1766CB2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ab/>
      </w:r>
      <w:r>
        <w:rPr>
          <w:rFonts w:hint="default" w:ascii="Times New Roman" w:hAnsi="Times New Roman" w:eastAsia="方正仿宋_GB2312" w:cs="Times New Roman"/>
          <w:color w:val="auto"/>
          <w:sz w:val="32"/>
          <w:szCs w:val="32"/>
          <w:highlight w:val="none"/>
          <w:lang w:val="en-US" w:eastAsia="zh-CN"/>
        </w:rPr>
        <w:t>1.部门整体绩效目标</w:t>
      </w:r>
    </w:p>
    <w:p w14:paraId="59B4BE21">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现场评价情况，泸定县公安局《部门（单位）整体支出绩效目标申报表》目标要素齐全，但存在整体目标不够细化，绩效目标设置不明确等问题，具体情况：一是整体绩效目标不够细化，绩效目标申报表中年度总体目标主要聚焦于定性描述，未与数量指标质量指标挂钩，缺乏具体的数量，建议在年度目标中加入主要任务或大额资金项目的可量化指标。二是指标值设置不明确，不便于考核，如质量指标中的“全年目标考核工作完成情况”其指标值为定性指标“良及以上”，该指标值设置不够明确，未具体明确细化考核任务，不便于考核，可设置为“全年目标考核工作完成合格率”其指标值为“≥98%”。三是三级指标与二级指标不匹配，指标设置不准确，如：时效指标中的三级指标为“上半年预算执行占比”与时效指标不匹配，时效指标可设置为“全年任务完成时间”其指标值“2024年1月—12月”。四是成本指标设置不完整，如：成本指标中“机关运行成本额度”其指标值“≤400万元”，应补充设置全年成本指标及各分项成本指标。</w:t>
      </w:r>
    </w:p>
    <w:p w14:paraId="6CBB0ED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2.项目支出绩效目标</w:t>
      </w:r>
    </w:p>
    <w:p w14:paraId="1526F93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公安局预算22个项目，各项目均编制了绩效目标申报表，但存在指标值设置不够准确、指标设置不完整情况。具体情况为：一是指标值设置不够准确，如：“Y库建设专项经费”中的社会效益指标“系统完成效果”其指标值为“优良中低差”，指标值设置不明确，未细化量化，不便于考核。二是指标设置不完整，如：“感知源实名制建设”中社会效益指标“感知源相关联案件数”，但未设置相应的指标值。“中央政法纪检监察转移支付资金（公安）”只设置了数量指标、质量指标、时效指标、效益指标，但未设置成本指标，建议补充成本指标。</w:t>
      </w:r>
    </w:p>
    <w:p w14:paraId="22293A9C">
      <w:pPr>
        <w:keepNext w:val="0"/>
        <w:keepLines w:val="0"/>
        <w:pageBreakBefore w:val="0"/>
        <w:widowControl w:val="0"/>
        <w:numPr>
          <w:ilvl w:val="0"/>
          <w:numId w:val="0"/>
        </w:numPr>
        <w:kinsoku/>
        <w:wordWrap/>
        <w:overflowPunct/>
        <w:topLinePunct w:val="0"/>
        <w:bidi w:val="0"/>
        <w:snapToGrid/>
        <w:spacing w:line="560" w:lineRule="exact"/>
        <w:ind w:leftChars="0" w:right="0" w:rightChars="0" w:firstLine="640" w:firstLineChars="200"/>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val="en-US" w:eastAsia="zh-CN"/>
        </w:rPr>
        <w:t>（二）部门预算执行进度缓慢</w:t>
      </w:r>
    </w:p>
    <w:p w14:paraId="46CA5C8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041ABAE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县公安局1—6月月预算数8,319.07万元，实际执行数3,681.29万元，进度为44.25%；1-9月预算数8,319.07万元，实际执行数5,309.10万元，进度为63.82%；1-11月预算数8,319.07万元，实际执行数6,167.87万元，进度为74.14%。</w:t>
      </w:r>
    </w:p>
    <w:p w14:paraId="0B71BCA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上述三个阶段中，根据可执行指标执行情况表被评价单位1-6月达到目标进度，但1-9月、1-11月实际支出进度未达到目标进度。</w:t>
      </w:r>
    </w:p>
    <w:p w14:paraId="2EEE97C5">
      <w:pPr>
        <w:keepNext w:val="0"/>
        <w:keepLines w:val="0"/>
        <w:pageBreakBefore w:val="0"/>
        <w:widowControl w:val="0"/>
        <w:numPr>
          <w:ilvl w:val="0"/>
          <w:numId w:val="0"/>
        </w:numPr>
        <w:kinsoku/>
        <w:wordWrap/>
        <w:overflowPunct/>
        <w:topLinePunct w:val="0"/>
        <w:bidi w:val="0"/>
        <w:snapToGrid/>
        <w:spacing w:line="560" w:lineRule="exact"/>
        <w:ind w:leftChars="0" w:right="0" w:rightChars="0" w:firstLine="640" w:firstLineChars="200"/>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val="en-US" w:eastAsia="zh-CN"/>
        </w:rPr>
        <w:t>（三）预算结余率较高</w:t>
      </w:r>
    </w:p>
    <w:p w14:paraId="63B3214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根据县公安局2024年度决算报表与可执行指标执行情况表被评价单位 2024年度预算项目共计22个，部门预算项目资金结余率小于10%有16个，大于10%有6个。预算结余率为12.80%。</w:t>
      </w:r>
    </w:p>
    <w:p w14:paraId="079A2F73">
      <w:pPr>
        <w:keepNext w:val="0"/>
        <w:keepLines w:val="0"/>
        <w:pageBreakBefore w:val="0"/>
        <w:widowControl w:val="0"/>
        <w:numPr>
          <w:ilvl w:val="0"/>
          <w:numId w:val="0"/>
        </w:numPr>
        <w:kinsoku/>
        <w:wordWrap/>
        <w:overflowPunct/>
        <w:topLinePunct w:val="0"/>
        <w:bidi w:val="0"/>
        <w:snapToGrid/>
        <w:spacing w:line="560" w:lineRule="exact"/>
        <w:ind w:leftChars="0" w:right="0" w:rightChars="0" w:firstLine="640" w:firstLineChars="200"/>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val="en-US" w:eastAsia="zh-CN"/>
        </w:rPr>
        <w:t>（四）预算绩效管理制度机制不够健全完善</w:t>
      </w:r>
    </w:p>
    <w:p w14:paraId="157BC7E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截至评价日，县公安局制定了《预算管理内部控制制度》，在制度文件中将绩效管理情况纳入内部考核，但绩效管理结果未与预算挂钩。</w:t>
      </w:r>
    </w:p>
    <w:p w14:paraId="4EFDC167">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bookmarkStart w:id="150" w:name="_Toc5324"/>
      <w:bookmarkStart w:id="151" w:name="_Toc22775"/>
      <w:bookmarkStart w:id="152" w:name="_Toc29227"/>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3"/>
      <w:bookmarkEnd w:id="144"/>
      <w:bookmarkEnd w:id="145"/>
      <w:bookmarkEnd w:id="146"/>
      <w:bookmarkEnd w:id="147"/>
      <w:bookmarkEnd w:id="148"/>
      <w:bookmarkEnd w:id="149"/>
      <w:bookmarkEnd w:id="150"/>
      <w:bookmarkEnd w:id="151"/>
      <w:bookmarkEnd w:id="152"/>
    </w:p>
    <w:p w14:paraId="164C1013">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（一）规范项目绩效目标设置</w:t>
      </w:r>
    </w:p>
    <w:p w14:paraId="3D54519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严格单位自评指标设置，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bookmarkEnd w:id="141"/>
    <w:bookmarkEnd w:id="142"/>
    <w:p w14:paraId="442ACBF4">
      <w:pPr>
        <w:keepNext w:val="0"/>
        <w:keepLines w:val="0"/>
        <w:pageBreakBefore w:val="0"/>
        <w:widowControl w:val="0"/>
        <w:kinsoku/>
        <w:wordWrap/>
        <w:overflowPunct/>
        <w:topLinePunct w:val="0"/>
        <w:bidi w:val="0"/>
        <w:snapToGrid/>
        <w:spacing w:line="560" w:lineRule="exact"/>
        <w:ind w:leftChars="0" w:right="0" w:firstLine="640" w:firstLineChars="200"/>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eastAsia="zh-CN"/>
        </w:rPr>
        <w:t>（</w:t>
      </w:r>
      <w:r>
        <w:rPr>
          <w:rFonts w:hint="default" w:ascii="Times New Roman" w:hAnsi="Times New Roman" w:eastAsia="方正楷体简体" w:cs="Times New Roman"/>
          <w:b w:val="0"/>
          <w:bCs w:val="0"/>
          <w:sz w:val="32"/>
          <w:szCs w:val="32"/>
          <w:lang w:val="en-US" w:eastAsia="zh-CN"/>
        </w:rPr>
        <w:t>二</w:t>
      </w:r>
      <w:r>
        <w:rPr>
          <w:rFonts w:hint="default" w:ascii="Times New Roman" w:hAnsi="Times New Roman" w:eastAsia="方正楷体简体" w:cs="Times New Roman"/>
          <w:b w:val="0"/>
          <w:bCs w:val="0"/>
          <w:sz w:val="32"/>
          <w:szCs w:val="32"/>
          <w:lang w:eastAsia="zh-CN"/>
        </w:rPr>
        <w:t>）</w:t>
      </w:r>
      <w:r>
        <w:rPr>
          <w:rFonts w:hint="default" w:ascii="Times New Roman" w:hAnsi="Times New Roman" w:eastAsia="方正楷体简体" w:cs="Times New Roman"/>
          <w:b w:val="0"/>
          <w:bCs w:val="0"/>
          <w:sz w:val="32"/>
          <w:szCs w:val="32"/>
          <w:lang w:val="en-US" w:eastAsia="zh-CN"/>
        </w:rPr>
        <w:t>提高预算执行率</w:t>
      </w:r>
    </w:p>
    <w:p w14:paraId="7C723FE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加强对各部门预算执行过程的动态监督，及时掌握各部门预算执行过程中的情况和实时动态，完善预算执行情况定期通报机制，根据情况强化对财政资金拨款的管控，倒逼各部门加快项目进度。同时，各部门要切实履行好预算执行主体的职责，加强对本单位预算执行过程的调度管理，大力推进项目进度和支出进度，促进预算的有效执行和支出的及时实现，从而促进预算执行率的提升。</w:t>
      </w:r>
    </w:p>
    <w:p w14:paraId="0FF03112">
      <w:pPr>
        <w:keepNext w:val="0"/>
        <w:keepLines w:val="0"/>
        <w:pageBreakBefore w:val="0"/>
        <w:widowControl w:val="0"/>
        <w:kinsoku/>
        <w:wordWrap/>
        <w:overflowPunct/>
        <w:topLinePunct w:val="0"/>
        <w:autoSpaceDE w:val="0"/>
        <w:autoSpaceDN w:val="0"/>
        <w:bidi w:val="0"/>
        <w:adjustRightInd w:val="0"/>
        <w:snapToGrid/>
        <w:spacing w:line="560" w:lineRule="exact"/>
        <w:ind w:leftChars="0" w:right="0" w:firstLine="640" w:firstLineChars="200"/>
        <w:jc w:val="both"/>
        <w:textAlignment w:val="auto"/>
        <w:rPr>
          <w:rFonts w:hint="default" w:ascii="Times New Roman" w:hAnsi="Times New Roman" w:eastAsia="方正楷体简体" w:cs="Times New Roman"/>
          <w:b w:val="0"/>
          <w:bCs w:val="0"/>
          <w:kern w:val="2"/>
          <w:sz w:val="32"/>
          <w:szCs w:val="32"/>
          <w:lang w:val="en-US" w:eastAsia="zh-CN" w:bidi="ar-SA"/>
        </w:rPr>
      </w:pPr>
      <w:r>
        <w:rPr>
          <w:rFonts w:hint="default" w:ascii="Times New Roman" w:hAnsi="Times New Roman" w:eastAsia="方正楷体简体" w:cs="Times New Roman"/>
          <w:b w:val="0"/>
          <w:bCs w:val="0"/>
          <w:kern w:val="2"/>
          <w:sz w:val="32"/>
          <w:szCs w:val="32"/>
          <w:lang w:val="en-US" w:eastAsia="zh-CN" w:bidi="ar-SA"/>
        </w:rPr>
        <w:t>（三）健全完善预算绩效管理制度建设</w:t>
      </w:r>
    </w:p>
    <w:p w14:paraId="1AC36343">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p>
    <w:p w14:paraId="1E59DCE7">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default" w:ascii="Times New Roman" w:hAnsi="Times New Roman" w:eastAsia="方正仿宋_GB2312" w:cs="Times New Roman"/>
          <w:color w:val="auto"/>
          <w:sz w:val="32"/>
          <w:szCs w:val="32"/>
          <w:highlight w:val="none"/>
          <w:shd w:val="clear" w:color="auto" w:fill="FFFFFF"/>
        </w:rPr>
      </w:pPr>
    </w:p>
    <w:p w14:paraId="6FC6A30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方正仿宋_GB2312" w:cs="Times New Roman"/>
          <w:b w:val="0"/>
          <w:bCs w:val="0"/>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shd w:val="clear" w:color="auto" w:fill="FFFFFF"/>
        </w:rPr>
        <w:t>附件</w:t>
      </w:r>
      <w:r>
        <w:rPr>
          <w:rFonts w:hint="default" w:ascii="Times New Roman" w:hAnsi="Times New Roman" w:eastAsia="方正仿宋_GB2312" w:cs="Times New Roman"/>
          <w:color w:val="auto"/>
          <w:sz w:val="32"/>
          <w:szCs w:val="32"/>
          <w:highlight w:val="none"/>
          <w:shd w:val="clear" w:color="auto" w:fill="FFFFFF"/>
          <w:lang w:eastAsia="zh"/>
        </w:rPr>
        <w:t>：</w:t>
      </w:r>
      <w:r>
        <w:rPr>
          <w:rFonts w:hint="default" w:ascii="Times New Roman" w:hAnsi="Times New Roman" w:eastAsia="方正仿宋_GB2312" w:cs="Times New Roman"/>
          <w:color w:val="auto"/>
          <w:sz w:val="32"/>
          <w:szCs w:val="32"/>
          <w:highlight w:val="none"/>
          <w:shd w:val="clear" w:color="auto" w:fill="FFFFFF"/>
          <w:lang w:val="en-US" w:eastAsia="zh-CN"/>
        </w:rPr>
        <w:t>泸定县公安局</w:t>
      </w:r>
      <w:r>
        <w:rPr>
          <w:rFonts w:hint="default" w:ascii="Times New Roman" w:hAnsi="Times New Roman" w:eastAsia="方正仿宋_GB2312" w:cs="Times New Roman"/>
          <w:color w:val="auto"/>
          <w:sz w:val="32"/>
          <w:szCs w:val="32"/>
          <w:highlight w:val="none"/>
          <w:shd w:val="clear" w:color="auto" w:fill="FFFFFF"/>
          <w:lang w:eastAsia="zh-CN"/>
        </w:rPr>
        <w:t>部门整体支出绩效评价指标体系表（评分表）</w:t>
      </w:r>
    </w:p>
    <w:p w14:paraId="03CDB3A5">
      <w:pPr>
        <w:pStyle w:val="7"/>
        <w:rPr>
          <w:rFonts w:hint="default" w:ascii="Times New Roman" w:hAnsi="Times New Roman" w:eastAsia="仿宋" w:cs="Times New Roman"/>
          <w:b w:val="0"/>
          <w:bCs w:val="0"/>
          <w:color w:val="auto"/>
          <w:sz w:val="32"/>
          <w:szCs w:val="32"/>
          <w:highlight w:val="none"/>
          <w:lang w:val="en-US" w:eastAsia="zh-CN"/>
        </w:rPr>
      </w:pPr>
    </w:p>
    <w:p w14:paraId="5D572EA3">
      <w:pPr>
        <w:ind w:left="0" w:leftChars="0" w:firstLine="0" w:firstLineChars="0"/>
        <w:rPr>
          <w:rFonts w:hint="default" w:ascii="Times New Roman" w:hAnsi="Times New Roman" w:cs="Times New Roman"/>
          <w:sz w:val="32"/>
          <w:szCs w:val="32"/>
          <w:highlight w:val="none"/>
          <w:lang w:val="en-US" w:eastAsia="zh-CN"/>
        </w:rPr>
      </w:pPr>
    </w:p>
    <w:p w14:paraId="756C4DE7">
      <w:pPr>
        <w:ind w:left="0" w:leftChars="0" w:firstLine="0" w:firstLineChars="0"/>
        <w:rPr>
          <w:rFonts w:hint="default" w:ascii="Times New Roman" w:hAnsi="Times New Roman" w:cs="Times New Roman"/>
          <w:sz w:val="32"/>
          <w:szCs w:val="32"/>
          <w:highlight w:val="none"/>
          <w:lang w:val="en-US" w:eastAsia="zh-CN"/>
        </w:rPr>
      </w:pPr>
    </w:p>
    <w:p w14:paraId="32E9C1C5">
      <w:pPr>
        <w:ind w:left="0" w:leftChars="0" w:firstLine="0" w:firstLineChars="0"/>
        <w:rPr>
          <w:rFonts w:hint="default" w:ascii="Times New Roman" w:hAnsi="Times New Roman" w:cs="Times New Roman"/>
          <w:sz w:val="32"/>
          <w:szCs w:val="32"/>
          <w:highlight w:val="none"/>
          <w:lang w:val="en-US" w:eastAsia="zh-CN"/>
        </w:rPr>
      </w:pPr>
      <w:bookmarkStart w:id="153" w:name="_GoBack"/>
      <w:bookmarkEnd w:id="153"/>
    </w:p>
    <w:p w14:paraId="599F7CA8">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仿宋" w:cs="Times New Roman"/>
          <w:b w:val="0"/>
          <w:bCs w:val="0"/>
          <w:sz w:val="32"/>
          <w:szCs w:val="32"/>
          <w:highlight w:val="none"/>
          <w:lang w:eastAsia="zh-CN"/>
        </w:rPr>
        <w:t>　　　　</w:t>
      </w:r>
      <w:r>
        <w:rPr>
          <w:rFonts w:hint="default" w:ascii="Times New Roman" w:hAnsi="Times New Roman" w:eastAsia="方正仿宋_GB2312" w:cs="Times New Roman"/>
          <w:sz w:val="32"/>
          <w:szCs w:val="32"/>
          <w:highlight w:val="none"/>
        </w:rPr>
        <w:t>泸定县财政局</w:t>
      </w:r>
    </w:p>
    <w:p w14:paraId="567E22FB">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方正仿宋_GB2312" w:cs="Times New Roman"/>
          <w:sz w:val="32"/>
          <w:szCs w:val="32"/>
          <w:highlight w:val="none"/>
        </w:rPr>
        <w:t>　　　　　　　　　　　2025年11月11日</w:t>
      </w:r>
    </w:p>
    <w:p w14:paraId="5C4C81A5">
      <w:pPr>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default" w:ascii="Times New Roman" w:hAnsi="Times New Roman" w:eastAsia="方正仿宋_GB2312" w:cs="Times New Roman"/>
          <w:sz w:val="32"/>
          <w:szCs w:val="32"/>
          <w:highlight w:val="none"/>
          <w:lang w:val="en-US" w:eastAsia="zh-CN"/>
        </w:rPr>
      </w:pPr>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1" w:fontKey="{54BD03AD-A611-4E74-A418-D4A6DCD9E3FA}"/>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19C66484-17F3-44AC-9A00-0CC59EA10AC7}"/>
  </w:font>
  <w:font w:name="方正黑体简体">
    <w:panose1 w:val="03000509000000000000"/>
    <w:charset w:val="86"/>
    <w:family w:val="auto"/>
    <w:pitch w:val="default"/>
    <w:sig w:usb0="00000001" w:usb1="080E0000" w:usb2="00000000" w:usb3="00000000" w:csb0="00040000" w:csb1="00000000"/>
    <w:embedRegular r:id="rId3" w:fontKey="{5D8230CE-7CAA-449A-9FF1-B4284D8DC8F6}"/>
  </w:font>
  <w:font w:name="方正楷体简体">
    <w:panose1 w:val="03000509000000000000"/>
    <w:charset w:val="86"/>
    <w:family w:val="auto"/>
    <w:pitch w:val="default"/>
    <w:sig w:usb0="00000001" w:usb1="080E0000" w:usb2="00000000" w:usb3="00000000" w:csb0="00040000" w:csb1="00000000"/>
    <w:embedRegular r:id="rId4" w:fontKey="{76B25AF4-1BE8-4D6C-9938-FD90358D10D3}"/>
  </w:font>
  <w:font w:name="方正小标宋简体">
    <w:panose1 w:val="03000509000000000000"/>
    <w:charset w:val="86"/>
    <w:family w:val="auto"/>
    <w:pitch w:val="default"/>
    <w:sig w:usb0="00000001" w:usb1="080E0000" w:usb2="00000000" w:usb3="00000000" w:csb0="00040000" w:csb1="00000000"/>
    <w:embedRegular r:id="rId5" w:fontKey="{971263B7-9169-4273-AF4B-3FBC8B89458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8212C5"/>
    <w:rsid w:val="02A14C7A"/>
    <w:rsid w:val="02B56978"/>
    <w:rsid w:val="031D77B8"/>
    <w:rsid w:val="03435D32"/>
    <w:rsid w:val="034B0AC6"/>
    <w:rsid w:val="03BD26AA"/>
    <w:rsid w:val="03C46413"/>
    <w:rsid w:val="03F043C9"/>
    <w:rsid w:val="03F5560D"/>
    <w:rsid w:val="05370DC3"/>
    <w:rsid w:val="05704583"/>
    <w:rsid w:val="05AE5131"/>
    <w:rsid w:val="05DC421B"/>
    <w:rsid w:val="069B1F26"/>
    <w:rsid w:val="06E2185D"/>
    <w:rsid w:val="071C5217"/>
    <w:rsid w:val="074574B7"/>
    <w:rsid w:val="077F711D"/>
    <w:rsid w:val="0815093A"/>
    <w:rsid w:val="08280844"/>
    <w:rsid w:val="08321414"/>
    <w:rsid w:val="08BC09C7"/>
    <w:rsid w:val="08CA0DBA"/>
    <w:rsid w:val="0AA10A64"/>
    <w:rsid w:val="0AAA2B3A"/>
    <w:rsid w:val="0BD10723"/>
    <w:rsid w:val="0C0A3890"/>
    <w:rsid w:val="0C82214A"/>
    <w:rsid w:val="0C950079"/>
    <w:rsid w:val="0CC90B55"/>
    <w:rsid w:val="0CF63E15"/>
    <w:rsid w:val="0D4639D6"/>
    <w:rsid w:val="0D7C008D"/>
    <w:rsid w:val="0DA06897"/>
    <w:rsid w:val="0DF462ED"/>
    <w:rsid w:val="0DF90060"/>
    <w:rsid w:val="0E19564B"/>
    <w:rsid w:val="0E3E5A73"/>
    <w:rsid w:val="0E522B49"/>
    <w:rsid w:val="0E5E23AA"/>
    <w:rsid w:val="0E6050D4"/>
    <w:rsid w:val="0E7F3C56"/>
    <w:rsid w:val="0EE4486D"/>
    <w:rsid w:val="0EF40828"/>
    <w:rsid w:val="0EF610D2"/>
    <w:rsid w:val="0EF97BEC"/>
    <w:rsid w:val="0F207817"/>
    <w:rsid w:val="0F24115F"/>
    <w:rsid w:val="0F7D48CD"/>
    <w:rsid w:val="0F895427"/>
    <w:rsid w:val="0FA36556"/>
    <w:rsid w:val="100F5919"/>
    <w:rsid w:val="10607EBA"/>
    <w:rsid w:val="10857989"/>
    <w:rsid w:val="10A609B0"/>
    <w:rsid w:val="10C177C0"/>
    <w:rsid w:val="10FB12CE"/>
    <w:rsid w:val="11034D52"/>
    <w:rsid w:val="11641A35"/>
    <w:rsid w:val="11A54F88"/>
    <w:rsid w:val="11A55E09"/>
    <w:rsid w:val="1256364C"/>
    <w:rsid w:val="12F71BB3"/>
    <w:rsid w:val="13445E84"/>
    <w:rsid w:val="13463C67"/>
    <w:rsid w:val="134E407D"/>
    <w:rsid w:val="136916A0"/>
    <w:rsid w:val="13BF191E"/>
    <w:rsid w:val="13DD5D2E"/>
    <w:rsid w:val="144B4CE8"/>
    <w:rsid w:val="14827494"/>
    <w:rsid w:val="14DA48CB"/>
    <w:rsid w:val="14DA73CD"/>
    <w:rsid w:val="151B6B0E"/>
    <w:rsid w:val="155B04E5"/>
    <w:rsid w:val="15762967"/>
    <w:rsid w:val="15C0420D"/>
    <w:rsid w:val="15C42D02"/>
    <w:rsid w:val="16310CFC"/>
    <w:rsid w:val="164E7445"/>
    <w:rsid w:val="16521418"/>
    <w:rsid w:val="167B192A"/>
    <w:rsid w:val="16BA737C"/>
    <w:rsid w:val="17404D18"/>
    <w:rsid w:val="178D5376"/>
    <w:rsid w:val="179E79D9"/>
    <w:rsid w:val="17FD7EEE"/>
    <w:rsid w:val="180A196B"/>
    <w:rsid w:val="181B0371"/>
    <w:rsid w:val="186A5A33"/>
    <w:rsid w:val="18A93AFC"/>
    <w:rsid w:val="18DA3FE0"/>
    <w:rsid w:val="18DD5A8A"/>
    <w:rsid w:val="195A2D50"/>
    <w:rsid w:val="196B6F54"/>
    <w:rsid w:val="19CD71FA"/>
    <w:rsid w:val="19E605C7"/>
    <w:rsid w:val="1A48253C"/>
    <w:rsid w:val="1A6A4D9F"/>
    <w:rsid w:val="1A94413A"/>
    <w:rsid w:val="1AC02064"/>
    <w:rsid w:val="1AF776D6"/>
    <w:rsid w:val="1B0B2AA5"/>
    <w:rsid w:val="1B334486"/>
    <w:rsid w:val="1B935FAE"/>
    <w:rsid w:val="1BDF6BC8"/>
    <w:rsid w:val="1C2C3D72"/>
    <w:rsid w:val="1C535707"/>
    <w:rsid w:val="1C580E62"/>
    <w:rsid w:val="1C975E00"/>
    <w:rsid w:val="1D046172"/>
    <w:rsid w:val="1D484219"/>
    <w:rsid w:val="1D4F18C5"/>
    <w:rsid w:val="1D9A1CE4"/>
    <w:rsid w:val="1DD67D6F"/>
    <w:rsid w:val="1E036392"/>
    <w:rsid w:val="1E0C3498"/>
    <w:rsid w:val="1ED16069"/>
    <w:rsid w:val="1ED24185"/>
    <w:rsid w:val="1ED35C04"/>
    <w:rsid w:val="1ED903FD"/>
    <w:rsid w:val="1EE16233"/>
    <w:rsid w:val="1EFB57A6"/>
    <w:rsid w:val="1F372797"/>
    <w:rsid w:val="1F406C39"/>
    <w:rsid w:val="1FB262C1"/>
    <w:rsid w:val="1FD20322"/>
    <w:rsid w:val="1FE92B41"/>
    <w:rsid w:val="1FFEDEEE"/>
    <w:rsid w:val="201E1FEE"/>
    <w:rsid w:val="202E7632"/>
    <w:rsid w:val="20533B33"/>
    <w:rsid w:val="207456E4"/>
    <w:rsid w:val="209A0D21"/>
    <w:rsid w:val="20A3724F"/>
    <w:rsid w:val="20CB7E98"/>
    <w:rsid w:val="21CC56B8"/>
    <w:rsid w:val="21F711A6"/>
    <w:rsid w:val="22460F43"/>
    <w:rsid w:val="22612BC4"/>
    <w:rsid w:val="2297354C"/>
    <w:rsid w:val="22DD16D2"/>
    <w:rsid w:val="22F7E8FF"/>
    <w:rsid w:val="234C0C7F"/>
    <w:rsid w:val="23A67EEB"/>
    <w:rsid w:val="23F46FD7"/>
    <w:rsid w:val="24283899"/>
    <w:rsid w:val="242A734D"/>
    <w:rsid w:val="24436E8F"/>
    <w:rsid w:val="248C4080"/>
    <w:rsid w:val="24C04FDC"/>
    <w:rsid w:val="24FD16C3"/>
    <w:rsid w:val="25F533FB"/>
    <w:rsid w:val="26331263"/>
    <w:rsid w:val="263F3713"/>
    <w:rsid w:val="265058AE"/>
    <w:rsid w:val="265F3B15"/>
    <w:rsid w:val="269C2300"/>
    <w:rsid w:val="271534C4"/>
    <w:rsid w:val="271E56C4"/>
    <w:rsid w:val="27391076"/>
    <w:rsid w:val="273B0505"/>
    <w:rsid w:val="277338DD"/>
    <w:rsid w:val="27A6495D"/>
    <w:rsid w:val="27F31AB9"/>
    <w:rsid w:val="27F60C89"/>
    <w:rsid w:val="27FFC5C7"/>
    <w:rsid w:val="282B56B9"/>
    <w:rsid w:val="28371A2F"/>
    <w:rsid w:val="284452E7"/>
    <w:rsid w:val="28523CBE"/>
    <w:rsid w:val="28757938"/>
    <w:rsid w:val="28860508"/>
    <w:rsid w:val="28950ECF"/>
    <w:rsid w:val="291B3F45"/>
    <w:rsid w:val="294B0B24"/>
    <w:rsid w:val="29581F66"/>
    <w:rsid w:val="29942B89"/>
    <w:rsid w:val="2A0E67EA"/>
    <w:rsid w:val="2A14341E"/>
    <w:rsid w:val="2A257690"/>
    <w:rsid w:val="2A817549"/>
    <w:rsid w:val="2AC554D1"/>
    <w:rsid w:val="2ADB2B70"/>
    <w:rsid w:val="2B275DB5"/>
    <w:rsid w:val="2B625A5F"/>
    <w:rsid w:val="2BBE5215"/>
    <w:rsid w:val="2BD70482"/>
    <w:rsid w:val="2C2F0835"/>
    <w:rsid w:val="2CBB4441"/>
    <w:rsid w:val="2CC80ED2"/>
    <w:rsid w:val="2CD1263C"/>
    <w:rsid w:val="2CF37A27"/>
    <w:rsid w:val="2CF74E38"/>
    <w:rsid w:val="2D241E80"/>
    <w:rsid w:val="2D324D1A"/>
    <w:rsid w:val="2D525A3B"/>
    <w:rsid w:val="2D6319D3"/>
    <w:rsid w:val="2D9D27E0"/>
    <w:rsid w:val="2DE812E1"/>
    <w:rsid w:val="2E750BE6"/>
    <w:rsid w:val="2E7B50BC"/>
    <w:rsid w:val="2E982D28"/>
    <w:rsid w:val="2EAE40F8"/>
    <w:rsid w:val="2ED1320F"/>
    <w:rsid w:val="2F040BD9"/>
    <w:rsid w:val="2F3274A5"/>
    <w:rsid w:val="2FBBA5AB"/>
    <w:rsid w:val="2FBF381C"/>
    <w:rsid w:val="2FC260AC"/>
    <w:rsid w:val="2FD91648"/>
    <w:rsid w:val="2FEF2A5C"/>
    <w:rsid w:val="3052247A"/>
    <w:rsid w:val="305D77B8"/>
    <w:rsid w:val="3090670D"/>
    <w:rsid w:val="312B48AF"/>
    <w:rsid w:val="31B5579D"/>
    <w:rsid w:val="32072C66"/>
    <w:rsid w:val="32A47AB4"/>
    <w:rsid w:val="32CB27BC"/>
    <w:rsid w:val="33105381"/>
    <w:rsid w:val="336B6A5B"/>
    <w:rsid w:val="337B49B9"/>
    <w:rsid w:val="33BD27DF"/>
    <w:rsid w:val="33EB569F"/>
    <w:rsid w:val="33FA0C54"/>
    <w:rsid w:val="34113BD6"/>
    <w:rsid w:val="34140406"/>
    <w:rsid w:val="342C7375"/>
    <w:rsid w:val="344B590E"/>
    <w:rsid w:val="34B42BB5"/>
    <w:rsid w:val="34C73C1C"/>
    <w:rsid w:val="350D6544"/>
    <w:rsid w:val="35EE2E3C"/>
    <w:rsid w:val="36001598"/>
    <w:rsid w:val="360308FA"/>
    <w:rsid w:val="36527A5E"/>
    <w:rsid w:val="36870F62"/>
    <w:rsid w:val="369B1CB2"/>
    <w:rsid w:val="36BF54EC"/>
    <w:rsid w:val="36C17759"/>
    <w:rsid w:val="36DC449D"/>
    <w:rsid w:val="36F56951"/>
    <w:rsid w:val="37E36263"/>
    <w:rsid w:val="37EE368E"/>
    <w:rsid w:val="38554F2F"/>
    <w:rsid w:val="38693545"/>
    <w:rsid w:val="38C96200"/>
    <w:rsid w:val="38D85C62"/>
    <w:rsid w:val="390E6F8C"/>
    <w:rsid w:val="39131F2C"/>
    <w:rsid w:val="39374DDA"/>
    <w:rsid w:val="393C614A"/>
    <w:rsid w:val="39411EEC"/>
    <w:rsid w:val="39935632"/>
    <w:rsid w:val="39E6508D"/>
    <w:rsid w:val="3A3949DD"/>
    <w:rsid w:val="3A4A7C37"/>
    <w:rsid w:val="3A7649A2"/>
    <w:rsid w:val="3A81279A"/>
    <w:rsid w:val="3ABA2E1E"/>
    <w:rsid w:val="3AE5274E"/>
    <w:rsid w:val="3B072D35"/>
    <w:rsid w:val="3B3301C2"/>
    <w:rsid w:val="3B626037"/>
    <w:rsid w:val="3BD70C1C"/>
    <w:rsid w:val="3C065573"/>
    <w:rsid w:val="3C4B567C"/>
    <w:rsid w:val="3C837FE5"/>
    <w:rsid w:val="3CB15DE8"/>
    <w:rsid w:val="3D1F22E5"/>
    <w:rsid w:val="3D3960CA"/>
    <w:rsid w:val="3D741DDE"/>
    <w:rsid w:val="3D997564"/>
    <w:rsid w:val="3DB744C0"/>
    <w:rsid w:val="3DB8289D"/>
    <w:rsid w:val="3DE71DBA"/>
    <w:rsid w:val="3DE87F46"/>
    <w:rsid w:val="3DFC2E05"/>
    <w:rsid w:val="3E0D7049"/>
    <w:rsid w:val="3E144470"/>
    <w:rsid w:val="3E432DCF"/>
    <w:rsid w:val="3E8E1632"/>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69560F"/>
    <w:rsid w:val="412070D7"/>
    <w:rsid w:val="41322966"/>
    <w:rsid w:val="41670862"/>
    <w:rsid w:val="41731B45"/>
    <w:rsid w:val="41B8730F"/>
    <w:rsid w:val="41DC7289"/>
    <w:rsid w:val="41FD2ABB"/>
    <w:rsid w:val="421C165C"/>
    <w:rsid w:val="42811671"/>
    <w:rsid w:val="428B71EF"/>
    <w:rsid w:val="42A2347D"/>
    <w:rsid w:val="43251644"/>
    <w:rsid w:val="43802285"/>
    <w:rsid w:val="43A7F1A6"/>
    <w:rsid w:val="43D2284D"/>
    <w:rsid w:val="43ED42A2"/>
    <w:rsid w:val="44865DC2"/>
    <w:rsid w:val="44986F84"/>
    <w:rsid w:val="44A86EA6"/>
    <w:rsid w:val="44B03869"/>
    <w:rsid w:val="44B958DC"/>
    <w:rsid w:val="44E65F41"/>
    <w:rsid w:val="44FE2B7A"/>
    <w:rsid w:val="45221C05"/>
    <w:rsid w:val="45576E3F"/>
    <w:rsid w:val="455812EC"/>
    <w:rsid w:val="456F5F37"/>
    <w:rsid w:val="45761D23"/>
    <w:rsid w:val="4593493B"/>
    <w:rsid w:val="459B16D3"/>
    <w:rsid w:val="459E4A6E"/>
    <w:rsid w:val="45F31D67"/>
    <w:rsid w:val="45FF29D4"/>
    <w:rsid w:val="462A15BD"/>
    <w:rsid w:val="4633306D"/>
    <w:rsid w:val="46625636"/>
    <w:rsid w:val="46E2098A"/>
    <w:rsid w:val="4712301E"/>
    <w:rsid w:val="47970F04"/>
    <w:rsid w:val="48D56225"/>
    <w:rsid w:val="493C0826"/>
    <w:rsid w:val="49971F5E"/>
    <w:rsid w:val="49D23684"/>
    <w:rsid w:val="49E41186"/>
    <w:rsid w:val="49F243D5"/>
    <w:rsid w:val="4A3F0AC3"/>
    <w:rsid w:val="4A6E0EB3"/>
    <w:rsid w:val="4AD1435D"/>
    <w:rsid w:val="4AFA2C7B"/>
    <w:rsid w:val="4B0435C5"/>
    <w:rsid w:val="4B58271A"/>
    <w:rsid w:val="4B6B11A9"/>
    <w:rsid w:val="4B9C6B82"/>
    <w:rsid w:val="4BD62F9E"/>
    <w:rsid w:val="4BDE4024"/>
    <w:rsid w:val="4C1635B0"/>
    <w:rsid w:val="4C907F6D"/>
    <w:rsid w:val="4CA46E0E"/>
    <w:rsid w:val="4CAE35BE"/>
    <w:rsid w:val="4CFC2039"/>
    <w:rsid w:val="4D101EA3"/>
    <w:rsid w:val="4D3E2370"/>
    <w:rsid w:val="4D6E449B"/>
    <w:rsid w:val="4F0A34DF"/>
    <w:rsid w:val="4F5F5C7E"/>
    <w:rsid w:val="4F7241B1"/>
    <w:rsid w:val="4FCD04DF"/>
    <w:rsid w:val="4FF7181A"/>
    <w:rsid w:val="4FFE309A"/>
    <w:rsid w:val="507D0BBC"/>
    <w:rsid w:val="507E6B2A"/>
    <w:rsid w:val="51290B58"/>
    <w:rsid w:val="51381763"/>
    <w:rsid w:val="51842D6A"/>
    <w:rsid w:val="51960840"/>
    <w:rsid w:val="51D7639A"/>
    <w:rsid w:val="51E2208C"/>
    <w:rsid w:val="5221572C"/>
    <w:rsid w:val="52265F38"/>
    <w:rsid w:val="52291B63"/>
    <w:rsid w:val="52EF2BDF"/>
    <w:rsid w:val="535B753F"/>
    <w:rsid w:val="53B16AD7"/>
    <w:rsid w:val="53C20FB2"/>
    <w:rsid w:val="543748C0"/>
    <w:rsid w:val="54B716A8"/>
    <w:rsid w:val="55516FE9"/>
    <w:rsid w:val="55681707"/>
    <w:rsid w:val="55AC2CD2"/>
    <w:rsid w:val="55B812E3"/>
    <w:rsid w:val="55D82153"/>
    <w:rsid w:val="561A2F05"/>
    <w:rsid w:val="566E5A78"/>
    <w:rsid w:val="56A7003A"/>
    <w:rsid w:val="575D29C4"/>
    <w:rsid w:val="577B4EF8"/>
    <w:rsid w:val="57950BEC"/>
    <w:rsid w:val="579A41D9"/>
    <w:rsid w:val="57BD01C5"/>
    <w:rsid w:val="57BE73BD"/>
    <w:rsid w:val="57C56C55"/>
    <w:rsid w:val="57E13BCA"/>
    <w:rsid w:val="57EAF5E5"/>
    <w:rsid w:val="58334AD1"/>
    <w:rsid w:val="5864421C"/>
    <w:rsid w:val="58F55AD6"/>
    <w:rsid w:val="5901172B"/>
    <w:rsid w:val="59561F19"/>
    <w:rsid w:val="596B1981"/>
    <w:rsid w:val="59821BED"/>
    <w:rsid w:val="59CF4D9E"/>
    <w:rsid w:val="59DE4A58"/>
    <w:rsid w:val="5AB4383C"/>
    <w:rsid w:val="5AED719F"/>
    <w:rsid w:val="5B0A7A07"/>
    <w:rsid w:val="5B1433B1"/>
    <w:rsid w:val="5B1D293F"/>
    <w:rsid w:val="5B353327"/>
    <w:rsid w:val="5B3C271A"/>
    <w:rsid w:val="5B3F384B"/>
    <w:rsid w:val="5B5F5E1B"/>
    <w:rsid w:val="5B685559"/>
    <w:rsid w:val="5B8F6EDB"/>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A82B76"/>
    <w:rsid w:val="5EB1D3F4"/>
    <w:rsid w:val="5ECB38AD"/>
    <w:rsid w:val="5EDB5F93"/>
    <w:rsid w:val="5F246AEA"/>
    <w:rsid w:val="5F3B183F"/>
    <w:rsid w:val="5F5617FE"/>
    <w:rsid w:val="5F562031"/>
    <w:rsid w:val="5F774ACC"/>
    <w:rsid w:val="5F9C373E"/>
    <w:rsid w:val="5FBF7263"/>
    <w:rsid w:val="5FCF84ED"/>
    <w:rsid w:val="5FDFC83C"/>
    <w:rsid w:val="5FF7A0DE"/>
    <w:rsid w:val="60017C7C"/>
    <w:rsid w:val="6020741B"/>
    <w:rsid w:val="60695F4D"/>
    <w:rsid w:val="60873EC4"/>
    <w:rsid w:val="608914CC"/>
    <w:rsid w:val="6094289E"/>
    <w:rsid w:val="60A725D1"/>
    <w:rsid w:val="60F11867"/>
    <w:rsid w:val="61035425"/>
    <w:rsid w:val="61492D1C"/>
    <w:rsid w:val="615C16D6"/>
    <w:rsid w:val="618A3DC3"/>
    <w:rsid w:val="61AD5D8E"/>
    <w:rsid w:val="61C15430"/>
    <w:rsid w:val="61E46B12"/>
    <w:rsid w:val="62102CE3"/>
    <w:rsid w:val="62222B09"/>
    <w:rsid w:val="62311D7E"/>
    <w:rsid w:val="62350D51"/>
    <w:rsid w:val="627C5614"/>
    <w:rsid w:val="62BA758E"/>
    <w:rsid w:val="62BB6119"/>
    <w:rsid w:val="62D11B87"/>
    <w:rsid w:val="630D7F41"/>
    <w:rsid w:val="630F26B0"/>
    <w:rsid w:val="636724EC"/>
    <w:rsid w:val="636C18B0"/>
    <w:rsid w:val="63A71F74"/>
    <w:rsid w:val="63ED0D4F"/>
    <w:rsid w:val="64FE5F84"/>
    <w:rsid w:val="652F1904"/>
    <w:rsid w:val="65835D1E"/>
    <w:rsid w:val="65BF660F"/>
    <w:rsid w:val="65C7404D"/>
    <w:rsid w:val="65F17436"/>
    <w:rsid w:val="66BB8914"/>
    <w:rsid w:val="66C0483B"/>
    <w:rsid w:val="66CC410D"/>
    <w:rsid w:val="66EE54A9"/>
    <w:rsid w:val="67152FB8"/>
    <w:rsid w:val="67551304"/>
    <w:rsid w:val="676254A4"/>
    <w:rsid w:val="678D0D6C"/>
    <w:rsid w:val="67AB4C59"/>
    <w:rsid w:val="67C96B35"/>
    <w:rsid w:val="67D8ED11"/>
    <w:rsid w:val="684306E9"/>
    <w:rsid w:val="68723580"/>
    <w:rsid w:val="68994500"/>
    <w:rsid w:val="69172000"/>
    <w:rsid w:val="697F1380"/>
    <w:rsid w:val="699A1F8A"/>
    <w:rsid w:val="69A93917"/>
    <w:rsid w:val="69F84725"/>
    <w:rsid w:val="6A4A3BFD"/>
    <w:rsid w:val="6B43739A"/>
    <w:rsid w:val="6BFFA4D9"/>
    <w:rsid w:val="6C196A9A"/>
    <w:rsid w:val="6C590980"/>
    <w:rsid w:val="6C75429C"/>
    <w:rsid w:val="6C7D23DE"/>
    <w:rsid w:val="6C8163CC"/>
    <w:rsid w:val="6C862912"/>
    <w:rsid w:val="6CFA1652"/>
    <w:rsid w:val="6CFD7E08"/>
    <w:rsid w:val="6D0F4A6A"/>
    <w:rsid w:val="6D3D4391"/>
    <w:rsid w:val="6D4F2BB4"/>
    <w:rsid w:val="6D8E68B6"/>
    <w:rsid w:val="6DB91B96"/>
    <w:rsid w:val="6DCD214C"/>
    <w:rsid w:val="6E3C3302"/>
    <w:rsid w:val="6E7E0482"/>
    <w:rsid w:val="6E7F1593"/>
    <w:rsid w:val="6E8B15BA"/>
    <w:rsid w:val="6EC3F98A"/>
    <w:rsid w:val="6EDE010C"/>
    <w:rsid w:val="6EFE7E0F"/>
    <w:rsid w:val="6F5F3DDC"/>
    <w:rsid w:val="6FBF4705"/>
    <w:rsid w:val="6FC06BC3"/>
    <w:rsid w:val="6FC24E02"/>
    <w:rsid w:val="6FCD2B35"/>
    <w:rsid w:val="6FEFDAF3"/>
    <w:rsid w:val="6FF658FB"/>
    <w:rsid w:val="6FFB1FF0"/>
    <w:rsid w:val="6FFEF6BD"/>
    <w:rsid w:val="70161521"/>
    <w:rsid w:val="70756248"/>
    <w:rsid w:val="70983CE4"/>
    <w:rsid w:val="70BB65E4"/>
    <w:rsid w:val="70E817A2"/>
    <w:rsid w:val="70EF71B7"/>
    <w:rsid w:val="70FAFB2A"/>
    <w:rsid w:val="71506ACE"/>
    <w:rsid w:val="716138A0"/>
    <w:rsid w:val="716314ED"/>
    <w:rsid w:val="71753151"/>
    <w:rsid w:val="71867FE1"/>
    <w:rsid w:val="71A73D3E"/>
    <w:rsid w:val="71D4087A"/>
    <w:rsid w:val="71E34413"/>
    <w:rsid w:val="71FE401B"/>
    <w:rsid w:val="72446185"/>
    <w:rsid w:val="726A16B0"/>
    <w:rsid w:val="727D4F24"/>
    <w:rsid w:val="72822E9E"/>
    <w:rsid w:val="72A146DD"/>
    <w:rsid w:val="72A70FAA"/>
    <w:rsid w:val="72DD1E82"/>
    <w:rsid w:val="72E66F89"/>
    <w:rsid w:val="73113F43"/>
    <w:rsid w:val="734944D8"/>
    <w:rsid w:val="7357511D"/>
    <w:rsid w:val="737446DD"/>
    <w:rsid w:val="737A3B75"/>
    <w:rsid w:val="737C1264"/>
    <w:rsid w:val="739B12EB"/>
    <w:rsid w:val="73AB6533"/>
    <w:rsid w:val="74620891"/>
    <w:rsid w:val="74D774D1"/>
    <w:rsid w:val="74E42203"/>
    <w:rsid w:val="751F197F"/>
    <w:rsid w:val="75297601"/>
    <w:rsid w:val="752C5839"/>
    <w:rsid w:val="758650B4"/>
    <w:rsid w:val="759E9462"/>
    <w:rsid w:val="75AB7F59"/>
    <w:rsid w:val="75D9457B"/>
    <w:rsid w:val="75E579CC"/>
    <w:rsid w:val="7613520C"/>
    <w:rsid w:val="76301170"/>
    <w:rsid w:val="763E70DC"/>
    <w:rsid w:val="76937428"/>
    <w:rsid w:val="76EB7264"/>
    <w:rsid w:val="76EEE66D"/>
    <w:rsid w:val="76EF82A2"/>
    <w:rsid w:val="76F20DAE"/>
    <w:rsid w:val="76FBFBCD"/>
    <w:rsid w:val="77245415"/>
    <w:rsid w:val="77503BA8"/>
    <w:rsid w:val="77B627D2"/>
    <w:rsid w:val="77BDFB3C"/>
    <w:rsid w:val="77BF2551"/>
    <w:rsid w:val="77CB4ADD"/>
    <w:rsid w:val="77F50D0E"/>
    <w:rsid w:val="77FCCDF3"/>
    <w:rsid w:val="7821727C"/>
    <w:rsid w:val="78243701"/>
    <w:rsid w:val="782E0A91"/>
    <w:rsid w:val="7866291A"/>
    <w:rsid w:val="788E7EA5"/>
    <w:rsid w:val="78F74A7F"/>
    <w:rsid w:val="7922343B"/>
    <w:rsid w:val="7926388B"/>
    <w:rsid w:val="79521C10"/>
    <w:rsid w:val="795E17F1"/>
    <w:rsid w:val="795FF9E4"/>
    <w:rsid w:val="79D42C0A"/>
    <w:rsid w:val="79FFF26D"/>
    <w:rsid w:val="7A142583"/>
    <w:rsid w:val="7A267238"/>
    <w:rsid w:val="7A30225F"/>
    <w:rsid w:val="7AAE7979"/>
    <w:rsid w:val="7AD5E80B"/>
    <w:rsid w:val="7AE7FD2B"/>
    <w:rsid w:val="7AF3D7EA"/>
    <w:rsid w:val="7AFE98C0"/>
    <w:rsid w:val="7B0A37F3"/>
    <w:rsid w:val="7B2EC99E"/>
    <w:rsid w:val="7B3E4BF5"/>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154BC6"/>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next w:val="1"/>
    <w:qFormat/>
    <w:uiPriority w:val="0"/>
    <w:pPr>
      <w:spacing w:after="120"/>
    </w:pPr>
    <w:rPr>
      <w:rFonts w:ascii="Calibri" w:hAnsi="Calibri"/>
      <w:kern w:val="0"/>
      <w:szCs w:val="20"/>
    </w:rPr>
  </w:style>
  <w:style w:type="paragraph" w:styleId="8">
    <w:name w:val="Body Text Indent"/>
    <w:basedOn w:val="1"/>
    <w:link w:val="42"/>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next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41"/>
    <w:qFormat/>
    <w:uiPriority w:val="10"/>
    <w:pPr>
      <w:spacing w:before="240" w:after="60"/>
      <w:jc w:val="center"/>
      <w:outlineLvl w:val="0"/>
    </w:pPr>
    <w:rPr>
      <w:rFonts w:ascii="Arial" w:hAnsi="Arial"/>
      <w:b/>
      <w:sz w:val="32"/>
    </w:rPr>
  </w:style>
  <w:style w:type="paragraph" w:styleId="17">
    <w:name w:val="Body Text First Indent 2"/>
    <w:basedOn w:val="8"/>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5">
    <w:name w:val="Default"/>
    <w:next w:val="26"/>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6">
    <w:name w:val="_Style 1"/>
    <w:basedOn w:val="1"/>
    <w:next w:val="1"/>
    <w:qFormat/>
    <w:uiPriority w:val="0"/>
    <w:pPr>
      <w:pBdr>
        <w:top w:val="single" w:color="auto" w:sz="6" w:space="1"/>
      </w:pBdr>
      <w:jc w:val="center"/>
    </w:pPr>
    <w:rPr>
      <w:rFonts w:ascii="Arial" w:eastAsia="宋体"/>
      <w:vanish/>
      <w:sz w:val="16"/>
    </w:rPr>
  </w:style>
  <w:style w:type="paragraph" w:customStyle="1" w:styleId="27">
    <w:name w:val="常用样式（方正仿宋简）"/>
    <w:basedOn w:val="1"/>
    <w:qFormat/>
    <w:uiPriority w:val="0"/>
    <w:pPr>
      <w:spacing w:line="560" w:lineRule="exact"/>
      <w:ind w:firstLine="640"/>
    </w:pPr>
    <w:rPr>
      <w:rFonts w:eastAsia="仿宋"/>
      <w:sz w:val="32"/>
    </w:rPr>
  </w:style>
  <w:style w:type="character" w:customStyle="1" w:styleId="28">
    <w:name w:val="页眉 字符"/>
    <w:basedOn w:val="20"/>
    <w:link w:val="12"/>
    <w:qFormat/>
    <w:uiPriority w:val="99"/>
    <w:rPr>
      <w:sz w:val="18"/>
      <w:szCs w:val="18"/>
    </w:rPr>
  </w:style>
  <w:style w:type="character" w:customStyle="1" w:styleId="29">
    <w:name w:val="页脚 字符"/>
    <w:basedOn w:val="20"/>
    <w:link w:val="11"/>
    <w:qFormat/>
    <w:uiPriority w:val="99"/>
    <w:rPr>
      <w:sz w:val="18"/>
      <w:szCs w:val="18"/>
    </w:rPr>
  </w:style>
  <w:style w:type="character" w:customStyle="1" w:styleId="30">
    <w:name w:val="font11"/>
    <w:basedOn w:val="20"/>
    <w:qFormat/>
    <w:uiPriority w:val="0"/>
    <w:rPr>
      <w:rFonts w:hint="eastAsia" w:ascii="宋体" w:hAnsi="宋体" w:eastAsia="宋体" w:cs="宋体"/>
      <w:color w:val="000000"/>
      <w:sz w:val="21"/>
      <w:szCs w:val="21"/>
      <w:u w:val="none"/>
    </w:rPr>
  </w:style>
  <w:style w:type="character" w:customStyle="1" w:styleId="31">
    <w:name w:val="font01"/>
    <w:basedOn w:val="20"/>
    <w:qFormat/>
    <w:uiPriority w:val="0"/>
    <w:rPr>
      <w:rFonts w:hint="default" w:ascii="Calibri" w:hAnsi="Calibri" w:cs="Calibri"/>
      <w:color w:val="000000"/>
      <w:sz w:val="21"/>
      <w:szCs w:val="21"/>
      <w:u w:val="none"/>
    </w:rPr>
  </w:style>
  <w:style w:type="character" w:customStyle="1" w:styleId="32">
    <w:name w:val="font71"/>
    <w:basedOn w:val="20"/>
    <w:qFormat/>
    <w:uiPriority w:val="0"/>
    <w:rPr>
      <w:rFonts w:hint="eastAsia" w:ascii="仿宋" w:hAnsi="仿宋" w:eastAsia="仿宋" w:cs="仿宋"/>
      <w:b/>
      <w:color w:val="000000"/>
      <w:sz w:val="24"/>
      <w:szCs w:val="24"/>
      <w:u w:val="none"/>
    </w:rPr>
  </w:style>
  <w:style w:type="character" w:customStyle="1" w:styleId="33">
    <w:name w:val="font51"/>
    <w:basedOn w:val="20"/>
    <w:qFormat/>
    <w:uiPriority w:val="0"/>
    <w:rPr>
      <w:rFonts w:hint="eastAsia" w:ascii="仿宋" w:hAnsi="仿宋" w:eastAsia="仿宋" w:cs="仿宋"/>
      <w:color w:val="000000"/>
      <w:sz w:val="24"/>
      <w:szCs w:val="24"/>
      <w:u w:val="none"/>
    </w:rPr>
  </w:style>
  <w:style w:type="character" w:customStyle="1" w:styleId="34">
    <w:name w:val="font31"/>
    <w:basedOn w:val="20"/>
    <w:qFormat/>
    <w:uiPriority w:val="0"/>
    <w:rPr>
      <w:rFonts w:hint="eastAsia" w:ascii="宋体" w:hAnsi="宋体" w:eastAsia="宋体" w:cs="宋体"/>
      <w:b/>
      <w:color w:val="000000"/>
      <w:sz w:val="22"/>
      <w:szCs w:val="22"/>
      <w:u w:val="none"/>
    </w:rPr>
  </w:style>
  <w:style w:type="character" w:customStyle="1" w:styleId="35">
    <w:name w:val="font21"/>
    <w:basedOn w:val="20"/>
    <w:qFormat/>
    <w:uiPriority w:val="0"/>
    <w:rPr>
      <w:rFonts w:hint="eastAsia" w:ascii="宋体" w:hAnsi="宋体" w:eastAsia="宋体" w:cs="宋体"/>
      <w:color w:val="000000"/>
      <w:sz w:val="20"/>
      <w:szCs w:val="20"/>
      <w:u w:val="none"/>
    </w:rPr>
  </w:style>
  <w:style w:type="character" w:customStyle="1" w:styleId="36">
    <w:name w:val="font41"/>
    <w:basedOn w:val="20"/>
    <w:qFormat/>
    <w:uiPriority w:val="0"/>
    <w:rPr>
      <w:rFonts w:hint="default" w:ascii="Times New Roman" w:hAnsi="Times New Roman" w:cs="Times New Roman"/>
      <w:b/>
      <w:color w:val="000000"/>
      <w:sz w:val="20"/>
      <w:szCs w:val="20"/>
      <w:u w:val="none"/>
    </w:rPr>
  </w:style>
  <w:style w:type="paragraph" w:customStyle="1" w:styleId="37">
    <w:name w:val="WPSOffice手动目录 1"/>
    <w:qFormat/>
    <w:uiPriority w:val="0"/>
    <w:rPr>
      <w:rFonts w:ascii="Times New Roman" w:hAnsi="Times New Roman" w:eastAsia="宋体" w:cs="Times New Roman"/>
      <w:lang w:val="en-US" w:eastAsia="zh-CN" w:bidi="ar-SA"/>
    </w:rPr>
  </w:style>
  <w:style w:type="paragraph" w:customStyle="1" w:styleId="3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
    <w:name w:val="表格"/>
    <w:basedOn w:val="1"/>
    <w:qFormat/>
    <w:uiPriority w:val="0"/>
    <w:rPr>
      <w:rFonts w:hint="eastAsia"/>
      <w:kern w:val="0"/>
      <w:sz w:val="24"/>
      <w:szCs w:val="20"/>
    </w:rPr>
  </w:style>
  <w:style w:type="paragraph" w:customStyle="1" w:styleId="40">
    <w:name w:val="页眉或页脚 (2)"/>
    <w:basedOn w:val="1"/>
    <w:qFormat/>
    <w:uiPriority w:val="0"/>
    <w:rPr>
      <w:rFonts w:eastAsia="Times New Roman" w:cs="Times New Roman"/>
      <w:sz w:val="20"/>
      <w:szCs w:val="20"/>
      <w:lang w:val="zh-CN" w:bidi="zh-CN"/>
    </w:rPr>
  </w:style>
  <w:style w:type="character" w:customStyle="1" w:styleId="41">
    <w:name w:val="标题 字符"/>
    <w:basedOn w:val="20"/>
    <w:link w:val="16"/>
    <w:qFormat/>
    <w:uiPriority w:val="0"/>
    <w:rPr>
      <w:rFonts w:ascii="等线 Light" w:hAnsi="等线 Light" w:eastAsia="等线 Light" w:cs="Times New Roman"/>
      <w:b/>
      <w:bCs/>
      <w:kern w:val="2"/>
      <w:sz w:val="32"/>
      <w:szCs w:val="32"/>
    </w:rPr>
  </w:style>
  <w:style w:type="character" w:customStyle="1" w:styleId="42">
    <w:name w:val="正文文本缩进 字符"/>
    <w:basedOn w:val="20"/>
    <w:link w:val="8"/>
    <w:qFormat/>
    <w:uiPriority w:val="0"/>
    <w:rPr>
      <w:kern w:val="2"/>
      <w:sz w:val="32"/>
      <w:szCs w:val="24"/>
    </w:rPr>
  </w:style>
  <w:style w:type="paragraph" w:customStyle="1" w:styleId="43">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4">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5">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f9322b0f-26b0-4ead-928e-c746c3aba7c4</errorID>
      <errorWord>全面</errorWord>
      <group>L1_AI</group>
      <groupName>深度校对</groupName>
      <ability>L2_AI_Grammar</ability>
      <abilityName>语法纠错</abilityName>
      <candidateList>
        <item>从全面</item>
      </candidateList>
      <explain/>
      <paraID>38A1F777</paraID>
      <start>48</start>
      <end>51</end>
      <status>modified</status>
      <modifiedWord>从全面</modifiedWord>
      <trackRevisions>false</trackRevisions>
    </reviewItem>
    <reviewItem>
      <errorID>c1b1170e-7f71-461b-9a75-3984c977a153</errorID>
      <errorWord>、不断提升公安机关捍卫政治安全、维护社会安定，</errorWord>
      <group>L1_AI</group>
      <groupName>深度校对</groupName>
      <ability>L2_AI_Word</ability>
      <abilityName>字词纠错</abilityName>
      <candidateList>
        <item>，不断提升公安机关捍卫政治安全、维护社会安定、</item>
      </candidateList>
      <explain/>
      <paraID>38A1F777</paraID>
      <start>123</start>
      <end>146</end>
      <status>modified</status>
      <modifiedWord>，不断提升公安机关捍卫政治安全、维护社会安定、</modifiedWord>
      <trackRevisions>false</trackRevisions>
    </reviewItem>
    <reviewItem>
      <errorID>6a5d06a5-a7df-412b-8786-2ebbde434d34</errorID>
      <errorWord>一</errorWord>
      <group>L1_AI</group>
      <groupName>深度校对</groupName>
      <ability>L2_AI_Grammar</ability>
      <abilityName>语法纠错</abilityName>
      <candidateList>
        <item>具体如下：一</item>
      </candidateList>
      <explain/>
      <paraID>46238A52</paraID>
      <start>175</start>
      <end>181</end>
      <status>modified</status>
      <modifiedWord>具体如下：一</modifiedWord>
      <trackRevisions>false</trackRevisions>
    </reviewItem>
    <reviewItem>
      <errorID>c7cd9d5b-9bc6-41b6-882b-2f8cf48ec815</errorID>
      <errorWord>，</errorWord>
      <group>L1_AI</group>
      <groupName>深度校对</groupName>
      <ability>L2_AI_Punc</ability>
      <abilityName>标点纠错</abilityName>
      <candidateList>
        <item>、</item>
      </candidateList>
      <explain/>
      <paraID>11D0484D</paraID>
      <start>65</start>
      <end>66</end>
      <status>modified</status>
      <modifiedWord>、</modifiedWord>
      <trackRevisions>false</trackRevisions>
    </reviewItem>
    <reviewItem>
      <errorID>046c0fc9-13b0-4404-93c7-c49b6c9c63e1</errorID>
      <errorWord>财政</errorWord>
      <group>L1_AI</group>
      <groupName>深度校对</groupName>
      <ability>L2_AI_Grammar</ability>
      <abilityName>语法纠错</abilityName>
      <candidateList>
        <item>的财政</item>
      </candidateList>
      <explain/>
      <paraID>3974C46A</paraID>
      <start>128</start>
      <end>131</end>
      <status>modified</status>
      <modifiedWord>的财政</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02a273-f503-4c43-b798-2c6bf9589cdf}">
  <ds:schemaRefs/>
</ds:datastoreItem>
</file>

<file path=docProps/app.xml><?xml version="1.0" encoding="utf-8"?>
<Properties xmlns="http://schemas.openxmlformats.org/officeDocument/2006/extended-properties" xmlns:vt="http://schemas.openxmlformats.org/officeDocument/2006/docPropsVTypes">
  <Company>Microsoft</Company>
  <Pages>16</Pages>
  <Words>6987</Words>
  <Characters>7791</Characters>
  <Lines>1</Lines>
  <Paragraphs>1</Paragraphs>
  <TotalTime>6</TotalTime>
  <ScaleCrop>false</ScaleCrop>
  <LinksUpToDate>false</LinksUpToDate>
  <CharactersWithSpaces>7812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2024-11-08T07:16:00Z</cp:lastPrinted>
  <dcterms:modified xsi:type="dcterms:W3CDTF">2025-12-11T02:44:56Z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