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7398"/>
      <w:bookmarkStart w:id="1" w:name="_Toc29524"/>
      <w:bookmarkStart w:id="2" w:name="_Toc22314"/>
      <w:bookmarkStart w:id="3"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22DAE61B">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被评价单位名称：中国共产党泸定县委员会党校</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3024A809">
      <w:pPr>
        <w:pStyle w:val="2"/>
        <w:rPr>
          <w:rFonts w:hint="eastAsia" w:ascii="方正仿宋简体" w:hAnsi="方正仿宋简体" w:eastAsia="方正仿宋简体" w:cs="方正仿宋简体"/>
          <w:color w:val="333333"/>
          <w:kern w:val="0"/>
          <w:sz w:val="32"/>
          <w:szCs w:val="32"/>
          <w:highlight w:val="none"/>
        </w:rPr>
      </w:pPr>
    </w:p>
    <w:p w14:paraId="26F1A128">
      <w:pPr>
        <w:rPr>
          <w:rFonts w:hint="eastAsia" w:ascii="方正仿宋简体" w:hAnsi="方正仿宋简体" w:eastAsia="方正仿宋简体" w:cs="方正仿宋简体"/>
          <w:color w:val="333333"/>
          <w:kern w:val="0"/>
          <w:sz w:val="32"/>
          <w:szCs w:val="32"/>
          <w:highlight w:val="none"/>
        </w:rPr>
      </w:pPr>
    </w:p>
    <w:p w14:paraId="5FE92C2F">
      <w:pPr>
        <w:pStyle w:val="2"/>
        <w:rPr>
          <w:rFonts w:hint="eastAsia" w:ascii="方正仿宋简体" w:hAnsi="方正仿宋简体" w:eastAsia="方正仿宋简体" w:cs="方正仿宋简体"/>
          <w:color w:val="333333"/>
          <w:kern w:val="0"/>
          <w:sz w:val="32"/>
          <w:szCs w:val="32"/>
          <w:highlight w:val="none"/>
        </w:rPr>
      </w:pPr>
    </w:p>
    <w:p w14:paraId="273E85EE">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r>
        <w:rPr>
          <w:rFonts w:hint="eastAsia" w:ascii="方正小标宋简体" w:hAnsi="方正小标宋简体" w:eastAsia="方正小标宋简体" w:cs="方正小标宋简体"/>
          <w:color w:val="auto"/>
          <w:sz w:val="44"/>
          <w:szCs w:val="44"/>
          <w:highlight w:val="none"/>
          <w:lang w:eastAsia="zh-CN"/>
        </w:rPr>
        <w:t>中国共产党泸定县委员会党校</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default" w:ascii="Times New Roman" w:hAnsi="Times New Roman" w:eastAsia="方正小标宋简体" w:cs="Times New Roman"/>
          <w:color w:val="auto"/>
          <w:sz w:val="44"/>
          <w:szCs w:val="44"/>
          <w:highlight w:val="none"/>
          <w:lang w:eastAsia="zh"/>
        </w:rPr>
        <w:t>2023</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2"/>
    </w:p>
    <w:p w14:paraId="394EE5A3">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lang w:val="fr-FR"/>
        </w:rPr>
      </w:pPr>
    </w:p>
    <w:p w14:paraId="43EE496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4" w:name="_Toc8938"/>
      <w:bookmarkStart w:id="5" w:name="_Toc26210"/>
      <w:bookmarkStart w:id="6" w:name="_Toc6252"/>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auto"/>
          <w:sz w:val="32"/>
          <w:szCs w:val="32"/>
          <w:highlight w:val="none"/>
          <w:lang w:val="fr-FR"/>
        </w:rPr>
        <w:t>对</w:t>
      </w:r>
      <w:r>
        <w:rPr>
          <w:rFonts w:hint="eastAsia" w:ascii="方正仿宋简体" w:hAnsi="方正仿宋简体" w:eastAsia="方正仿宋简体" w:cs="方正仿宋简体"/>
          <w:color w:val="auto"/>
          <w:sz w:val="32"/>
          <w:szCs w:val="32"/>
          <w:highlight w:val="none"/>
          <w:lang w:val="fr-FR" w:eastAsia="zh-CN"/>
        </w:rPr>
        <w:t>中国共产党泸定县委员会党校</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年部门整体支出进行</w:t>
      </w:r>
      <w:r>
        <w:rPr>
          <w:rFonts w:hint="eastAsia" w:ascii="方正仿宋简体" w:hAnsi="方正仿宋简体" w:eastAsia="方正仿宋简体" w:cs="方正仿宋简体"/>
          <w:color w:val="auto"/>
          <w:sz w:val="32"/>
          <w:szCs w:val="32"/>
          <w:highlight w:val="none"/>
          <w:lang w:val="fr-FR"/>
        </w:rPr>
        <w:t>绩效评价。</w:t>
      </w:r>
      <w:r>
        <w:rPr>
          <w:rFonts w:hint="eastAsia" w:ascii="方正仿宋简体" w:hAnsi="方正仿宋简体" w:eastAsia="方正仿宋简体" w:cs="方正仿宋简体"/>
          <w:color w:val="auto"/>
          <w:sz w:val="32"/>
          <w:szCs w:val="32"/>
          <w:highlight w:val="none"/>
          <w:lang w:val="fr-FR" w:eastAsia="zh-CN"/>
        </w:rPr>
        <w:t>中国共产党泸定县委员会党校</w:t>
      </w:r>
      <w:r>
        <w:rPr>
          <w:rFonts w:hint="eastAsia" w:ascii="方正仿宋简体" w:hAnsi="方正仿宋简体" w:eastAsia="方正仿宋简体" w:cs="方正仿宋简体"/>
          <w:color w:val="auto"/>
          <w:sz w:val="32"/>
          <w:szCs w:val="32"/>
          <w:highlight w:val="none"/>
          <w:lang w:val="fr-FR"/>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auto"/>
          <w:sz w:val="32"/>
          <w:szCs w:val="32"/>
          <w:highlight w:val="none"/>
          <w:lang w:val="fr-FR"/>
        </w:rPr>
        <w:t>2018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34</w:t>
      </w:r>
      <w:r>
        <w:rPr>
          <w:rFonts w:hint="eastAsia" w:ascii="方正仿宋简体" w:hAnsi="方正仿宋简体" w:eastAsia="方正仿宋简体" w:cs="方正仿宋简体"/>
          <w:color w:val="auto"/>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号）、《中共甘孜州委办公室 甘孜州人民政府办公室关于印发</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甘孜州全面实施预算绩效管理工作实施方案</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的通知》（甘委办〔</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120</w:t>
      </w:r>
      <w:r>
        <w:rPr>
          <w:rFonts w:hint="eastAsia" w:ascii="方正仿宋简体" w:hAnsi="方正仿宋简体" w:eastAsia="方正仿宋简体" w:cs="方正仿宋简体"/>
          <w:color w:val="auto"/>
          <w:sz w:val="32"/>
          <w:szCs w:val="32"/>
          <w:highlight w:val="none"/>
          <w:lang w:val="fr-FR"/>
        </w:rPr>
        <w:t>号）</w:t>
      </w:r>
      <w:r>
        <w:rPr>
          <w:rFonts w:hint="eastAsia" w:ascii="方正仿宋简体" w:hAnsi="方正仿宋简体" w:eastAsia="方正仿宋简体" w:cs="方正仿宋简体"/>
          <w:color w:val="auto"/>
          <w:sz w:val="32"/>
          <w:szCs w:val="32"/>
          <w:highlight w:val="none"/>
          <w:lang w:val="en-US" w:eastAsia="zh-CN"/>
        </w:rPr>
        <w:t>文件的</w:t>
      </w:r>
      <w:r>
        <w:rPr>
          <w:rFonts w:hint="eastAsia" w:ascii="方正仿宋简体" w:hAnsi="方正仿宋简体" w:eastAsia="方正仿宋简体" w:cs="方正仿宋简体"/>
          <w:color w:val="auto"/>
          <w:sz w:val="32"/>
          <w:szCs w:val="32"/>
          <w:highlight w:val="none"/>
          <w:lang w:val="fr-FR"/>
        </w:rPr>
        <w:t>要求，结合</w:t>
      </w:r>
      <w:r>
        <w:rPr>
          <w:rFonts w:hint="eastAsia" w:ascii="方正仿宋简体" w:hAnsi="方正仿宋简体" w:eastAsia="方正仿宋简体" w:cs="方正仿宋简体"/>
          <w:color w:val="auto"/>
          <w:sz w:val="32"/>
          <w:szCs w:val="32"/>
          <w:highlight w:val="none"/>
          <w:lang w:val="fr-FR" w:eastAsia="zh-CN"/>
        </w:rPr>
        <w:t>中国共产党泸定县委员会党校</w:t>
      </w:r>
      <w:r>
        <w:rPr>
          <w:rFonts w:hint="eastAsia" w:ascii="方正仿宋简体" w:hAnsi="方正仿宋简体" w:eastAsia="方正仿宋简体" w:cs="方正仿宋简体"/>
          <w:color w:val="auto"/>
          <w:sz w:val="32"/>
          <w:szCs w:val="32"/>
          <w:highlight w:val="none"/>
          <w:lang w:val="fr-FR"/>
        </w:rPr>
        <w:t>的实际情况，对</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w:t>
      </w:r>
      <w:r>
        <w:rPr>
          <w:rFonts w:hint="eastAsia" w:ascii="方正仿宋简体" w:hAnsi="方正仿宋简体" w:eastAsia="方正仿宋简体" w:cs="方正仿宋简体"/>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eastAsia="zh-CN"/>
        </w:rPr>
      </w:pPr>
      <w:bookmarkStart w:id="10" w:name="_Toc26009"/>
      <w:bookmarkStart w:id="11" w:name="_Toc799907804"/>
      <w:bookmarkStart w:id="12" w:name="_Toc30202"/>
      <w:bookmarkStart w:id="13" w:name="_Toc18579"/>
      <w:bookmarkStart w:id="14" w:name="_Toc31785"/>
      <w:bookmarkStart w:id="15" w:name="_Toc12546"/>
      <w:bookmarkStart w:id="16" w:name="_Toc15416"/>
      <w:bookmarkStart w:id="17" w:name="_Toc10147"/>
      <w:r>
        <w:rPr>
          <w:rFonts w:hint="eastAsia" w:ascii="方正黑体简体" w:hAnsi="方正黑体简体" w:eastAsia="方正黑体简体" w:cs="方正黑体简体"/>
          <w:color w:val="auto"/>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auto"/>
          <w:kern w:val="0"/>
          <w:sz w:val="32"/>
          <w:szCs w:val="32"/>
          <w:highlight w:val="none"/>
          <w:shd w:val="clear" w:color="auto" w:fill="FFFFFF"/>
        </w:rPr>
        <w:t>部门</w:t>
      </w:r>
      <w:bookmarkEnd w:id="9"/>
      <w:bookmarkEnd w:id="10"/>
      <w:bookmarkEnd w:id="11"/>
      <w:bookmarkStart w:id="18" w:name="_Toc30550"/>
      <w:bookmarkStart w:id="19" w:name="_Toc109483834"/>
      <w:bookmarkStart w:id="20" w:name="_Toc16549"/>
      <w:r>
        <w:rPr>
          <w:rFonts w:hint="eastAsia" w:ascii="方正黑体简体" w:hAnsi="方正黑体简体" w:eastAsia="方正黑体简体" w:cs="方正黑体简体"/>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21" w:name="_Toc7513"/>
      <w:bookmarkStart w:id="22" w:name="_Toc419097264"/>
      <w:bookmarkStart w:id="23" w:name="_Toc20865"/>
      <w:bookmarkStart w:id="24" w:name="_Toc2224"/>
      <w:bookmarkStart w:id="25" w:name="_Toc24161"/>
      <w:bookmarkStart w:id="26" w:name="_Toc30190"/>
      <w:bookmarkStart w:id="27" w:name="_Toc28212"/>
      <w:bookmarkStart w:id="28" w:name="_Toc2337"/>
      <w:r>
        <w:rPr>
          <w:rFonts w:hint="eastAsia" w:ascii="方正楷体简体" w:hAnsi="方正楷体简体" w:eastAsia="方正楷体简体" w:cs="方正楷体简体"/>
          <w:color w:val="auto"/>
          <w:kern w:val="2"/>
          <w:sz w:val="32"/>
          <w:szCs w:val="32"/>
          <w:highlight w:val="none"/>
          <w:shd w:val="clear"/>
          <w:lang w:val="zh-CN"/>
        </w:rPr>
        <w:t>（一）</w:t>
      </w:r>
      <w:bookmarkEnd w:id="18"/>
      <w:bookmarkEnd w:id="19"/>
      <w:bookmarkEnd w:id="20"/>
      <w:bookmarkEnd w:id="21"/>
      <w:bookmarkEnd w:id="22"/>
      <w:r>
        <w:rPr>
          <w:rFonts w:hint="eastAsia" w:ascii="方正楷体简体" w:hAnsi="方正楷体简体" w:eastAsia="方正楷体简体" w:cs="方正楷体简体"/>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29" w:name="_Toc109483835"/>
      <w:r>
        <w:rPr>
          <w:rFonts w:hint="eastAsia" w:ascii="方正仿宋简体" w:hAnsi="方正仿宋简体" w:eastAsia="方正仿宋简体" w:cs="方正仿宋简体"/>
          <w:color w:val="auto"/>
          <w:sz w:val="32"/>
          <w:szCs w:val="32"/>
          <w:highlight w:val="none"/>
          <w:lang w:val="fr-FR"/>
        </w:rPr>
        <w:t>中国共产党泸定县委员会党校，属财政补助（收支统管、全额保障）的一级预算单位，机构性质：公益一类；单位负责人：岳登平；统一社会信用代码：</w:t>
      </w:r>
      <w:r>
        <w:rPr>
          <w:rFonts w:hint="default" w:ascii="Times New Roman" w:hAnsi="Times New Roman" w:eastAsia="方正仿宋简体" w:cs="Times New Roman"/>
          <w:color w:val="auto"/>
          <w:sz w:val="32"/>
          <w:szCs w:val="32"/>
          <w:highlight w:val="none"/>
          <w:lang w:val="fr-FR"/>
        </w:rPr>
        <w:t>125133224526377582</w:t>
      </w:r>
      <w:r>
        <w:rPr>
          <w:rFonts w:hint="eastAsia" w:ascii="方正仿宋简体" w:hAnsi="方正仿宋简体" w:eastAsia="方正仿宋简体" w:cs="方正仿宋简体"/>
          <w:color w:val="auto"/>
          <w:sz w:val="32"/>
          <w:szCs w:val="32"/>
          <w:highlight w:val="none"/>
          <w:lang w:val="fr-FR"/>
        </w:rPr>
        <w:t>；单位所在地：泸定县泸桥镇沙坝村彝海路</w:t>
      </w:r>
      <w:r>
        <w:rPr>
          <w:rFonts w:hint="default" w:ascii="Times New Roman" w:hAnsi="Times New Roman" w:eastAsia="方正仿宋简体" w:cs="Times New Roman"/>
          <w:color w:val="auto"/>
          <w:sz w:val="32"/>
          <w:szCs w:val="32"/>
          <w:highlight w:val="none"/>
          <w:lang w:val="fr-FR"/>
        </w:rPr>
        <w:t>81</w:t>
      </w:r>
      <w:r>
        <w:rPr>
          <w:rFonts w:hint="eastAsia" w:ascii="方正仿宋简体" w:hAnsi="方正仿宋简体" w:eastAsia="方正仿宋简体" w:cs="方正仿宋简体"/>
          <w:color w:val="auto"/>
          <w:sz w:val="32"/>
          <w:szCs w:val="32"/>
          <w:highlight w:val="none"/>
          <w:lang w:val="fr-FR"/>
        </w:rPr>
        <w:t xml:space="preserve">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
        </w:rPr>
      </w:pPr>
      <w:bookmarkStart w:id="30" w:name="_Toc17750"/>
      <w:bookmarkStart w:id="31" w:name="_Toc31223"/>
      <w:bookmarkStart w:id="32" w:name="_Toc1278"/>
      <w:bookmarkStart w:id="33" w:name="_Toc18977"/>
      <w:bookmarkStart w:id="34" w:name="_Toc30888"/>
      <w:bookmarkStart w:id="35" w:name="_Toc14736"/>
      <w:r>
        <w:rPr>
          <w:rFonts w:hint="eastAsia" w:ascii="方正楷体简体" w:hAnsi="方正楷体简体" w:eastAsia="方正楷体简体" w:cs="方正楷体简体"/>
          <w:color w:val="auto"/>
          <w:kern w:val="2"/>
          <w:sz w:val="32"/>
          <w:szCs w:val="32"/>
          <w:highlight w:val="none"/>
          <w:shd w:val="clear"/>
          <w:lang w:val="zh-CN" w:eastAsia="zh-CN"/>
        </w:rPr>
        <w:t>（二）部门</w:t>
      </w:r>
      <w:bookmarkEnd w:id="30"/>
      <w:bookmarkEnd w:id="31"/>
      <w:bookmarkEnd w:id="32"/>
      <w:r>
        <w:rPr>
          <w:rFonts w:hint="eastAsia" w:ascii="方正楷体简体" w:hAnsi="方正楷体简体" w:eastAsia="方正楷体简体" w:cs="方正楷体简体"/>
          <w:color w:val="auto"/>
          <w:kern w:val="2"/>
          <w:sz w:val="32"/>
          <w:szCs w:val="32"/>
          <w:highlight w:val="none"/>
          <w:shd w:val="clear"/>
          <w:lang w:val="zh-CN" w:eastAsia="zh"/>
        </w:rPr>
        <w:t>内设机构及人员概况</w:t>
      </w:r>
      <w:bookmarkEnd w:id="33"/>
      <w:bookmarkEnd w:id="34"/>
      <w:bookmarkEnd w:id="35"/>
    </w:p>
    <w:p w14:paraId="144C38D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bookmarkStart w:id="36" w:name="_Toc568184988"/>
      <w:bookmarkStart w:id="37" w:name="_Toc16978"/>
      <w:bookmarkStart w:id="38" w:name="_Toc22604"/>
      <w:r>
        <w:rPr>
          <w:rFonts w:hint="eastAsia" w:ascii="方正仿宋简体" w:hAnsi="方正仿宋简体" w:eastAsia="方正仿宋简体" w:cs="方正仿宋简体"/>
          <w:color w:val="auto"/>
          <w:sz w:val="32"/>
          <w:szCs w:val="32"/>
          <w:highlight w:val="none"/>
          <w:lang w:val="zh-CN"/>
        </w:rPr>
        <w:t>根据中国共产党泸定县委员会党校提供的中共泸定县委党校职能配置、内设机构方案核定中国共产党泸定县委员会党校现有编制</w:t>
      </w:r>
      <w:r>
        <w:rPr>
          <w:rFonts w:hint="default" w:ascii="Times New Roman" w:hAnsi="Times New Roman" w:eastAsia="方正仿宋简体" w:cs="Times New Roman"/>
          <w:color w:val="auto"/>
          <w:sz w:val="32"/>
          <w:szCs w:val="32"/>
          <w:highlight w:val="none"/>
          <w:lang w:val="zh-CN"/>
        </w:rPr>
        <w:t>16</w:t>
      </w:r>
      <w:r>
        <w:rPr>
          <w:rFonts w:hint="eastAsia" w:ascii="方正仿宋简体" w:hAnsi="方正仿宋简体" w:eastAsia="方正仿宋简体" w:cs="方正仿宋简体"/>
          <w:color w:val="auto"/>
          <w:sz w:val="32"/>
          <w:szCs w:val="32"/>
          <w:highlight w:val="none"/>
          <w:lang w:val="zh-CN"/>
        </w:rPr>
        <w:t>名（其中参公</w:t>
      </w:r>
      <w:r>
        <w:rPr>
          <w:rFonts w:hint="default" w:ascii="Times New Roman" w:hAnsi="Times New Roman" w:eastAsia="方正仿宋简体" w:cs="Times New Roman"/>
          <w:color w:val="auto"/>
          <w:sz w:val="32"/>
          <w:szCs w:val="32"/>
          <w:highlight w:val="none"/>
          <w:lang w:val="zh-CN"/>
        </w:rPr>
        <w:t>6</w:t>
      </w:r>
      <w:r>
        <w:rPr>
          <w:rFonts w:hint="eastAsia" w:ascii="方正仿宋简体" w:hAnsi="方正仿宋简体" w:eastAsia="方正仿宋简体" w:cs="方正仿宋简体"/>
          <w:color w:val="auto"/>
          <w:sz w:val="32"/>
          <w:szCs w:val="32"/>
          <w:highlight w:val="none"/>
          <w:lang w:val="zh-CN"/>
        </w:rPr>
        <w:t>个，事业</w:t>
      </w:r>
      <w:r>
        <w:rPr>
          <w:rFonts w:hint="default" w:ascii="Times New Roman" w:hAnsi="Times New Roman" w:eastAsia="方正仿宋简体" w:cs="Times New Roman"/>
          <w:color w:val="auto"/>
          <w:sz w:val="32"/>
          <w:szCs w:val="32"/>
          <w:highlight w:val="none"/>
          <w:lang w:val="zh-CN"/>
        </w:rPr>
        <w:t>9</w:t>
      </w:r>
      <w:r>
        <w:rPr>
          <w:rFonts w:hint="eastAsia" w:ascii="方正仿宋简体" w:hAnsi="方正仿宋简体" w:eastAsia="方正仿宋简体" w:cs="方正仿宋简体"/>
          <w:color w:val="auto"/>
          <w:sz w:val="32"/>
          <w:szCs w:val="32"/>
          <w:highlight w:val="none"/>
          <w:lang w:val="zh-CN"/>
        </w:rPr>
        <w:t>个，工勤</w:t>
      </w:r>
      <w:r>
        <w:rPr>
          <w:rFonts w:hint="default" w:ascii="Times New Roman" w:hAnsi="Times New Roman" w:eastAsia="方正仿宋简体" w:cs="Times New Roman"/>
          <w:color w:val="auto"/>
          <w:sz w:val="32"/>
          <w:szCs w:val="32"/>
          <w:highlight w:val="none"/>
          <w:lang w:val="zh-CN"/>
        </w:rPr>
        <w:t>1</w:t>
      </w:r>
      <w:r>
        <w:rPr>
          <w:rFonts w:hint="eastAsia" w:ascii="方正仿宋简体" w:hAnsi="方正仿宋简体" w:eastAsia="方正仿宋简体" w:cs="方正仿宋简体"/>
          <w:color w:val="auto"/>
          <w:sz w:val="32"/>
          <w:szCs w:val="32"/>
          <w:highlight w:val="none"/>
          <w:lang w:val="zh-CN"/>
        </w:rPr>
        <w:t>个）。</w:t>
      </w:r>
    </w:p>
    <w:p w14:paraId="7D28D9A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r>
        <w:rPr>
          <w:rFonts w:hint="eastAsia" w:ascii="方正仿宋简体" w:hAnsi="方正仿宋简体" w:eastAsia="方正仿宋简体" w:cs="方正仿宋简体"/>
          <w:color w:val="auto"/>
          <w:sz w:val="32"/>
          <w:szCs w:val="32"/>
          <w:highlight w:val="none"/>
          <w:lang w:val="zh-CN"/>
        </w:rPr>
        <w:t>中国共产党泸定县委员会党校内设办公室、教研室、总务室，截至</w:t>
      </w:r>
      <w:r>
        <w:rPr>
          <w:rFonts w:hint="default" w:ascii="Times New Roman" w:hAnsi="Times New Roman" w:eastAsia="方正仿宋简体" w:cs="Times New Roman"/>
          <w:color w:val="auto"/>
          <w:sz w:val="32"/>
          <w:szCs w:val="32"/>
          <w:highlight w:val="none"/>
          <w:lang w:val="zh-CN"/>
        </w:rPr>
        <w:t>2023</w:t>
      </w:r>
      <w:r>
        <w:rPr>
          <w:rFonts w:hint="eastAsia" w:ascii="方正仿宋简体" w:hAnsi="方正仿宋简体" w:eastAsia="方正仿宋简体" w:cs="方正仿宋简体"/>
          <w:color w:val="auto"/>
          <w:sz w:val="32"/>
          <w:szCs w:val="32"/>
          <w:highlight w:val="none"/>
          <w:lang w:val="zh-CN"/>
        </w:rPr>
        <w:t>年</w:t>
      </w:r>
      <w:r>
        <w:rPr>
          <w:rFonts w:hint="default" w:ascii="Times New Roman" w:hAnsi="Times New Roman" w:eastAsia="方正仿宋简体" w:cs="Times New Roman"/>
          <w:color w:val="auto"/>
          <w:sz w:val="32"/>
          <w:szCs w:val="32"/>
          <w:highlight w:val="none"/>
          <w:lang w:val="zh-CN"/>
        </w:rPr>
        <w:t>12</w:t>
      </w:r>
      <w:r>
        <w:rPr>
          <w:rFonts w:hint="eastAsia" w:ascii="方正仿宋简体" w:hAnsi="方正仿宋简体" w:eastAsia="方正仿宋简体" w:cs="方正仿宋简体"/>
          <w:color w:val="auto"/>
          <w:sz w:val="32"/>
          <w:szCs w:val="32"/>
          <w:highlight w:val="none"/>
          <w:lang w:val="zh-CN"/>
        </w:rPr>
        <w:t>月</w:t>
      </w:r>
      <w:r>
        <w:rPr>
          <w:rFonts w:hint="default" w:ascii="Times New Roman" w:hAnsi="Times New Roman" w:eastAsia="方正仿宋简体" w:cs="Times New Roman"/>
          <w:color w:val="auto"/>
          <w:sz w:val="32"/>
          <w:szCs w:val="32"/>
          <w:highlight w:val="none"/>
          <w:lang w:val="zh-CN"/>
        </w:rPr>
        <w:t>31</w:t>
      </w:r>
      <w:r>
        <w:rPr>
          <w:rFonts w:hint="eastAsia" w:ascii="方正仿宋简体" w:hAnsi="方正仿宋简体" w:eastAsia="方正仿宋简体" w:cs="方正仿宋简体"/>
          <w:color w:val="auto"/>
          <w:sz w:val="32"/>
          <w:szCs w:val="32"/>
          <w:highlight w:val="none"/>
          <w:lang w:val="zh-CN"/>
        </w:rPr>
        <w:t>日，中国共产党泸定县委员会党校实有人数</w:t>
      </w:r>
      <w:r>
        <w:rPr>
          <w:rFonts w:hint="default" w:ascii="Times New Roman" w:hAnsi="Times New Roman" w:eastAsia="方正仿宋简体" w:cs="Times New Roman"/>
          <w:color w:val="auto"/>
          <w:sz w:val="32"/>
          <w:szCs w:val="32"/>
          <w:highlight w:val="none"/>
          <w:lang w:val="zh-CN"/>
        </w:rPr>
        <w:t>13</w:t>
      </w:r>
      <w:r>
        <w:rPr>
          <w:rFonts w:hint="eastAsia" w:ascii="方正仿宋简体" w:hAnsi="方正仿宋简体" w:eastAsia="方正仿宋简体" w:cs="方正仿宋简体"/>
          <w:color w:val="auto"/>
          <w:sz w:val="32"/>
          <w:szCs w:val="32"/>
          <w:highlight w:val="none"/>
          <w:lang w:val="zh-CN"/>
        </w:rPr>
        <w:t>人，参公</w:t>
      </w:r>
      <w:r>
        <w:rPr>
          <w:rFonts w:hint="default" w:ascii="Times New Roman" w:hAnsi="Times New Roman" w:eastAsia="方正仿宋简体" w:cs="Times New Roman"/>
          <w:color w:val="auto"/>
          <w:sz w:val="32"/>
          <w:szCs w:val="32"/>
          <w:highlight w:val="none"/>
          <w:lang w:val="zh-CN"/>
        </w:rPr>
        <w:t>5</w:t>
      </w:r>
      <w:r>
        <w:rPr>
          <w:rFonts w:hint="eastAsia" w:ascii="方正仿宋简体" w:hAnsi="方正仿宋简体" w:eastAsia="方正仿宋简体" w:cs="方正仿宋简体"/>
          <w:color w:val="auto"/>
          <w:sz w:val="32"/>
          <w:szCs w:val="32"/>
          <w:highlight w:val="none"/>
          <w:lang w:val="zh-CN"/>
        </w:rPr>
        <w:t>人，事业</w:t>
      </w:r>
      <w:r>
        <w:rPr>
          <w:rFonts w:hint="default" w:ascii="Times New Roman" w:hAnsi="Times New Roman" w:eastAsia="方正仿宋简体" w:cs="Times New Roman"/>
          <w:color w:val="auto"/>
          <w:sz w:val="32"/>
          <w:szCs w:val="32"/>
          <w:highlight w:val="none"/>
          <w:lang w:val="zh-CN"/>
        </w:rPr>
        <w:t>7</w:t>
      </w:r>
      <w:r>
        <w:rPr>
          <w:rFonts w:hint="eastAsia" w:ascii="方正仿宋简体" w:hAnsi="方正仿宋简体" w:eastAsia="方正仿宋简体" w:cs="方正仿宋简体"/>
          <w:color w:val="auto"/>
          <w:sz w:val="32"/>
          <w:szCs w:val="32"/>
          <w:highlight w:val="none"/>
          <w:lang w:val="zh-CN"/>
        </w:rPr>
        <w:t>人，工勤</w:t>
      </w:r>
      <w:r>
        <w:rPr>
          <w:rFonts w:hint="default" w:ascii="Times New Roman" w:hAnsi="Times New Roman" w:eastAsia="方正仿宋简体" w:cs="Times New Roman"/>
          <w:color w:val="auto"/>
          <w:sz w:val="32"/>
          <w:szCs w:val="32"/>
          <w:highlight w:val="none"/>
          <w:lang w:val="zh-CN"/>
        </w:rPr>
        <w:t>1</w:t>
      </w:r>
      <w:r>
        <w:rPr>
          <w:rFonts w:hint="eastAsia" w:ascii="方正仿宋简体" w:hAnsi="方正仿宋简体" w:eastAsia="方正仿宋简体" w:cs="方正仿宋简体"/>
          <w:color w:val="auto"/>
          <w:sz w:val="32"/>
          <w:szCs w:val="32"/>
          <w:highlight w:val="none"/>
          <w:lang w:val="zh-CN"/>
        </w:rPr>
        <w:t>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39" w:name="_Toc7107"/>
      <w:bookmarkStart w:id="40" w:name="_Toc17073"/>
      <w:bookmarkStart w:id="41" w:name="_Toc6038"/>
      <w:r>
        <w:rPr>
          <w:rFonts w:hint="eastAsia" w:ascii="方正楷体简体" w:hAnsi="方正楷体简体" w:eastAsia="方正楷体简体" w:cs="方正楷体简体"/>
          <w:color w:val="auto"/>
          <w:kern w:val="2"/>
          <w:sz w:val="32"/>
          <w:szCs w:val="32"/>
          <w:highlight w:val="none"/>
          <w:shd w:val="clear"/>
          <w:lang w:val="zh-CN"/>
        </w:rPr>
        <w:t>（</w:t>
      </w:r>
      <w:r>
        <w:rPr>
          <w:rFonts w:hint="eastAsia" w:ascii="方正楷体简体" w:hAnsi="方正楷体简体" w:eastAsia="方正楷体简体" w:cs="方正楷体简体"/>
          <w:color w:val="auto"/>
          <w:kern w:val="2"/>
          <w:sz w:val="32"/>
          <w:szCs w:val="32"/>
          <w:highlight w:val="none"/>
          <w:shd w:val="clear"/>
          <w:lang w:val="zh-CN" w:eastAsia="zh-CN"/>
        </w:rPr>
        <w:t>三</w:t>
      </w:r>
      <w:r>
        <w:rPr>
          <w:rFonts w:hint="eastAsia" w:ascii="方正楷体简体" w:hAnsi="方正楷体简体" w:eastAsia="方正楷体简体" w:cs="方正楷体简体"/>
          <w:color w:val="auto"/>
          <w:kern w:val="2"/>
          <w:sz w:val="32"/>
          <w:szCs w:val="32"/>
          <w:highlight w:val="none"/>
          <w:shd w:val="clear"/>
          <w:lang w:val="zh-CN"/>
        </w:rPr>
        <w:t>）</w:t>
      </w:r>
      <w:bookmarkEnd w:id="29"/>
      <w:bookmarkEnd w:id="36"/>
      <w:bookmarkEnd w:id="37"/>
      <w:r>
        <w:rPr>
          <w:rFonts w:hint="eastAsia" w:ascii="方正楷体简体" w:hAnsi="方正楷体简体" w:eastAsia="方正楷体简体" w:cs="方正楷体简体"/>
          <w:color w:val="auto"/>
          <w:kern w:val="2"/>
          <w:sz w:val="32"/>
          <w:szCs w:val="32"/>
          <w:highlight w:val="none"/>
          <w:shd w:val="clear"/>
          <w:lang w:val="zh-CN" w:eastAsia="zh-CN"/>
        </w:rPr>
        <w:t>部门职能职责</w:t>
      </w:r>
      <w:bookmarkEnd w:id="38"/>
      <w:bookmarkEnd w:id="39"/>
      <w:bookmarkEnd w:id="40"/>
      <w:bookmarkEnd w:id="41"/>
    </w:p>
    <w:p w14:paraId="4FC7EC8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42" w:name="_Toc33"/>
      <w:bookmarkStart w:id="43" w:name="_Toc109483836"/>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中国共产党泸定县委员会党校的主要职责是根据县委</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对干部</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队伍建设的要求，有计划</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地</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轮训和培训在职的县级机关党政群和企事业单位副职党员领导干部。乡</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党政副职，党员</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领导干部</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，轮训村党支部书记村委会主任，培训拟担任上述职务的后备干部，围绕党的中心任务和县委、</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县政</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府的部署，对全县重大现实的问题开展调查研究，为教学和社会实践服务，为县委、</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县政</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府提供决策参考，协同组织人事部门对学员在党校学习期间的表现进行考核、考察。完成县委和上级党校交办的其他事项。</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zh-CN"/>
        </w:rPr>
      </w:pPr>
      <w:bookmarkStart w:id="44" w:name="_Toc16871"/>
      <w:bookmarkStart w:id="45" w:name="_Toc22594"/>
      <w:bookmarkStart w:id="46" w:name="_Toc14896"/>
      <w:bookmarkStart w:id="47" w:name="_Toc30942"/>
      <w:bookmarkStart w:id="48" w:name="_Toc1218480988"/>
      <w:bookmarkStart w:id="49" w:name="_Toc13707"/>
      <w:bookmarkStart w:id="50" w:name="_Toc12199"/>
      <w:bookmarkStart w:id="51" w:name="_Toc3194"/>
      <w:r>
        <w:rPr>
          <w:rFonts w:hint="eastAsia" w:ascii="方正黑体简体" w:hAnsi="方正黑体简体" w:eastAsia="方正黑体简体" w:cs="方正黑体简体"/>
          <w:color w:val="auto"/>
          <w:kern w:val="0"/>
          <w:sz w:val="32"/>
          <w:szCs w:val="32"/>
          <w:highlight w:val="none"/>
          <w:shd w:val="clear" w:color="auto" w:fill="FFFFFF"/>
          <w:lang w:val="zh-CN"/>
        </w:rPr>
        <w:t>二、资金来源及使用情况</w:t>
      </w:r>
      <w:bookmarkEnd w:id="42"/>
      <w:bookmarkEnd w:id="43"/>
      <w:bookmarkEnd w:id="44"/>
      <w:bookmarkEnd w:id="45"/>
      <w:bookmarkEnd w:id="46"/>
      <w:bookmarkEnd w:id="47"/>
      <w:bookmarkEnd w:id="48"/>
      <w:bookmarkEnd w:id="49"/>
      <w:bookmarkEnd w:id="50"/>
      <w:bookmarkEnd w:id="51"/>
      <w:bookmarkStart w:id="52" w:name="_Toc2659"/>
      <w:bookmarkStart w:id="53" w:name="_Toc109483837"/>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rPr>
      </w:pPr>
      <w:bookmarkStart w:id="54" w:name="_Toc29180"/>
      <w:bookmarkStart w:id="55" w:name="_Toc1949541301"/>
      <w:bookmarkStart w:id="56" w:name="_Toc7142"/>
      <w:bookmarkStart w:id="57" w:name="_Toc2374"/>
      <w:bookmarkStart w:id="58" w:name="_Toc25866"/>
      <w:bookmarkStart w:id="59" w:name="_Toc15898"/>
      <w:bookmarkStart w:id="60" w:name="_Toc14775"/>
      <w:bookmarkStart w:id="61" w:name="_Toc28667"/>
      <w:r>
        <w:rPr>
          <w:rFonts w:hint="eastAsia" w:ascii="方正楷体简体" w:hAnsi="方正楷体简体" w:eastAsia="方正楷体简体" w:cs="方正楷体简体"/>
          <w:color w:val="auto"/>
          <w:kern w:val="2"/>
          <w:sz w:val="32"/>
          <w:szCs w:val="32"/>
          <w:highlight w:val="none"/>
          <w:shd w:val="clear"/>
          <w:lang w:val="zh-CN"/>
        </w:rPr>
        <w:t>（</w:t>
      </w:r>
      <w:r>
        <w:rPr>
          <w:rFonts w:hint="eastAsia" w:ascii="方正楷体简体" w:hAnsi="方正楷体简体" w:eastAsia="方正楷体简体" w:cs="方正楷体简体"/>
          <w:color w:val="auto"/>
          <w:kern w:val="2"/>
          <w:sz w:val="32"/>
          <w:szCs w:val="32"/>
          <w:highlight w:val="none"/>
          <w:shd w:val="clear"/>
          <w:lang w:val="fr-FR"/>
        </w:rPr>
        <w:t>一</w:t>
      </w:r>
      <w:r>
        <w:rPr>
          <w:rFonts w:hint="eastAsia" w:ascii="方正楷体简体" w:hAnsi="方正楷体简体" w:eastAsia="方正楷体简体" w:cs="方正楷体简体"/>
          <w:color w:val="auto"/>
          <w:kern w:val="2"/>
          <w:sz w:val="32"/>
          <w:szCs w:val="32"/>
          <w:highlight w:val="none"/>
          <w:shd w:val="clear"/>
          <w:lang w:val="zh-CN"/>
        </w:rPr>
        <w:t>）部门资金收入</w:t>
      </w:r>
      <w:r>
        <w:rPr>
          <w:rFonts w:hint="eastAsia" w:ascii="方正楷体简体" w:hAnsi="方正楷体简体" w:eastAsia="方正楷体简体" w:cs="方正楷体简体"/>
          <w:color w:val="auto"/>
          <w:kern w:val="2"/>
          <w:sz w:val="32"/>
          <w:szCs w:val="32"/>
          <w:highlight w:val="none"/>
          <w:shd w:val="clear"/>
          <w:lang w:val="fr-FR"/>
        </w:rPr>
        <w:t>决算</w:t>
      </w:r>
      <w:r>
        <w:rPr>
          <w:rFonts w:hint="eastAsia" w:ascii="方正楷体简体" w:hAnsi="方正楷体简体" w:eastAsia="方正楷体简体" w:cs="方正楷体简体"/>
          <w:color w:val="auto"/>
          <w:kern w:val="2"/>
          <w:sz w:val="32"/>
          <w:szCs w:val="32"/>
          <w:highlight w:val="none"/>
          <w:shd w:val="clear"/>
          <w:lang w:val="zh-CN"/>
        </w:rPr>
        <w:t>情况</w:t>
      </w:r>
      <w:bookmarkEnd w:id="54"/>
      <w:bookmarkEnd w:id="55"/>
      <w:bookmarkEnd w:id="56"/>
      <w:bookmarkEnd w:id="57"/>
      <w:bookmarkEnd w:id="58"/>
      <w:bookmarkEnd w:id="59"/>
      <w:bookmarkEnd w:id="60"/>
      <w:bookmarkEnd w:id="61"/>
      <w:bookmarkStart w:id="62" w:name="_Toc19132"/>
    </w:p>
    <w:bookmarkEnd w:id="62"/>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
        </w:rPr>
      </w:pPr>
      <w:bookmarkStart w:id="63" w:name="_Toc109483838"/>
      <w:bookmarkStart w:id="64" w:name="_Toc17751"/>
      <w:bookmarkStart w:id="65" w:name="_Toc19326"/>
      <w:bookmarkStart w:id="66" w:name="_Toc27782"/>
      <w:bookmarkStart w:id="67" w:name="_Toc349786989"/>
      <w:bookmarkStart w:id="68" w:name="_Toc21171"/>
      <w:bookmarkStart w:id="69" w:name="_Toc27073"/>
      <w:r>
        <w:rPr>
          <w:rFonts w:hint="default" w:ascii="Times New Roman" w:hAnsi="Times New Roman" w:eastAsia="方正仿宋简体" w:cs="Times New Roman"/>
          <w:color w:val="auto"/>
          <w:sz w:val="32"/>
          <w:szCs w:val="32"/>
          <w:highlight w:val="none"/>
          <w:lang w:val="zh-CN" w:eastAsia="zh"/>
        </w:rPr>
        <w:t>2023</w:t>
      </w:r>
      <w:r>
        <w:rPr>
          <w:rFonts w:hint="eastAsia" w:ascii="方正仿宋简体" w:hAnsi="方正仿宋简体" w:eastAsia="方正仿宋简体" w:cs="方正仿宋简体"/>
          <w:color w:val="auto"/>
          <w:sz w:val="32"/>
          <w:szCs w:val="32"/>
          <w:highlight w:val="none"/>
          <w:lang w:val="zh-CN" w:eastAsia="zh"/>
        </w:rPr>
        <w:t>年</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中国共产党泸定县委员会党校</w:t>
      </w:r>
      <w:r>
        <w:rPr>
          <w:rFonts w:hint="eastAsia" w:ascii="方正仿宋简体" w:hAnsi="方正仿宋简体" w:eastAsia="方正仿宋简体" w:cs="方正仿宋简体"/>
          <w:color w:val="auto"/>
          <w:sz w:val="32"/>
          <w:szCs w:val="32"/>
          <w:highlight w:val="none"/>
          <w:lang w:val="en-US" w:eastAsia="zh-CN"/>
        </w:rPr>
        <w:t>收入总计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164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45</w:t>
      </w:r>
      <w:r>
        <w:rPr>
          <w:rFonts w:hint="eastAsia" w:ascii="方正仿宋简体" w:hAnsi="方正仿宋简体" w:eastAsia="方正仿宋简体" w:cs="方正仿宋简体"/>
          <w:color w:val="auto"/>
          <w:sz w:val="32"/>
          <w:szCs w:val="32"/>
          <w:highlight w:val="none"/>
          <w:lang w:val="zh-CN" w:eastAsia="zh"/>
        </w:rPr>
        <w:t>万元，其中：一般公共预算财政拨款收入</w:t>
      </w:r>
      <w:r>
        <w:rPr>
          <w:rFonts w:hint="default" w:ascii="Times New Roman" w:hAnsi="Times New Roman" w:eastAsia="方正仿宋简体" w:cs="Times New Roman"/>
          <w:color w:val="auto"/>
          <w:sz w:val="32"/>
          <w:szCs w:val="32"/>
          <w:highlight w:val="none"/>
          <w:lang w:val="en-US" w:eastAsia="zh-CN"/>
        </w:rPr>
        <w:t>267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83</w:t>
      </w:r>
      <w:r>
        <w:rPr>
          <w:rFonts w:hint="eastAsia" w:ascii="方正仿宋简体" w:hAnsi="方正仿宋简体" w:eastAsia="方正仿宋简体" w:cs="方正仿宋简体"/>
          <w:color w:val="auto"/>
          <w:sz w:val="32"/>
          <w:szCs w:val="32"/>
          <w:highlight w:val="none"/>
          <w:lang w:val="zh-CN" w:eastAsia="zh"/>
        </w:rPr>
        <w:t>万元，其他收入</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896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52</w:t>
      </w:r>
      <w:r>
        <w:rPr>
          <w:rFonts w:hint="eastAsia" w:ascii="方正仿宋简体" w:hAnsi="方正仿宋简体" w:eastAsia="方正仿宋简体" w:cs="方正仿宋简体"/>
          <w:color w:val="auto"/>
          <w:sz w:val="32"/>
          <w:szCs w:val="32"/>
          <w:highlight w:val="none"/>
          <w:lang w:val="zh-CN" w:eastAsia="zh"/>
        </w:rPr>
        <w:t>万元。</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rPr>
      </w:pPr>
      <w:bookmarkStart w:id="70" w:name="_Toc10941"/>
      <w:bookmarkStart w:id="71" w:name="_Toc20924"/>
      <w:bookmarkStart w:id="72" w:name="_Toc31284"/>
      <w:r>
        <w:rPr>
          <w:rFonts w:hint="eastAsia" w:ascii="方正楷体简体" w:hAnsi="方正楷体简体" w:eastAsia="方正楷体简体" w:cs="方正楷体简体"/>
          <w:color w:val="auto"/>
          <w:kern w:val="2"/>
          <w:sz w:val="32"/>
          <w:szCs w:val="32"/>
          <w:highlight w:val="none"/>
          <w:shd w:val="clear"/>
          <w:lang w:val="zh-CN"/>
        </w:rPr>
        <w:t>（二）部门资金支出决算情况</w:t>
      </w:r>
      <w:bookmarkEnd w:id="63"/>
      <w:bookmarkEnd w:id="64"/>
      <w:bookmarkEnd w:id="65"/>
      <w:bookmarkEnd w:id="66"/>
      <w:bookmarkEnd w:id="67"/>
      <w:bookmarkEnd w:id="68"/>
      <w:bookmarkEnd w:id="69"/>
      <w:bookmarkEnd w:id="70"/>
      <w:bookmarkEnd w:id="71"/>
      <w:bookmarkEnd w:id="72"/>
    </w:p>
    <w:p w14:paraId="1FF614A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73" w:name="_Toc10837"/>
      <w:bookmarkStart w:id="74" w:name="_Toc24721"/>
      <w:bookmarkStart w:id="75" w:name="_Toc18390"/>
      <w:bookmarkStart w:id="76" w:name="_Toc109483839"/>
      <w:bookmarkStart w:id="77" w:name="_Toc1457008154"/>
      <w:bookmarkStart w:id="78" w:name="_Toc13841"/>
      <w:bookmarkStart w:id="79" w:name="_Toc809"/>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w:t>
      </w:r>
      <w:r>
        <w:rPr>
          <w:rFonts w:hint="eastAsia" w:ascii="方正仿宋简体" w:hAnsi="方正仿宋简体" w:eastAsia="方正仿宋简体" w:cs="方正仿宋简体"/>
          <w:color w:val="auto"/>
          <w:sz w:val="32"/>
          <w:szCs w:val="32"/>
          <w:highlight w:val="none"/>
          <w:lang w:val="en-US" w:eastAsia="zh-CN"/>
        </w:rPr>
        <w:t>中国共产党泸定县委员会党校支出总计</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737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51</w:t>
      </w:r>
      <w:r>
        <w:rPr>
          <w:rFonts w:hint="eastAsia" w:ascii="方正仿宋简体" w:hAnsi="方正仿宋简体" w:eastAsia="方正仿宋简体" w:cs="方正仿宋简体"/>
          <w:color w:val="auto"/>
          <w:sz w:val="32"/>
          <w:szCs w:val="32"/>
          <w:highlight w:val="none"/>
          <w:lang w:val="en-US" w:eastAsia="zh"/>
        </w:rPr>
        <w:t>万元，其中</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en-US" w:eastAsia="zh"/>
        </w:rPr>
        <w:t>基本支出</w:t>
      </w:r>
      <w:r>
        <w:rPr>
          <w:rFonts w:hint="default" w:ascii="Times New Roman" w:hAnsi="Times New Roman" w:eastAsia="方正仿宋简体" w:cs="Times New Roman"/>
          <w:color w:val="auto"/>
          <w:sz w:val="32"/>
          <w:szCs w:val="32"/>
          <w:highlight w:val="none"/>
          <w:lang w:val="en-US" w:eastAsia="zh-CN"/>
        </w:rPr>
        <w:t>244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24</w:t>
      </w:r>
      <w:r>
        <w:rPr>
          <w:rFonts w:hint="eastAsia" w:ascii="方正仿宋简体" w:hAnsi="方正仿宋简体" w:eastAsia="方正仿宋简体" w:cs="方正仿宋简体"/>
          <w:color w:val="auto"/>
          <w:sz w:val="32"/>
          <w:szCs w:val="32"/>
          <w:highlight w:val="none"/>
          <w:lang w:val="en-US" w:eastAsia="zh"/>
        </w:rPr>
        <w:t>万元（人员经费</w:t>
      </w:r>
      <w:r>
        <w:rPr>
          <w:rFonts w:hint="default" w:ascii="Times New Roman" w:hAnsi="Times New Roman" w:eastAsia="方正仿宋简体" w:cs="Times New Roman"/>
          <w:color w:val="auto"/>
          <w:sz w:val="32"/>
          <w:szCs w:val="32"/>
          <w:highlight w:val="none"/>
          <w:lang w:val="en-US" w:eastAsia="zh-CN"/>
        </w:rPr>
        <w:t>225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59</w:t>
      </w:r>
      <w:r>
        <w:rPr>
          <w:rFonts w:hint="eastAsia" w:ascii="方正仿宋简体" w:hAnsi="方正仿宋简体" w:eastAsia="方正仿宋简体" w:cs="方正仿宋简体"/>
          <w:color w:val="auto"/>
          <w:sz w:val="32"/>
          <w:szCs w:val="32"/>
          <w:highlight w:val="none"/>
          <w:lang w:val="en-US" w:eastAsia="zh"/>
        </w:rPr>
        <w:t>万元、日常公用经费</w:t>
      </w:r>
      <w:r>
        <w:rPr>
          <w:rFonts w:hint="default" w:ascii="Times New Roman" w:hAnsi="Times New Roman" w:eastAsia="方正仿宋简体" w:cs="Times New Roman"/>
          <w:color w:val="auto"/>
          <w:sz w:val="32"/>
          <w:szCs w:val="32"/>
          <w:highlight w:val="none"/>
          <w:lang w:val="en-US" w:eastAsia="zh-CN"/>
        </w:rPr>
        <w:t>18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
        </w:rPr>
        <w:t>万元），项目支出</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493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27</w:t>
      </w:r>
      <w:r>
        <w:rPr>
          <w:rFonts w:hint="eastAsia" w:ascii="方正仿宋简体" w:hAnsi="方正仿宋简体" w:eastAsia="方正仿宋简体" w:cs="方正仿宋简体"/>
          <w:color w:val="auto"/>
          <w:sz w:val="32"/>
          <w:szCs w:val="32"/>
          <w:highlight w:val="none"/>
          <w:lang w:val="en-US" w:eastAsia="zh"/>
        </w:rPr>
        <w:t>万元。</w:t>
      </w:r>
      <w:r>
        <w:rPr>
          <w:rFonts w:hint="eastAsia" w:ascii="方正仿宋简体" w:hAnsi="方正仿宋简体" w:eastAsia="方正仿宋简体" w:cs="方正仿宋简体"/>
          <w:color w:val="auto"/>
          <w:sz w:val="32"/>
          <w:szCs w:val="32"/>
          <w:highlight w:val="none"/>
          <w:lang w:val="en-US" w:eastAsia="zh-CN"/>
        </w:rPr>
        <w:t>期末结转结余</w:t>
      </w:r>
      <w:r>
        <w:rPr>
          <w:rFonts w:hint="default" w:ascii="Times New Roman" w:hAnsi="Times New Roman" w:eastAsia="方正仿宋简体" w:cs="Times New Roman"/>
          <w:color w:val="auto"/>
          <w:sz w:val="32"/>
          <w:szCs w:val="32"/>
          <w:highlight w:val="none"/>
          <w:lang w:val="en-US" w:eastAsia="zh-CN"/>
        </w:rPr>
        <w:t>426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94</w:t>
      </w:r>
      <w:r>
        <w:rPr>
          <w:rFonts w:hint="eastAsia" w:ascii="方正仿宋简体" w:hAnsi="方正仿宋简体" w:eastAsia="方正仿宋简体" w:cs="方正仿宋简体"/>
          <w:color w:val="auto"/>
          <w:sz w:val="32"/>
          <w:szCs w:val="32"/>
          <w:highlight w:val="none"/>
          <w:lang w:val="en-US" w:eastAsia="zh-CN"/>
        </w:rPr>
        <w:t>万元。</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en-US" w:eastAsia="zh-CN"/>
        </w:rPr>
      </w:pPr>
      <w:bookmarkStart w:id="80" w:name="_Toc2953"/>
      <w:bookmarkStart w:id="81" w:name="_Toc17568"/>
      <w:bookmarkStart w:id="82" w:name="_Toc18612"/>
      <w:r>
        <w:rPr>
          <w:rFonts w:hint="eastAsia" w:ascii="方正黑体简体" w:hAnsi="方正黑体简体" w:eastAsia="方正黑体简体" w:cs="方正黑体简体"/>
          <w:color w:val="auto"/>
          <w:kern w:val="0"/>
          <w:sz w:val="32"/>
          <w:szCs w:val="32"/>
          <w:highlight w:val="none"/>
          <w:shd w:val="clear" w:color="auto" w:fill="FFFFFF"/>
        </w:rPr>
        <w:t>三、</w:t>
      </w:r>
      <w:r>
        <w:rPr>
          <w:rFonts w:hint="eastAsia" w:ascii="方正黑体简体" w:hAnsi="方正黑体简体" w:eastAsia="方正黑体简体" w:cs="方正黑体简体"/>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83" w:name="_Toc11438"/>
      <w:bookmarkStart w:id="84" w:name="_Toc3573"/>
      <w:bookmarkStart w:id="85" w:name="_Toc28011"/>
      <w:bookmarkStart w:id="86" w:name="_Toc2938"/>
      <w:bookmarkStart w:id="87" w:name="_Toc1418"/>
      <w:bookmarkStart w:id="88" w:name="_Toc32679"/>
      <w:r>
        <w:rPr>
          <w:rFonts w:hint="eastAsia" w:ascii="方正楷体简体" w:hAnsi="方正楷体简体" w:eastAsia="方正楷体简体" w:cs="方正楷体简体"/>
          <w:color w:val="auto"/>
          <w:kern w:val="2"/>
          <w:sz w:val="32"/>
          <w:szCs w:val="32"/>
          <w:highlight w:val="none"/>
          <w:shd w:val="clear"/>
          <w:lang w:val="zh-CN" w:eastAsia="zh-CN"/>
        </w:rPr>
        <w:t>（一）总体目标</w:t>
      </w:r>
      <w:bookmarkEnd w:id="83"/>
      <w:bookmarkEnd w:id="84"/>
      <w:bookmarkEnd w:id="85"/>
      <w:bookmarkEnd w:id="86"/>
      <w:bookmarkEnd w:id="87"/>
      <w:bookmarkEnd w:id="88"/>
    </w:p>
    <w:p w14:paraId="3B7BFA3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89" w:name="_Toc132"/>
      <w:bookmarkStart w:id="90" w:name="_Toc24652"/>
      <w:bookmarkStart w:id="91" w:name="_Toc11959"/>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中国共产党泸定县委员会党校深入全面贯彻党的二十大、省委十二届三次全会、州委十二届五次全会、县委十四届四次全会精神，以习近平新时代中国特色社会主义思想为指导，坚持党的领导、人民当家作主、依法治国有机统一，在发挥人民代表大会制度优势、发展全过程人民民主的伟大实践中加强党员干部和教职工自身学习。</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92" w:name="_Toc25609"/>
      <w:bookmarkStart w:id="93" w:name="_Toc15481"/>
      <w:bookmarkStart w:id="94" w:name="_Toc30848"/>
      <w:r>
        <w:rPr>
          <w:rFonts w:hint="eastAsia" w:ascii="方正楷体简体" w:hAnsi="方正楷体简体" w:eastAsia="方正楷体简体" w:cs="方正楷体简体"/>
          <w:color w:val="auto"/>
          <w:kern w:val="2"/>
          <w:sz w:val="32"/>
          <w:szCs w:val="32"/>
          <w:highlight w:val="none"/>
          <w:shd w:val="clear"/>
          <w:lang w:val="zh-CN" w:eastAsia="zh-CN"/>
        </w:rPr>
        <w:t>（二）具体目标</w:t>
      </w:r>
      <w:bookmarkEnd w:id="89"/>
      <w:bookmarkEnd w:id="90"/>
      <w:bookmarkEnd w:id="91"/>
      <w:bookmarkEnd w:id="92"/>
      <w:bookmarkEnd w:id="93"/>
      <w:bookmarkEnd w:id="94"/>
    </w:p>
    <w:p w14:paraId="3C329D1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95" w:name="_Toc24081"/>
      <w:bookmarkStart w:id="96" w:name="_Toc6491"/>
      <w:bookmarkStart w:id="97" w:name="_Toc17536"/>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积极响应号召，积极参加文明单位的创建工作，创先进的党支部活动为载体，抓支部内创建工作，搞好班子建设、思想建设、文化建设，积极开展政务公开、队伍公开活动。通过活动的开展来规范服务标准和办事程序，增强创建意识和主人翁意识，发扬爱岗敬业的精神，发挥模范带头作用。加强党员干部和教职工自身学习，结合党史教育学习购买理论书籍、资料，要求党员干部深入研读，提高政治理论水平，坚定理想信念。着力完善培养机制，引进相关专业急需人才，补充新鲜血液，继续积极开展形式多样的教研活动，组织教师参加校外各种高校进修活动，加大“送出去，请进来”培训方式力度，坚持定期集中学习研讨制度，力争教师的整体水平有新提升，加强党校队伍的建设，使党校教师队伍适应现代干部教育培训的要求把学习党的十九大精神和习近平新时代中国特色社会主义思想作为主题班次教学的重点内容，突出自身特色开展理想信念宗旨、党章党规党纪党史、优良传统作风等教育培训，有效挖掘甘孜州红色资源，认真办好主题班，完成今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期主题班培训。</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98" w:name="_Toc30341"/>
      <w:bookmarkStart w:id="99" w:name="_Toc13478"/>
      <w:bookmarkStart w:id="100" w:name="_Toc25717"/>
      <w:r>
        <w:rPr>
          <w:rFonts w:hint="eastAsia" w:ascii="方正黑体简体" w:hAnsi="方正黑体简体" w:eastAsia="方正黑体简体" w:cs="方正黑体简体"/>
          <w:color w:val="auto"/>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auto"/>
          <w:kern w:val="0"/>
          <w:sz w:val="32"/>
          <w:szCs w:val="32"/>
          <w:highlight w:val="none"/>
          <w:shd w:val="clear" w:color="auto" w:fill="FFFFFF"/>
        </w:rPr>
        <w:t>部门整体支出</w:t>
      </w:r>
      <w:r>
        <w:rPr>
          <w:rFonts w:hint="eastAsia" w:ascii="方正黑体简体" w:hAnsi="方正黑体简体" w:eastAsia="方正黑体简体" w:cs="方正黑体简体"/>
          <w:color w:val="auto"/>
          <w:kern w:val="0"/>
          <w:sz w:val="32"/>
          <w:szCs w:val="32"/>
          <w:highlight w:val="none"/>
          <w:shd w:val="clear" w:color="auto" w:fill="FFFFFF"/>
          <w:lang w:val="zh-CN"/>
        </w:rPr>
        <w:t>绩效评价</w:t>
      </w:r>
      <w:r>
        <w:rPr>
          <w:rFonts w:hint="eastAsia" w:ascii="方正黑体简体" w:hAnsi="方正黑体简体" w:eastAsia="方正黑体简体" w:cs="方正黑体简体"/>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101" w:name="_Toc1755"/>
      <w:bookmarkStart w:id="102" w:name="_Toc18849"/>
      <w:bookmarkStart w:id="103" w:name="_Toc24977"/>
      <w:bookmarkStart w:id="104" w:name="_Toc29571"/>
      <w:bookmarkStart w:id="105" w:name="_Toc20409"/>
      <w:bookmarkStart w:id="106" w:name="_Toc11694"/>
      <w:bookmarkStart w:id="107" w:name="_Toc428273082"/>
      <w:bookmarkStart w:id="108" w:name="_Toc8903"/>
      <w:bookmarkStart w:id="109" w:name="_Toc27305"/>
      <w:bookmarkStart w:id="110" w:name="_Toc4199"/>
      <w:bookmarkStart w:id="111" w:name="_Toc109483840"/>
      <w:r>
        <w:rPr>
          <w:rFonts w:hint="eastAsia" w:ascii="方正楷体简体" w:hAnsi="方正楷体简体" w:eastAsia="方正楷体简体" w:cs="方正楷体简体"/>
          <w:color w:val="auto"/>
          <w:kern w:val="2"/>
          <w:sz w:val="32"/>
          <w:szCs w:val="32"/>
          <w:highlight w:val="none"/>
          <w:shd w:val="clear"/>
          <w:lang w:val="zh-CN"/>
        </w:rPr>
        <w:t>（一）</w:t>
      </w:r>
      <w:r>
        <w:rPr>
          <w:rFonts w:hint="eastAsia" w:ascii="方正楷体简体" w:hAnsi="方正楷体简体" w:eastAsia="方正楷体简体" w:cs="方正楷体简体"/>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eastAsia" w:ascii="方正仿宋简体" w:hAnsi="方正仿宋简体" w:eastAsia="方正仿宋简体" w:cs="方正仿宋简体"/>
          <w:color w:val="auto"/>
          <w:sz w:val="32"/>
          <w:szCs w:val="32"/>
          <w:highlight w:val="none"/>
          <w:lang w:val="zh-CN" w:eastAsia="zh-CN"/>
        </w:rPr>
        <w:t>评价小组按照评价日程安排，对</w:t>
      </w:r>
      <w:r>
        <w:rPr>
          <w:rFonts w:hint="eastAsia" w:ascii="方正仿宋简体" w:hAnsi="方正仿宋简体" w:eastAsia="方正仿宋简体" w:cs="方正仿宋简体"/>
          <w:color w:val="auto"/>
          <w:sz w:val="32"/>
          <w:szCs w:val="32"/>
          <w:highlight w:val="none"/>
          <w:lang w:val="en-US" w:eastAsia="zh-CN"/>
        </w:rPr>
        <w:t>中国共产党泸定县委员会党校</w:t>
      </w:r>
      <w:r>
        <w:rPr>
          <w:rFonts w:hint="eastAsia" w:ascii="方正仿宋简体" w:hAnsi="方正仿宋简体" w:eastAsia="方正仿宋简体" w:cs="方正仿宋简体"/>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1</w:t>
      </w:r>
      <w:r>
        <w:rPr>
          <w:rFonts w:hint="eastAsia" w:ascii="方正仿宋简体" w:hAnsi="方正仿宋简体" w:eastAsia="方正仿宋简体" w:cs="方正仿宋简体"/>
          <w:color w:val="auto"/>
          <w:sz w:val="32"/>
          <w:szCs w:val="32"/>
          <w:highlight w:val="none"/>
          <w:lang w:val="zh-CN" w:eastAsia="zh-CN"/>
        </w:rPr>
        <w:t>.对相关资料进行研读，对整体评价有基本的把握和了解，归纳出进一步评价所需的信息供下一步取数参考。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w:t>
      </w:r>
      <w:r>
        <w:rPr>
          <w:rFonts w:hint="eastAsia" w:ascii="方正仿宋简体" w:hAnsi="方正仿宋简体" w:eastAsia="方正仿宋简体" w:cs="方正仿宋简体"/>
          <w:color w:val="auto"/>
          <w:sz w:val="32"/>
          <w:szCs w:val="32"/>
          <w:highlight w:val="none"/>
          <w:lang w:val="zh-CN" w:eastAsia="zh-CN"/>
        </w:rPr>
        <w:t>.集中对各个评价指标逐一进行分析，以保证取数的准确性。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3</w:t>
      </w:r>
      <w:r>
        <w:rPr>
          <w:rFonts w:hint="eastAsia" w:ascii="方正仿宋简体" w:hAnsi="方正仿宋简体" w:eastAsia="方正仿宋简体" w:cs="方正仿宋简体"/>
          <w:color w:val="auto"/>
          <w:sz w:val="32"/>
          <w:szCs w:val="32"/>
          <w:highlight w:val="none"/>
          <w:lang w:val="zh-CN" w:eastAsia="zh-CN"/>
        </w:rPr>
        <w:t>.评价小组汇总分析评价过程中发现的问题并对存在问题进行讨论，根据取得的数据分别计算各评价指标所得分数，形成评价结果。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4</w:t>
      </w:r>
      <w:r>
        <w:rPr>
          <w:rFonts w:hint="eastAsia" w:ascii="方正仿宋简体" w:hAnsi="方正仿宋简体" w:eastAsia="方正仿宋简体" w:cs="方正仿宋简体"/>
          <w:color w:val="auto"/>
          <w:sz w:val="32"/>
          <w:szCs w:val="32"/>
          <w:highlight w:val="none"/>
          <w:lang w:val="zh-CN" w:eastAsia="zh-CN"/>
        </w:rPr>
        <w:t>.根据评价结果，撰写评价报告。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val="zh-CN" w:bidi="ar"/>
        </w:rPr>
      </w:pPr>
      <w:r>
        <w:rPr>
          <w:rFonts w:hint="default" w:ascii="Times New Roman" w:hAnsi="Times New Roman" w:eastAsia="方正仿宋简体" w:cs="Times New Roman"/>
          <w:color w:val="auto"/>
          <w:sz w:val="32"/>
          <w:szCs w:val="32"/>
          <w:highlight w:val="none"/>
          <w:lang w:val="zh-CN" w:eastAsia="zh-CN"/>
        </w:rPr>
        <w:t>5</w:t>
      </w:r>
      <w:r>
        <w:rPr>
          <w:rFonts w:hint="eastAsia" w:ascii="方正仿宋简体" w:hAnsi="方正仿宋简体" w:eastAsia="方正仿宋简体" w:cs="方正仿宋简体"/>
          <w:color w:val="auto"/>
          <w:sz w:val="32"/>
          <w:szCs w:val="32"/>
          <w:highlight w:val="none"/>
          <w:lang w:val="zh-CN" w:eastAsia="zh-CN"/>
        </w:rPr>
        <w:t>.与绩效评价相关者沟通，完善并形成绩效评价报告终稿。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12" w:name="_Toc23900"/>
      <w:bookmarkStart w:id="113" w:name="_Toc28553"/>
      <w:bookmarkStart w:id="114" w:name="_Toc9033"/>
      <w:bookmarkStart w:id="115" w:name="_Toc29991"/>
      <w:bookmarkStart w:id="116" w:name="_Toc16416"/>
      <w:bookmarkStart w:id="117" w:name="_Toc30977"/>
      <w:r>
        <w:rPr>
          <w:rFonts w:hint="eastAsia" w:ascii="方正楷体简体" w:hAnsi="方正楷体简体" w:eastAsia="方正楷体简体" w:cs="方正楷体简体"/>
          <w:color w:val="auto"/>
          <w:kern w:val="2"/>
          <w:sz w:val="32"/>
          <w:szCs w:val="32"/>
          <w:highlight w:val="none"/>
          <w:shd w:val="clear"/>
          <w:lang w:val="zh-CN" w:eastAsia="zh-CN"/>
        </w:rPr>
        <w:t>（</w:t>
      </w:r>
      <w:r>
        <w:rPr>
          <w:rFonts w:hint="eastAsia" w:ascii="方正楷体简体" w:hAnsi="方正楷体简体" w:eastAsia="方正楷体简体" w:cs="方正楷体简体"/>
          <w:color w:val="auto"/>
          <w:kern w:val="2"/>
          <w:sz w:val="32"/>
          <w:szCs w:val="32"/>
          <w:highlight w:val="none"/>
          <w:shd w:val="clear"/>
          <w:lang w:val="en-US" w:eastAsia="zh-CN"/>
        </w:rPr>
        <w:t>二）</w:t>
      </w:r>
      <w:bookmarkEnd w:id="107"/>
      <w:bookmarkEnd w:id="108"/>
      <w:r>
        <w:rPr>
          <w:rFonts w:hint="eastAsia" w:ascii="方正楷体简体" w:hAnsi="方正楷体简体" w:eastAsia="方正楷体简体" w:cs="方正楷体简体"/>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26CB764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中国共产党泸定县委员会党校深入全面贯彻党的二十大、省委十二届三次全会、州委十二届五次全会、县委十四届四次全会精神，以习近平新时代中国特色社会主义思想为指导，坚持党的领导、人民当家作主、依法治国有机统一，在发挥人民代表大会制度优势、发展全过程人民民主的伟大实践中加强党员干部和教职工自身学习。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按照设定的评价指标体系，通过对中国共产党泸定县委员会党校</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年度部门整体支出情况在预算编制、预算执行、完成结果、信息公开、整改反馈、自评质量方面进行综合评价，</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年度中国共产党泸定县委员会党校部门整体支出绩效评价指标分值</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w:t>
      </w:r>
      <w:r>
        <w:rPr>
          <w:rFonts w:hint="default" w:ascii="Times New Roman" w:hAnsi="Times New Roman" w:eastAsia="方正仿宋简体" w:cs="Times New Roman"/>
          <w:color w:val="auto"/>
          <w:sz w:val="32"/>
          <w:szCs w:val="32"/>
          <w:highlight w:val="none"/>
          <w:lang w:val="en-US" w:eastAsia="zh-CN"/>
        </w:rPr>
        <w:t>89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25</w:t>
      </w:r>
      <w:r>
        <w:rPr>
          <w:rFonts w:hint="eastAsia" w:ascii="方正仿宋简体" w:hAnsi="方正仿宋简体" w:eastAsia="方正仿宋简体" w:cs="方正仿宋简体"/>
          <w:color w:val="auto"/>
          <w:sz w:val="32"/>
          <w:szCs w:val="32"/>
          <w:highlight w:val="none"/>
          <w:lang w:val="en-US" w:eastAsia="zh-CN"/>
        </w:rPr>
        <w:t>分。详见下表：</w:t>
      </w:r>
    </w:p>
    <w:p w14:paraId="586E1AED">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中国共产党泸定县委员会党校</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年部门整体支出绩效评价评分表</w:t>
      </w:r>
    </w:p>
    <w:tbl>
      <w:tblPr>
        <w:tblStyle w:val="18"/>
        <w:tblW w:w="4998" w:type="pct"/>
        <w:jc w:val="center"/>
        <w:tblLayout w:type="autofit"/>
        <w:tblCellMar>
          <w:top w:w="0" w:type="dxa"/>
          <w:left w:w="108" w:type="dxa"/>
          <w:bottom w:w="0" w:type="dxa"/>
          <w:right w:w="108" w:type="dxa"/>
        </w:tblCellMar>
      </w:tblPr>
      <w:tblGrid>
        <w:gridCol w:w="1633"/>
        <w:gridCol w:w="1576"/>
        <w:gridCol w:w="2151"/>
        <w:gridCol w:w="1111"/>
        <w:gridCol w:w="1350"/>
        <w:gridCol w:w="7"/>
        <w:gridCol w:w="1228"/>
      </w:tblGrid>
      <w:tr w14:paraId="067C3E46">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A37D">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289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F55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F5D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1FD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CB2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得分</w:t>
            </w:r>
          </w:p>
        </w:tc>
      </w:tr>
      <w:tr w14:paraId="1D8435F3">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4BCA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部门预算管理（</w:t>
            </w:r>
            <w:r>
              <w:rPr>
                <w:rFonts w:hint="default" w:ascii="Times New Roman" w:hAnsi="Times New Roman" w:eastAsia="方正仿宋简体" w:cs="Times New Roman"/>
                <w:color w:val="auto"/>
                <w:kern w:val="0"/>
                <w:sz w:val="32"/>
                <w:szCs w:val="32"/>
                <w:highlight w:val="none"/>
                <w:lang w:eastAsia="zh"/>
              </w:rPr>
              <w:t>8</w:t>
            </w:r>
            <w:r>
              <w:rPr>
                <w:rFonts w:hint="default" w:ascii="Times New Roman" w:hAnsi="Times New Roman" w:eastAsia="方正仿宋简体" w:cs="Times New Roman"/>
                <w:color w:val="auto"/>
                <w:kern w:val="0"/>
                <w:sz w:val="32"/>
                <w:szCs w:val="32"/>
                <w:highlight w:val="none"/>
              </w:rPr>
              <w:t>0</w:t>
            </w:r>
            <w:r>
              <w:rPr>
                <w:rFonts w:hint="eastAsia" w:ascii="方正仿宋简体" w:hAnsi="方正仿宋简体" w:eastAsia="方正仿宋简体" w:cs="方正仿宋简体"/>
                <w:color w:val="auto"/>
                <w:kern w:val="0"/>
                <w:sz w:val="32"/>
                <w:szCs w:val="32"/>
                <w:highlight w:val="none"/>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F97F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预算编制</w:t>
            </w:r>
          </w:p>
          <w:p w14:paraId="620D76F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lang w:eastAsia="zh"/>
              </w:rPr>
              <w:t>30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C3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82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FE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E5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1E7C6D5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29A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12D6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7CD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8EF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72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6C2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5B95C501">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FC6E">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51AB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7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A3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30</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8F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3</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70</w:t>
            </w:r>
          </w:p>
        </w:tc>
      </w:tr>
      <w:tr w14:paraId="1021FD26">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E1217">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9EA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预算执行</w:t>
            </w:r>
          </w:p>
          <w:p w14:paraId="15EAE39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3</w:t>
            </w:r>
            <w:r>
              <w:rPr>
                <w:rFonts w:hint="default" w:ascii="Times New Roman" w:hAnsi="Times New Roman" w:eastAsia="方正仿宋简体" w:cs="Times New Roman"/>
                <w:color w:val="auto"/>
                <w:sz w:val="32"/>
                <w:szCs w:val="32"/>
                <w:highlight w:val="none"/>
              </w:rPr>
              <w:t>0</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B6D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629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0FD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45</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8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5</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55</w:t>
            </w:r>
          </w:p>
        </w:tc>
      </w:tr>
      <w:tr w14:paraId="1839BDC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770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71A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49D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B22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3F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F0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614AAF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9445">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A10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30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03A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1A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AA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3DABA56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6F05E">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467D">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74BFB09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20</w:t>
            </w:r>
            <w:r>
              <w:rPr>
                <w:rFonts w:hint="eastAsia" w:ascii="方正仿宋简体" w:hAnsi="方正仿宋简体" w:eastAsia="方正仿宋简体" w:cs="方正仿宋简体"/>
                <w:color w:val="auto"/>
                <w:sz w:val="32"/>
                <w:szCs w:val="32"/>
                <w:highlight w:val="none"/>
                <w:lang w:val="en-US" w:eastAsia="zh-CN"/>
              </w:rPr>
              <w:t>分</w:t>
            </w:r>
            <w:r>
              <w:rPr>
                <w:rFonts w:hint="eastAsia" w:ascii="方正仿宋简体" w:hAnsi="方正仿宋简体" w:eastAsia="方正仿宋简体" w:cs="方正仿宋简体"/>
                <w:color w:val="auto"/>
                <w:sz w:val="32"/>
                <w:szCs w:val="32"/>
                <w:highlight w:val="none"/>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A9B6">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FA8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3BB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23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A6E2A1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96C1F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7049">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5CC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7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F5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05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66D40231">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8141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绩效结果应用（</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323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信息公开</w:t>
            </w:r>
          </w:p>
          <w:p w14:paraId="39628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2</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03897E1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BF3BF8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02E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F0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7F66AD10">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ED798">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71BF94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整改反馈</w:t>
            </w:r>
          </w:p>
          <w:p w14:paraId="75905C8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8</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38DC09D6">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BDE06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89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970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0D29CB6E">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08F7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8AA407">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68E0257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AB747E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4B0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0B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18A120D9">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5C42AEB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自评质量</w:t>
            </w:r>
          </w:p>
          <w:p w14:paraId="3DBB56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2CC976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9A92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2FE8F72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838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1E5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56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7A4D91B7">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0BC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B85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rPr>
              <w:t>100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6D6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75</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F1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89</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25</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18" w:name="_Toc30306"/>
      <w:bookmarkStart w:id="119" w:name="_Toc10512"/>
      <w:bookmarkStart w:id="120" w:name="_Toc16454"/>
      <w:bookmarkStart w:id="121" w:name="_Toc16394"/>
      <w:bookmarkStart w:id="122" w:name="_Toc1687911260"/>
      <w:bookmarkStart w:id="123" w:name="_Toc109483841"/>
      <w:bookmarkStart w:id="124" w:name="_Toc26985"/>
      <w:bookmarkStart w:id="125" w:name="_Toc31945"/>
      <w:bookmarkStart w:id="126" w:name="_Toc28266"/>
      <w:bookmarkStart w:id="127" w:name="_Toc24818"/>
      <w:r>
        <w:rPr>
          <w:rFonts w:hint="eastAsia" w:ascii="方正楷体简体" w:hAnsi="方正楷体简体" w:eastAsia="方正楷体简体" w:cs="方正楷体简体"/>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中国共产党泸定县委员会党校</w:t>
      </w:r>
      <w:r>
        <w:rPr>
          <w:rFonts w:hint="eastAsia" w:ascii="方正仿宋简体" w:hAnsi="方正仿宋简体" w:eastAsia="方正仿宋简体" w:cs="方正仿宋简体"/>
          <w:color w:val="auto"/>
          <w:sz w:val="32"/>
          <w:szCs w:val="32"/>
          <w:highlight w:val="none"/>
          <w:lang w:val="en-US" w:eastAsia="zh"/>
        </w:rPr>
        <w:t>认真落实中央、省、州纪委全会部署安排，积极主动围绕中心服务大局，坚定不移正风肃纪反腐</w:t>
      </w:r>
      <w:r>
        <w:rPr>
          <w:rFonts w:hint="eastAsia" w:ascii="方正仿宋简体" w:hAnsi="方正仿宋简体" w:eastAsia="方正仿宋简体" w:cs="方正仿宋简体"/>
          <w:color w:val="auto"/>
          <w:sz w:val="32"/>
          <w:szCs w:val="32"/>
          <w:highlight w:val="none"/>
          <w:lang w:val="en-US" w:eastAsia="zh-CN"/>
        </w:rPr>
        <w:t>。通过评价组对中国共产党泸定县委员会党校进行事后评价，中国共产党泸定县委员会党校绩效评价等级为“良”。秉承科学公正、统筹兼顾、激励约束和公开透明财政绩效原则。我单位建议泸定县财政局针对部门预算绩效管理，进一步要求中国共产党泸定县委员会党校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28" w:name="_Toc17077"/>
      <w:bookmarkStart w:id="129" w:name="_Toc24001"/>
      <w:bookmarkStart w:id="130" w:name="_Toc14387"/>
      <w:r>
        <w:rPr>
          <w:rFonts w:hint="eastAsia" w:ascii="方正楷体简体" w:hAnsi="方正楷体简体" w:eastAsia="方正楷体简体" w:cs="方正楷体简体"/>
          <w:color w:val="auto"/>
          <w:kern w:val="2"/>
          <w:sz w:val="32"/>
          <w:szCs w:val="32"/>
          <w:highlight w:val="none"/>
          <w:shd w:val="clear"/>
          <w:lang w:val="en-US" w:eastAsia="zh-CN"/>
        </w:rPr>
        <w:t>（四）</w:t>
      </w:r>
      <w:bookmarkEnd w:id="121"/>
      <w:bookmarkEnd w:id="122"/>
      <w:bookmarkEnd w:id="123"/>
      <w:bookmarkEnd w:id="124"/>
      <w:r>
        <w:rPr>
          <w:rFonts w:hint="eastAsia" w:ascii="方正楷体简体" w:hAnsi="方正楷体简体" w:eastAsia="方正楷体简体" w:cs="方正楷体简体"/>
          <w:color w:val="auto"/>
          <w:kern w:val="2"/>
          <w:sz w:val="32"/>
          <w:szCs w:val="32"/>
          <w:highlight w:val="none"/>
          <w:shd w:val="clear"/>
          <w:lang w:val="en-US" w:eastAsia="zh-CN"/>
        </w:rPr>
        <w:t>评价分析</w:t>
      </w:r>
      <w:bookmarkEnd w:id="125"/>
      <w:bookmarkEnd w:id="126"/>
      <w:bookmarkEnd w:id="127"/>
      <w:bookmarkEnd w:id="128"/>
      <w:bookmarkEnd w:id="129"/>
      <w:bookmarkEnd w:id="130"/>
    </w:p>
    <w:p w14:paraId="18E7688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.预算编制</w:t>
      </w:r>
    </w:p>
    <w:p w14:paraId="14F83E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二级指标“预算编制”下设三个三级指标分别为：目标制定、目标实现、编制准确。</w:t>
      </w:r>
    </w:p>
    <w:p w14:paraId="5852C13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kern w:val="2"/>
          <w:sz w:val="32"/>
          <w:szCs w:val="32"/>
          <w:highlight w:val="none"/>
          <w:lang w:val="en-US" w:eastAsia="zh-CN" w:bidi="ar-SA"/>
        </w:rPr>
        <w:t>（1）</w:t>
      </w:r>
      <w:r>
        <w:rPr>
          <w:rFonts w:hint="eastAsia" w:ascii="方正仿宋简体" w:hAnsi="方正仿宋简体" w:eastAsia="方正仿宋简体" w:cs="方正仿宋简体"/>
          <w:color w:val="auto"/>
          <w:sz w:val="32"/>
          <w:szCs w:val="32"/>
          <w:highlight w:val="none"/>
        </w:rPr>
        <w:t>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kern w:val="0"/>
          <w:sz w:val="32"/>
          <w:szCs w:val="32"/>
          <w:highlight w:val="none"/>
          <w:lang w:bidi="ar"/>
        </w:rPr>
        <w:t>根据中国共产党泸定县委员会党校</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w:t>
      </w:r>
      <w:r>
        <w:rPr>
          <w:rFonts w:hint="eastAsia" w:ascii="方正仿宋简体" w:hAnsi="方正仿宋简体" w:eastAsia="方正仿宋简体" w:cs="方正仿宋简体"/>
          <w:kern w:val="0"/>
          <w:sz w:val="32"/>
          <w:szCs w:val="32"/>
          <w:highlight w:val="none"/>
          <w:lang w:val="en-US" w:eastAsia="zh-CN" w:bidi="ar"/>
        </w:rPr>
        <w:t>部门</w:t>
      </w:r>
      <w:r>
        <w:rPr>
          <w:rFonts w:hint="eastAsia" w:ascii="方正仿宋简体" w:hAnsi="方正仿宋简体" w:eastAsia="方正仿宋简体" w:cs="方正仿宋简体"/>
          <w:kern w:val="0"/>
          <w:sz w:val="32"/>
          <w:szCs w:val="32"/>
          <w:highlight w:val="none"/>
          <w:lang w:bidi="ar"/>
        </w:rPr>
        <w:t>绩效目标申报表显示，设定了</w:t>
      </w:r>
      <w:r>
        <w:rPr>
          <w:rFonts w:hint="default" w:ascii="Times New Roman" w:hAnsi="Times New Roman" w:eastAsia="方正仿宋简体" w:cs="Times New Roman"/>
          <w:kern w:val="0"/>
          <w:sz w:val="32"/>
          <w:szCs w:val="32"/>
          <w:highlight w:val="none"/>
          <w:lang w:bidi="ar"/>
        </w:rPr>
        <w:t>6</w:t>
      </w:r>
      <w:r>
        <w:rPr>
          <w:rFonts w:hint="eastAsia" w:ascii="方正仿宋简体" w:hAnsi="方正仿宋简体" w:eastAsia="方正仿宋简体" w:cs="方正仿宋简体"/>
          <w:kern w:val="0"/>
          <w:sz w:val="32"/>
          <w:szCs w:val="32"/>
          <w:highlight w:val="none"/>
          <w:lang w:bidi="ar"/>
        </w:rPr>
        <w:t>个二级绩效指标，包括数量指标、质量指标、时效指标、经济成本指标、社会效益指标、满意度指标。指标设定完整、细化量化</w:t>
      </w:r>
      <w:r>
        <w:rPr>
          <w:rFonts w:hint="eastAsia" w:ascii="方正仿宋简体" w:hAnsi="方正仿宋简体" w:eastAsia="方正仿宋简体" w:cs="方正仿宋简体"/>
          <w:color w:val="auto"/>
          <w:sz w:val="32"/>
          <w:szCs w:val="32"/>
          <w:highlight w:val="none"/>
          <w:lang w:val="en-US" w:eastAsia="zh-CN"/>
        </w:rPr>
        <w:t>。</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51439E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）目标实现</w:t>
      </w:r>
    </w:p>
    <w:p w14:paraId="692F37B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根据中国共产党泸定县委员会党校提供的</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年度部门绩效目标申报表及完成资料，中国共产党泸定县委员会党校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年设定数量指标：开展主题班≥</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个，实际开展主题班次</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次，质量指标：学员培训合格率=</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，学员通过考试等测评方式全部完成结业。</w:t>
      </w:r>
    </w:p>
    <w:p w14:paraId="35DC9D7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7E475D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）编制准确</w:t>
      </w:r>
    </w:p>
    <w:p w14:paraId="4F1D52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kern w:val="0"/>
          <w:sz w:val="32"/>
          <w:szCs w:val="32"/>
          <w:highlight w:val="none"/>
          <w:lang w:eastAsia="zh" w:bidi="ar"/>
        </w:rPr>
        <w:t>根据可执行指标执行情况表显示：</w:t>
      </w:r>
      <w:r>
        <w:rPr>
          <w:rFonts w:hint="eastAsia" w:ascii="方正仿宋简体" w:hAnsi="方正仿宋简体" w:eastAsia="方正仿宋简体" w:cs="方正仿宋简体"/>
          <w:kern w:val="0"/>
          <w:sz w:val="32"/>
          <w:szCs w:val="32"/>
          <w:highlight w:val="none"/>
          <w:lang w:eastAsia="zh-CN" w:bidi="ar"/>
        </w:rPr>
        <w:t>中国共产党泸定县委员会党校</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年部门全年预算调剂金额为</w:t>
      </w:r>
      <w:r>
        <w:rPr>
          <w:rFonts w:hint="default" w:ascii="Times New Roman" w:hAnsi="Times New Roman" w:eastAsia="方正仿宋简体" w:cs="Times New Roman"/>
          <w:kern w:val="0"/>
          <w:sz w:val="32"/>
          <w:szCs w:val="32"/>
          <w:highlight w:val="none"/>
          <w:lang w:val="en-US" w:eastAsia="zh-CN" w:bidi="ar"/>
        </w:rPr>
        <w:t>12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73</w:t>
      </w:r>
      <w:r>
        <w:rPr>
          <w:rFonts w:hint="eastAsia" w:ascii="方正仿宋简体" w:hAnsi="方正仿宋简体" w:eastAsia="方正仿宋简体" w:cs="方正仿宋简体"/>
          <w:kern w:val="0"/>
          <w:sz w:val="32"/>
          <w:szCs w:val="32"/>
          <w:highlight w:val="none"/>
          <w:lang w:eastAsia="zh" w:bidi="ar"/>
        </w:rPr>
        <w:t>万元，年初部门预算数为</w:t>
      </w:r>
      <w:r>
        <w:rPr>
          <w:rFonts w:hint="default" w:ascii="Times New Roman" w:hAnsi="Times New Roman" w:eastAsia="方正仿宋简体" w:cs="Times New Roman"/>
          <w:kern w:val="0"/>
          <w:sz w:val="32"/>
          <w:szCs w:val="32"/>
          <w:highlight w:val="none"/>
          <w:lang w:val="en-US" w:eastAsia="zh-CN" w:bidi="ar"/>
        </w:rPr>
        <w:t>202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14</w:t>
      </w:r>
      <w:r>
        <w:rPr>
          <w:rFonts w:hint="eastAsia" w:ascii="方正仿宋简体" w:hAnsi="方正仿宋简体" w:eastAsia="方正仿宋简体" w:cs="方正仿宋简体"/>
          <w:kern w:val="0"/>
          <w:sz w:val="32"/>
          <w:szCs w:val="32"/>
          <w:highlight w:val="none"/>
          <w:lang w:eastAsia="zh" w:bidi="ar"/>
        </w:rPr>
        <w:t>万元，预算调剂率为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val="en-US" w:eastAsia="zh-CN" w:bidi="ar"/>
        </w:rPr>
        <w:t>3</w:t>
      </w:r>
      <w:r>
        <w:rPr>
          <w:rFonts w:hint="default" w:ascii="Times New Roman" w:hAnsi="Times New Roman" w:eastAsia="方正仿宋简体" w:cs="Times New Roman"/>
          <w:kern w:val="0"/>
          <w:sz w:val="32"/>
          <w:szCs w:val="32"/>
          <w:highlight w:val="none"/>
          <w:lang w:eastAsia="zh" w:bidi="ar"/>
        </w:rPr>
        <w:t>0%</w:t>
      </w:r>
      <w:r>
        <w:rPr>
          <w:rFonts w:hint="eastAsia" w:ascii="方正仿宋简体" w:hAnsi="方正仿宋简体" w:eastAsia="方正仿宋简体" w:cs="方正仿宋简体"/>
          <w:color w:val="auto"/>
          <w:sz w:val="32"/>
          <w:szCs w:val="32"/>
          <w:highlight w:val="none"/>
          <w:lang w:val="en-US" w:eastAsia="zh-CN"/>
        </w:rPr>
        <w:t>。</w:t>
      </w:r>
    </w:p>
    <w:p w14:paraId="48CC36A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70</w:t>
      </w:r>
      <w:r>
        <w:rPr>
          <w:rFonts w:hint="eastAsia" w:ascii="方正仿宋简体" w:hAnsi="方正仿宋简体" w:eastAsia="方正仿宋简体" w:cs="方正仿宋简体"/>
          <w:color w:val="auto"/>
          <w:sz w:val="32"/>
          <w:szCs w:val="32"/>
          <w:highlight w:val="none"/>
          <w:lang w:val="en-US" w:eastAsia="zh-CN"/>
        </w:rPr>
        <w:t>分。</w:t>
      </w:r>
    </w:p>
    <w:p w14:paraId="546DE47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二级指标“预算编制”指标分共计</w:t>
      </w:r>
      <w:r>
        <w:rPr>
          <w:rFonts w:hint="default" w:ascii="Times New Roman" w:hAnsi="Times New Roman" w:eastAsia="方正仿宋简体" w:cs="Times New Roman"/>
          <w:color w:val="auto"/>
          <w:sz w:val="32"/>
          <w:szCs w:val="32"/>
          <w:highlight w:val="none"/>
          <w:lang w:val="en-US" w:eastAsia="zh"/>
        </w:rPr>
        <w:t>30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70</w:t>
      </w:r>
      <w:r>
        <w:rPr>
          <w:rFonts w:hint="eastAsia" w:ascii="方正仿宋简体" w:hAnsi="方正仿宋简体" w:eastAsia="方正仿宋简体" w:cs="方正仿宋简体"/>
          <w:color w:val="auto"/>
          <w:sz w:val="32"/>
          <w:szCs w:val="32"/>
          <w:highlight w:val="none"/>
          <w:lang w:val="en-US" w:eastAsia="zh-CN"/>
        </w:rPr>
        <w:t>分。</w:t>
      </w:r>
    </w:p>
    <w:p w14:paraId="07A8489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.预算执行</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二级指标“预算执行”下设三个三级指标分别为：支出控制、动态调整和执行进度。</w:t>
      </w:r>
    </w:p>
    <w:p w14:paraId="2AC6A60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）支出控制</w:t>
      </w:r>
    </w:p>
    <w:p w14:paraId="453EC0F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根据中国共产党泸定县委员会党校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年中国共产党泸定县委员会党校日常公用经费、项目支出中“办公费、福利费、差旅费”等</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个科目，年初预算数合计</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46</w:t>
      </w:r>
      <w:r>
        <w:rPr>
          <w:rFonts w:hint="eastAsia" w:ascii="方正仿宋简体" w:hAnsi="方正仿宋简体" w:eastAsia="方正仿宋简体" w:cs="方正仿宋简体"/>
          <w:color w:val="auto"/>
          <w:sz w:val="32"/>
          <w:szCs w:val="32"/>
          <w:highlight w:val="none"/>
          <w:lang w:val="en-US" w:eastAsia="zh-CN"/>
        </w:rPr>
        <w:t>万元，决算数合计</w:t>
      </w:r>
      <w:r>
        <w:rPr>
          <w:rFonts w:hint="default" w:ascii="Times New Roman" w:hAnsi="Times New Roman" w:eastAsia="方正仿宋简体" w:cs="Times New Roman"/>
          <w:color w:val="auto"/>
          <w:sz w:val="32"/>
          <w:szCs w:val="32"/>
          <w:highlight w:val="none"/>
          <w:lang w:val="en-US" w:eastAsia="zh-CN"/>
        </w:rPr>
        <w:t>18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万元，总体预决算偏差率</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85%</w:t>
      </w:r>
      <w:r>
        <w:rPr>
          <w:rFonts w:hint="eastAsia" w:ascii="方正仿宋简体" w:hAnsi="方正仿宋简体" w:eastAsia="方正仿宋简体" w:cs="方正仿宋简体"/>
          <w:color w:val="auto"/>
          <w:sz w:val="32"/>
          <w:szCs w:val="32"/>
          <w:highlight w:val="none"/>
          <w:lang w:val="en-US" w:eastAsia="zh-CN"/>
        </w:rPr>
        <w:t>。其中：办公费年初预算数</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01</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32</w:t>
      </w:r>
      <w:r>
        <w:rPr>
          <w:rFonts w:hint="eastAsia" w:ascii="方正仿宋简体" w:hAnsi="方正仿宋简体" w:eastAsia="方正仿宋简体" w:cs="方正仿宋简体"/>
          <w:color w:val="auto"/>
          <w:sz w:val="32"/>
          <w:szCs w:val="32"/>
          <w:highlight w:val="none"/>
          <w:lang w:val="en-US" w:eastAsia="zh-CN"/>
        </w:rPr>
        <w:t>万元，执行偏差率</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CN"/>
        </w:rPr>
        <w:t>；水费年初预算数</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18</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08</w:t>
      </w:r>
      <w:r>
        <w:rPr>
          <w:rFonts w:hint="eastAsia" w:ascii="方正仿宋简体" w:hAnsi="方正仿宋简体" w:eastAsia="方正仿宋简体" w:cs="方正仿宋简体"/>
          <w:color w:val="auto"/>
          <w:sz w:val="32"/>
          <w:szCs w:val="32"/>
          <w:highlight w:val="none"/>
          <w:lang w:val="en-US" w:eastAsia="zh-CN"/>
        </w:rPr>
        <w:t>万元，执行偏差率</w:t>
      </w:r>
      <w:r>
        <w:rPr>
          <w:rFonts w:hint="default" w:ascii="Times New Roman" w:hAnsi="Times New Roman" w:eastAsia="方正仿宋简体" w:cs="Times New Roman"/>
          <w:color w:val="auto"/>
          <w:sz w:val="32"/>
          <w:szCs w:val="32"/>
          <w:highlight w:val="none"/>
          <w:lang w:val="en-US" w:eastAsia="zh-CN"/>
        </w:rPr>
        <w:t>55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56%</w:t>
      </w:r>
      <w:r>
        <w:rPr>
          <w:rFonts w:hint="eastAsia" w:ascii="方正仿宋简体" w:hAnsi="方正仿宋简体" w:eastAsia="方正仿宋简体" w:cs="方正仿宋简体"/>
          <w:color w:val="auto"/>
          <w:sz w:val="32"/>
          <w:szCs w:val="32"/>
          <w:highlight w:val="none"/>
          <w:lang w:val="en-US" w:eastAsia="zh-CN"/>
        </w:rPr>
        <w:t>；差旅费年初预算数</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60</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71</w:t>
      </w:r>
      <w:r>
        <w:rPr>
          <w:rFonts w:hint="eastAsia" w:ascii="方正仿宋简体" w:hAnsi="方正仿宋简体" w:eastAsia="方正仿宋简体" w:cs="方正仿宋简体"/>
          <w:color w:val="auto"/>
          <w:sz w:val="32"/>
          <w:szCs w:val="32"/>
          <w:highlight w:val="none"/>
          <w:lang w:val="en-US" w:eastAsia="zh-CN"/>
        </w:rPr>
        <w:t>万元，执行偏差率</w:t>
      </w:r>
      <w:r>
        <w:rPr>
          <w:rFonts w:hint="default" w:ascii="Times New Roman" w:hAnsi="Times New Roman" w:eastAsia="方正仿宋简体" w:cs="Times New Roman"/>
          <w:color w:val="auto"/>
          <w:sz w:val="32"/>
          <w:szCs w:val="32"/>
          <w:highlight w:val="none"/>
          <w:lang w:val="en-US" w:eastAsia="zh-CN"/>
        </w:rPr>
        <w:t>24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72%</w:t>
      </w:r>
      <w:r>
        <w:rPr>
          <w:rFonts w:hint="eastAsia" w:ascii="方正仿宋简体" w:hAnsi="方正仿宋简体" w:eastAsia="方正仿宋简体" w:cs="方正仿宋简体"/>
          <w:color w:val="auto"/>
          <w:sz w:val="32"/>
          <w:szCs w:val="32"/>
          <w:highlight w:val="none"/>
          <w:lang w:val="en-US" w:eastAsia="zh-CN"/>
        </w:rPr>
        <w:t>。</w:t>
      </w:r>
    </w:p>
    <w:p w14:paraId="51F3DF05">
      <w:pPr>
        <w:keepNext w:val="0"/>
        <w:keepLines w:val="0"/>
        <w:pageBreakBefore w:val="0"/>
        <w:kinsoku/>
        <w:wordWrap/>
        <w:overflowPunct/>
        <w:topLinePunct w:val="0"/>
        <w:autoSpaceDE/>
        <w:autoSpaceDN/>
        <w:bidi w:val="0"/>
        <w:spacing w:line="600" w:lineRule="exact"/>
        <w:ind w:left="0" w:leftChars="0" w:right="0" w:rightChars="0" w:firstLine="6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45</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55</w:t>
      </w:r>
      <w:r>
        <w:rPr>
          <w:rFonts w:hint="eastAsia" w:ascii="方正仿宋简体" w:hAnsi="方正仿宋简体" w:eastAsia="方正仿宋简体" w:cs="方正仿宋简体"/>
          <w:color w:val="auto"/>
          <w:sz w:val="32"/>
          <w:szCs w:val="32"/>
          <w:highlight w:val="none"/>
          <w:lang w:val="en-US" w:eastAsia="zh-CN"/>
        </w:rPr>
        <w:t>分。</w:t>
      </w:r>
    </w:p>
    <w:p w14:paraId="22956C49">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）动态调整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中国共产党泸定县委员会党校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年部门绩效监控调整取消额为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，根据可执行指标执行情况表显示当年年度预算总额为</w:t>
      </w:r>
      <w:r>
        <w:rPr>
          <w:rFonts w:hint="default" w:ascii="Times New Roman" w:hAnsi="Times New Roman" w:eastAsia="方正仿宋简体" w:cs="Times New Roman"/>
          <w:color w:val="auto"/>
          <w:sz w:val="32"/>
          <w:szCs w:val="32"/>
          <w:highlight w:val="none"/>
          <w:lang w:val="en-US" w:eastAsia="zh-CN"/>
        </w:rPr>
        <w:t>202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万元，年末未使用完指标结余注销金额（县级预算）为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756E4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）执行进度</w:t>
      </w:r>
    </w:p>
    <w:p w14:paraId="6AE6CFE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根据中国共产党泸定县委员会党校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年度预算、决算报表以及</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年一体化平台“可执行指标执行情况表”，相关月份预算执行进度如下：</w:t>
      </w:r>
    </w:p>
    <w:p w14:paraId="2BFC62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月末累计实现预算支出</w:t>
      </w:r>
      <w:r>
        <w:rPr>
          <w:rFonts w:hint="default" w:ascii="Times New Roman" w:hAnsi="Times New Roman" w:eastAsia="方正仿宋简体" w:cs="Times New Roman"/>
          <w:color w:val="auto"/>
          <w:sz w:val="32"/>
          <w:szCs w:val="32"/>
          <w:highlight w:val="none"/>
          <w:lang w:val="en-US" w:eastAsia="zh-CN"/>
        </w:rPr>
        <w:t>121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99</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217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63</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56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05%</w:t>
      </w:r>
      <w:r>
        <w:rPr>
          <w:rFonts w:hint="eastAsia" w:ascii="方正仿宋简体" w:hAnsi="方正仿宋简体" w:eastAsia="方正仿宋简体" w:cs="方正仿宋简体"/>
          <w:color w:val="auto"/>
          <w:sz w:val="32"/>
          <w:szCs w:val="32"/>
          <w:highlight w:val="none"/>
          <w:lang w:val="en-US" w:eastAsia="zh-CN"/>
        </w:rPr>
        <w:t>。</w:t>
      </w:r>
    </w:p>
    <w:p w14:paraId="1D2194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月末累计实现预算支出</w:t>
      </w:r>
      <w:r>
        <w:rPr>
          <w:rFonts w:hint="default" w:ascii="Times New Roman" w:hAnsi="Times New Roman" w:eastAsia="方正仿宋简体" w:cs="Times New Roman"/>
          <w:color w:val="auto"/>
          <w:sz w:val="32"/>
          <w:szCs w:val="32"/>
          <w:highlight w:val="none"/>
          <w:lang w:val="en-US" w:eastAsia="zh-CN"/>
        </w:rPr>
        <w:t>163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70</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217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63</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75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22%</w:t>
      </w:r>
      <w:r>
        <w:rPr>
          <w:rFonts w:hint="eastAsia" w:ascii="方正仿宋简体" w:hAnsi="方正仿宋简体" w:eastAsia="方正仿宋简体" w:cs="方正仿宋简体"/>
          <w:color w:val="auto"/>
          <w:sz w:val="32"/>
          <w:szCs w:val="32"/>
          <w:highlight w:val="none"/>
          <w:lang w:val="en-US" w:eastAsia="zh-CN"/>
        </w:rPr>
        <w:t>。</w:t>
      </w:r>
    </w:p>
    <w:p w14:paraId="3B391B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月末实现累计预算支出</w:t>
      </w:r>
      <w:r>
        <w:rPr>
          <w:rFonts w:hint="default" w:ascii="Times New Roman" w:hAnsi="Times New Roman" w:eastAsia="方正仿宋简体" w:cs="Times New Roman"/>
          <w:color w:val="auto"/>
          <w:sz w:val="32"/>
          <w:szCs w:val="32"/>
          <w:highlight w:val="none"/>
          <w:lang w:val="en-US" w:eastAsia="zh-CN"/>
        </w:rPr>
        <w:t>215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87</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217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63</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99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19%</w:t>
      </w:r>
      <w:r>
        <w:rPr>
          <w:rFonts w:hint="eastAsia" w:ascii="方正仿宋简体" w:hAnsi="方正仿宋简体" w:eastAsia="方正仿宋简体" w:cs="方正仿宋简体"/>
          <w:color w:val="auto"/>
          <w:sz w:val="32"/>
          <w:szCs w:val="32"/>
          <w:highlight w:val="none"/>
          <w:lang w:val="en-US" w:eastAsia="zh-CN"/>
        </w:rPr>
        <w:t xml:space="preserve">。  </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 xml:space="preserve">综上，以上三个阶段的执行进度均已达到目标进度。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679B2E5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二级指标“预算执行”指标分共计</w:t>
      </w:r>
      <w:r>
        <w:rPr>
          <w:rFonts w:hint="default" w:ascii="Times New Roman" w:hAnsi="Times New Roman" w:eastAsia="方正仿宋简体" w:cs="Times New Roman"/>
          <w:color w:val="auto"/>
          <w:sz w:val="32"/>
          <w:szCs w:val="32"/>
          <w:highlight w:val="none"/>
          <w:lang w:val="en-US" w:eastAsia="zh"/>
        </w:rPr>
        <w:t>3</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45</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55</w:t>
      </w:r>
      <w:r>
        <w:rPr>
          <w:rFonts w:hint="eastAsia" w:ascii="方正仿宋简体" w:hAnsi="方正仿宋简体" w:eastAsia="方正仿宋简体" w:cs="方正仿宋简体"/>
          <w:color w:val="auto"/>
          <w:sz w:val="32"/>
          <w:szCs w:val="32"/>
          <w:highlight w:val="none"/>
          <w:lang w:val="en-US" w:eastAsia="zh-CN"/>
        </w:rPr>
        <w:t>分。</w:t>
      </w:r>
    </w:p>
    <w:p w14:paraId="28F3F602">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eastAsia" w:ascii="Times New Roman" w:hAnsi="Times New Roman" w:eastAsia="方正仿宋简体" w:cs="Times New Roman"/>
          <w:color w:val="auto"/>
          <w:kern w:val="2"/>
          <w:sz w:val="32"/>
          <w:szCs w:val="32"/>
          <w:highlight w:val="none"/>
          <w:lang w:val="en-US" w:eastAsia="zh-CN" w:bidi="ar-SA"/>
        </w:rPr>
        <w:t>3.</w:t>
      </w:r>
      <w:r>
        <w:rPr>
          <w:rFonts w:hint="eastAsia" w:ascii="方正仿宋简体" w:hAnsi="方正仿宋简体" w:eastAsia="方正仿宋简体" w:cs="方正仿宋简体"/>
          <w:color w:val="auto"/>
          <w:sz w:val="32"/>
          <w:szCs w:val="32"/>
          <w:highlight w:val="none"/>
        </w:rPr>
        <w:t>完成结果</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二级指标“完成结果”下设两个三级指标分别为：预算完成和违规记录。</w:t>
      </w:r>
    </w:p>
    <w:p w14:paraId="44D840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）预算完成</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根据中国共产党泸定县委员会党校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年决算报表及“可执行指标执行情况表”，中国共产党泸定县委员会党校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月实现预算支出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万元，全年预算总额</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万元，全年预算完成率为</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2DAFDA7">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）违规记录</w:t>
      </w:r>
    </w:p>
    <w:p w14:paraId="3B5BD69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根据中国共产党泸定县委员会党校提供相关资料及现场了解，</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年度接受财政监督检查，根据财政检查结果显示，中国共产党泸定县委员会党校无重大违规违纪的问题。</w:t>
      </w:r>
    </w:p>
    <w:p w14:paraId="25C0326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570D0F2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二级指标“完成结果”指标分共计</w:t>
      </w:r>
      <w:r>
        <w:rPr>
          <w:rFonts w:hint="default" w:ascii="Times New Roman" w:hAnsi="Times New Roman" w:eastAsia="方正仿宋简体" w:cs="Times New Roman"/>
          <w:color w:val="auto"/>
          <w:sz w:val="32"/>
          <w:szCs w:val="32"/>
          <w:highlight w:val="none"/>
          <w:lang w:val="en-US" w:eastAsia="zh"/>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CN"/>
        </w:rPr>
        <w:t>分，此处得分为</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69CC418E">
      <w:pPr>
        <w:keepNext w:val="0"/>
        <w:keepLines w:val="0"/>
        <w:pageBreakBefore w:val="0"/>
        <w:numPr>
          <w:ilvl w:val="0"/>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auto"/>
          <w:sz w:val="32"/>
          <w:szCs w:val="32"/>
          <w:highlight w:val="none"/>
        </w:rPr>
      </w:pPr>
      <w:r>
        <w:rPr>
          <w:rFonts w:hint="eastAsia" w:ascii="Times New Roman" w:hAnsi="Times New Roman" w:eastAsia="方正仿宋简体" w:cs="Times New Roman"/>
          <w:color w:val="auto"/>
          <w:kern w:val="2"/>
          <w:sz w:val="32"/>
          <w:szCs w:val="32"/>
          <w:highlight w:val="none"/>
          <w:lang w:val="en-US" w:eastAsia="zh-CN" w:bidi="ar-SA"/>
        </w:rPr>
        <w:t>4.</w:t>
      </w:r>
      <w:r>
        <w:rPr>
          <w:rFonts w:hint="eastAsia" w:ascii="方正仿宋简体" w:hAnsi="方正仿宋简体" w:eastAsia="方正仿宋简体" w:cs="方正仿宋简体"/>
          <w:color w:val="auto"/>
          <w:sz w:val="32"/>
          <w:szCs w:val="32"/>
          <w:highlight w:val="none"/>
        </w:rPr>
        <w:t>信息公开</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二级指标“信息公开”下设一个三级指标为自评公开。</w:t>
      </w:r>
    </w:p>
    <w:p w14:paraId="09CC68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中国共产党泸定县委员会党校已自行组织编制</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年部门整体支出绩效自评报告，因</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年决算尚未批复，待决算批复后公开时随同决算报告一并公开</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二级指标“信息公开”指标分共计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19A5BE0D">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eastAsia" w:ascii="Times New Roman" w:hAnsi="Times New Roman" w:eastAsia="方正仿宋简体" w:cs="Times New Roman"/>
          <w:color w:val="auto"/>
          <w:kern w:val="2"/>
          <w:sz w:val="32"/>
          <w:szCs w:val="32"/>
          <w:highlight w:val="none"/>
          <w:lang w:val="en-US" w:eastAsia="zh-CN" w:bidi="ar-SA"/>
        </w:rPr>
        <w:t>5.</w:t>
      </w:r>
      <w:r>
        <w:rPr>
          <w:rFonts w:hint="eastAsia" w:ascii="方正仿宋简体" w:hAnsi="方正仿宋简体" w:eastAsia="方正仿宋简体" w:cs="方正仿宋简体"/>
          <w:color w:val="auto"/>
          <w:sz w:val="32"/>
          <w:szCs w:val="32"/>
          <w:highlight w:val="none"/>
        </w:rPr>
        <w:t>整改反馈</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二级指标“整改反馈”下设两个三级指标为：结果整改和应用反馈。</w:t>
      </w:r>
    </w:p>
    <w:p w14:paraId="75EBD0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）结果整改。</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2022</w:t>
      </w:r>
      <w:r>
        <w:rPr>
          <w:rFonts w:hint="eastAsia" w:ascii="方正仿宋简体" w:hAnsi="方正仿宋简体" w:eastAsia="方正仿宋简体" w:cs="方正仿宋简体"/>
          <w:color w:val="auto"/>
          <w:sz w:val="32"/>
          <w:szCs w:val="32"/>
          <w:highlight w:val="none"/>
          <w:lang w:val="en-US" w:eastAsia="zh-CN"/>
        </w:rPr>
        <w:t>年度，中国共产党泸定县委员会党校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年接受了泸定县财政局开展财政监督检查，经检查，</w:t>
      </w:r>
      <w:r>
        <w:rPr>
          <w:rFonts w:hint="eastAsia" w:ascii="方正仿宋简体" w:hAnsi="方正仿宋简体" w:eastAsia="方正仿宋简体" w:cs="方正仿宋简体"/>
          <w:color w:val="auto"/>
          <w:sz w:val="32"/>
          <w:szCs w:val="32"/>
          <w:highlight w:val="none"/>
        </w:rPr>
        <w:t>中国共产党泸定县委员会党校</w:t>
      </w:r>
      <w:r>
        <w:rPr>
          <w:rFonts w:hint="eastAsia" w:ascii="方正仿宋简体" w:hAnsi="方正仿宋简体" w:eastAsia="方正仿宋简体" w:cs="方正仿宋简体"/>
          <w:color w:val="auto"/>
          <w:sz w:val="32"/>
          <w:szCs w:val="32"/>
          <w:highlight w:val="none"/>
          <w:lang w:val="en-US" w:eastAsia="zh-CN"/>
        </w:rPr>
        <w:t>无重大违规违纪的问题，无需整改。</w:t>
      </w:r>
    </w:p>
    <w:p w14:paraId="412D057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）应用反馈。</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年度，中国共产党泸定县委员会党校已按照财政部门的要求，反馈了绩效</w:t>
      </w:r>
      <w:r>
        <w:rPr>
          <w:rFonts w:hint="eastAsia" w:ascii="方正仿宋简体" w:hAnsi="方正仿宋简体" w:eastAsia="方正仿宋简体" w:cs="方正仿宋简体"/>
          <w:color w:val="auto"/>
          <w:sz w:val="32"/>
          <w:szCs w:val="32"/>
          <w:highlight w:val="none"/>
        </w:rPr>
        <w:t>结果应用方面的相关资料。</w:t>
      </w:r>
    </w:p>
    <w:p w14:paraId="132B32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二级指标“整改反馈”指标分共计</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BFE4BC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kern w:val="2"/>
          <w:sz w:val="32"/>
          <w:szCs w:val="32"/>
          <w:highlight w:val="none"/>
          <w:lang w:val="en-US" w:eastAsia="zh-CN" w:bidi="ar-SA"/>
        </w:rPr>
        <w:t>6.</w:t>
      </w:r>
      <w:r>
        <w:rPr>
          <w:rFonts w:hint="eastAsia" w:ascii="方正仿宋简体" w:hAnsi="方正仿宋简体" w:eastAsia="方正仿宋简体" w:cs="方正仿宋简体"/>
          <w:color w:val="auto"/>
          <w:sz w:val="32"/>
          <w:szCs w:val="32"/>
          <w:highlight w:val="none"/>
        </w:rPr>
        <w:t>自评质量</w:t>
      </w:r>
    </w:p>
    <w:p w14:paraId="1757AA7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二级指标“自评质量”下设一个三级指标为：自评准确。</w:t>
      </w:r>
    </w:p>
    <w:p w14:paraId="4050D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中国共产党泸定县委员会党校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年部门整体支出自评得分为</w:t>
      </w:r>
      <w:r>
        <w:rPr>
          <w:rFonts w:hint="default" w:ascii="Times New Roman" w:hAnsi="Times New Roman" w:eastAsia="方正仿宋简体" w:cs="Times New Roman"/>
          <w:color w:val="auto"/>
          <w:sz w:val="32"/>
          <w:szCs w:val="32"/>
          <w:highlight w:val="none"/>
          <w:lang w:val="en-US" w:eastAsia="zh-CN"/>
        </w:rPr>
        <w:t>82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分（不包含自评质量）。评价工作组初步评分</w:t>
      </w:r>
      <w:r>
        <w:rPr>
          <w:rFonts w:hint="default" w:ascii="Times New Roman" w:hAnsi="Times New Roman" w:eastAsia="方正仿宋简体" w:cs="Times New Roman"/>
          <w:color w:val="auto"/>
          <w:sz w:val="32"/>
          <w:szCs w:val="32"/>
          <w:highlight w:val="none"/>
          <w:lang w:val="en-US" w:eastAsia="zh-CN"/>
        </w:rPr>
        <w:t>79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25</w:t>
      </w:r>
      <w:r>
        <w:rPr>
          <w:rFonts w:hint="eastAsia" w:ascii="方正仿宋简体" w:hAnsi="方正仿宋简体" w:eastAsia="方正仿宋简体" w:cs="方正仿宋简体"/>
          <w:color w:val="auto"/>
          <w:sz w:val="32"/>
          <w:szCs w:val="32"/>
          <w:highlight w:val="none"/>
          <w:lang w:val="en-US" w:eastAsia="zh-CN"/>
        </w:rPr>
        <w:t>分（不含自评质量</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分），自评差异率</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35%</w:t>
      </w:r>
      <w:r>
        <w:rPr>
          <w:rFonts w:hint="eastAsia" w:ascii="方正仿宋简体" w:hAnsi="方正仿宋简体" w:eastAsia="方正仿宋简体" w:cs="方正仿宋简体"/>
          <w:color w:val="auto"/>
          <w:sz w:val="32"/>
          <w:szCs w:val="32"/>
          <w:highlight w:val="none"/>
          <w:lang w:val="en-US" w:eastAsia="zh-CN"/>
        </w:rPr>
        <w:t>，此项得</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FED53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二级指标“自评质量”指标分共计</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bookmarkEnd w:id="3"/>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31" w:name="_Toc14032"/>
      <w:bookmarkStart w:id="132" w:name="_Toc823448808"/>
      <w:bookmarkStart w:id="133" w:name="_Toc5060"/>
      <w:bookmarkStart w:id="134" w:name="_Toc4350"/>
      <w:bookmarkStart w:id="135" w:name="_Toc21588"/>
      <w:bookmarkStart w:id="136" w:name="_Toc248033833"/>
      <w:bookmarkStart w:id="137" w:name="_Toc3552"/>
      <w:bookmarkStart w:id="138" w:name="_Toc30515"/>
      <w:bookmarkStart w:id="139" w:name="_Toc21218"/>
      <w:bookmarkStart w:id="140" w:name="_Toc17189"/>
      <w:bookmarkStart w:id="141" w:name="_Toc8336"/>
      <w:bookmarkStart w:id="142" w:name="_Toc19973"/>
      <w:r>
        <w:rPr>
          <w:rFonts w:hint="eastAsia" w:ascii="方正黑体简体" w:hAnsi="方正黑体简体" w:eastAsia="方正黑体简体" w:cs="方正黑体简体"/>
          <w:color w:val="auto"/>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6C7F1241">
      <w:pPr>
        <w:keepNext w:val="0"/>
        <w:keepLines w:val="0"/>
        <w:pageBreakBefore w:val="0"/>
        <w:numPr>
          <w:ilvl w:val="0"/>
          <w:numId w:val="0"/>
        </w:numPr>
        <w:kinsoku/>
        <w:wordWrap/>
        <w:overflowPunct/>
        <w:topLinePunct w:val="0"/>
        <w:autoSpaceDE/>
        <w:autoSpaceDN/>
        <w:bidi w:val="0"/>
        <w:spacing w:line="600" w:lineRule="exact"/>
        <w:ind w:left="0" w:firstLine="640" w:firstLineChars="200"/>
        <w:outlineLvl w:val="1"/>
        <w:rPr>
          <w:rFonts w:hint="eastAsia" w:ascii="方正仿宋简体" w:hAnsi="方正仿宋简体" w:eastAsia="方正仿宋简体" w:cs="方正仿宋简体"/>
          <w:color w:val="auto"/>
          <w:kern w:val="0"/>
          <w:sz w:val="32"/>
          <w:szCs w:val="32"/>
          <w:highlight w:val="none"/>
          <w:shd w:val="clear" w:color="auto" w:fill="FFFFFF"/>
          <w:lang w:eastAsia="zh"/>
        </w:rPr>
      </w:pPr>
      <w:bookmarkStart w:id="143" w:name="_Toc22761"/>
      <w:bookmarkStart w:id="144" w:name="_Toc27235"/>
      <w:bookmarkStart w:id="145" w:name="_Toc27972"/>
      <w:bookmarkStart w:id="146" w:name="_Toc10426"/>
      <w:bookmarkStart w:id="147" w:name="_Toc31629"/>
      <w:bookmarkStart w:id="148" w:name="_Toc3240"/>
      <w:bookmarkStart w:id="149" w:name="_Toc771997543"/>
      <w:bookmarkStart w:id="150" w:name="_Toc464104487"/>
      <w:bookmarkStart w:id="151" w:name="_Toc22968"/>
      <w:bookmarkStart w:id="152" w:name="_Toc15651"/>
      <w:r>
        <w:rPr>
          <w:rFonts w:hint="eastAsia" w:ascii="方正仿宋简体" w:hAnsi="方正仿宋简体" w:eastAsia="方正仿宋简体" w:cs="方正仿宋简体"/>
          <w:color w:val="auto"/>
          <w:kern w:val="0"/>
          <w:sz w:val="32"/>
          <w:szCs w:val="32"/>
          <w:highlight w:val="none"/>
          <w:shd w:val="clear" w:color="auto" w:fill="FFFFFF"/>
          <w:lang w:val="en-US" w:eastAsia="zh"/>
        </w:rPr>
        <w:t>预算编制不准确</w:t>
      </w:r>
      <w:bookmarkEnd w:id="143"/>
      <w:bookmarkEnd w:id="144"/>
      <w:bookmarkEnd w:id="145"/>
    </w:p>
    <w:p w14:paraId="74760E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
        </w:rPr>
      </w:pPr>
      <w:r>
        <w:rPr>
          <w:rFonts w:hint="eastAsia" w:ascii="方正仿宋简体" w:hAnsi="方正仿宋简体" w:eastAsia="方正仿宋简体" w:cs="方正仿宋简体"/>
          <w:color w:val="auto"/>
          <w:sz w:val="32"/>
          <w:szCs w:val="32"/>
          <w:highlight w:val="none"/>
          <w:lang w:val="en-US" w:eastAsia="zh"/>
        </w:rPr>
        <w:t>根据中国共产党泸定县委员会党校</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年中国共产党泸定县委员会党校日常公用经费、项目支出中“办公费、福利费、差旅费”等</w:t>
      </w:r>
      <w:r>
        <w:rPr>
          <w:rFonts w:hint="default" w:ascii="Times New Roman" w:hAnsi="Times New Roman" w:eastAsia="方正仿宋简体" w:cs="Times New Roman"/>
          <w:color w:val="auto"/>
          <w:sz w:val="32"/>
          <w:szCs w:val="32"/>
          <w:highlight w:val="none"/>
          <w:lang w:val="en-US" w:eastAsia="zh"/>
        </w:rPr>
        <w:t>9</w:t>
      </w:r>
      <w:r>
        <w:rPr>
          <w:rFonts w:hint="eastAsia" w:ascii="方正仿宋简体" w:hAnsi="方正仿宋简体" w:eastAsia="方正仿宋简体" w:cs="方正仿宋简体"/>
          <w:color w:val="auto"/>
          <w:sz w:val="32"/>
          <w:szCs w:val="32"/>
          <w:highlight w:val="none"/>
          <w:lang w:val="en-US" w:eastAsia="zh"/>
        </w:rPr>
        <w:t>个科目，年初预算数合计</w:t>
      </w:r>
      <w:r>
        <w:rPr>
          <w:rFonts w:hint="default" w:ascii="Times New Roman" w:hAnsi="Times New Roman" w:eastAsia="方正仿宋简体" w:cs="Times New Roman"/>
          <w:color w:val="auto"/>
          <w:sz w:val="32"/>
          <w:szCs w:val="32"/>
          <w:highlight w:val="none"/>
          <w:lang w:val="en-US" w:eastAsia="zh"/>
        </w:rPr>
        <w:t>20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46</w:t>
      </w:r>
      <w:r>
        <w:rPr>
          <w:rFonts w:hint="eastAsia" w:ascii="方正仿宋简体" w:hAnsi="方正仿宋简体" w:eastAsia="方正仿宋简体" w:cs="方正仿宋简体"/>
          <w:color w:val="auto"/>
          <w:sz w:val="32"/>
          <w:szCs w:val="32"/>
          <w:highlight w:val="none"/>
          <w:lang w:val="en-US" w:eastAsia="zh"/>
        </w:rPr>
        <w:t>万元，决算数合计</w:t>
      </w:r>
      <w:r>
        <w:rPr>
          <w:rFonts w:hint="default" w:ascii="Times New Roman" w:hAnsi="Times New Roman" w:eastAsia="方正仿宋简体" w:cs="Times New Roman"/>
          <w:color w:val="auto"/>
          <w:sz w:val="32"/>
          <w:szCs w:val="32"/>
          <w:highlight w:val="none"/>
          <w:lang w:val="en-US" w:eastAsia="zh"/>
        </w:rPr>
        <w:t>18</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65</w:t>
      </w:r>
      <w:r>
        <w:rPr>
          <w:rFonts w:hint="eastAsia" w:ascii="方正仿宋简体" w:hAnsi="方正仿宋简体" w:eastAsia="方正仿宋简体" w:cs="方正仿宋简体"/>
          <w:color w:val="auto"/>
          <w:sz w:val="32"/>
          <w:szCs w:val="32"/>
          <w:highlight w:val="none"/>
          <w:lang w:val="en-US" w:eastAsia="zh"/>
        </w:rPr>
        <w:t>万元，总体预决算偏差率</w:t>
      </w:r>
      <w:r>
        <w:rPr>
          <w:rFonts w:hint="default" w:ascii="Times New Roman" w:hAnsi="Times New Roman" w:eastAsia="方正仿宋简体" w:cs="Times New Roman"/>
          <w:color w:val="auto"/>
          <w:sz w:val="32"/>
          <w:szCs w:val="32"/>
          <w:highlight w:val="none"/>
          <w:lang w:val="en-US" w:eastAsia="zh"/>
        </w:rPr>
        <w:t>8</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85%</w:t>
      </w:r>
      <w:r>
        <w:rPr>
          <w:rFonts w:hint="eastAsia" w:ascii="方正仿宋简体" w:hAnsi="方正仿宋简体" w:eastAsia="方正仿宋简体" w:cs="方正仿宋简体"/>
          <w:color w:val="auto"/>
          <w:sz w:val="32"/>
          <w:szCs w:val="32"/>
          <w:highlight w:val="none"/>
          <w:lang w:val="en-US" w:eastAsia="zh-CN"/>
        </w:rPr>
        <w:t>，党校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年部门全年预算调剂金额为</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73</w:t>
      </w:r>
      <w:r>
        <w:rPr>
          <w:rFonts w:hint="eastAsia" w:ascii="方正仿宋简体" w:hAnsi="方正仿宋简体" w:eastAsia="方正仿宋简体" w:cs="方正仿宋简体"/>
          <w:color w:val="auto"/>
          <w:sz w:val="32"/>
          <w:szCs w:val="32"/>
          <w:highlight w:val="none"/>
          <w:lang w:val="en-US" w:eastAsia="zh-CN"/>
        </w:rPr>
        <w:t>万元，年初部门预算数为</w:t>
      </w:r>
      <w:r>
        <w:rPr>
          <w:rFonts w:hint="default" w:ascii="Times New Roman" w:hAnsi="Times New Roman" w:eastAsia="方正仿宋简体" w:cs="Times New Roman"/>
          <w:color w:val="auto"/>
          <w:sz w:val="32"/>
          <w:szCs w:val="32"/>
          <w:highlight w:val="none"/>
          <w:lang w:val="en-US" w:eastAsia="zh-CN"/>
        </w:rPr>
        <w:t>202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万元，预算调剂率为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
        </w:rPr>
        <w:t>。</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53" w:name="_Toc12441"/>
      <w:bookmarkStart w:id="154" w:name="_Toc18023"/>
      <w:bookmarkStart w:id="155" w:name="_Toc15530"/>
      <w:r>
        <w:rPr>
          <w:rFonts w:hint="eastAsia" w:ascii="方正黑体简体" w:hAnsi="方正黑体简体" w:eastAsia="方正黑体简体" w:cs="方正黑体简体"/>
          <w:color w:val="auto"/>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auto"/>
          <w:kern w:val="0"/>
          <w:sz w:val="32"/>
          <w:szCs w:val="32"/>
          <w:highlight w:val="none"/>
          <w:shd w:val="clear" w:color="auto" w:fill="FFFFFF"/>
        </w:rPr>
        <w:t>、相关措施建议</w:t>
      </w:r>
      <w:bookmarkEnd w:id="146"/>
      <w:bookmarkEnd w:id="147"/>
      <w:bookmarkEnd w:id="148"/>
      <w:bookmarkEnd w:id="149"/>
      <w:bookmarkEnd w:id="150"/>
      <w:bookmarkEnd w:id="151"/>
      <w:bookmarkEnd w:id="152"/>
      <w:bookmarkEnd w:id="153"/>
      <w:bookmarkEnd w:id="154"/>
      <w:bookmarkEnd w:id="155"/>
    </w:p>
    <w:p w14:paraId="6166E575">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00"/>
        <w:outlineLvl w:val="1"/>
        <w:rPr>
          <w:rFonts w:hint="eastAsia" w:ascii="方正仿宋简体" w:hAnsi="方正仿宋简体" w:eastAsia="方正仿宋简体" w:cs="方正仿宋简体"/>
          <w:color w:val="auto"/>
          <w:kern w:val="0"/>
          <w:sz w:val="32"/>
          <w:szCs w:val="32"/>
          <w:highlight w:val="none"/>
          <w:shd w:val="clear" w:color="auto" w:fill="FFFFFF"/>
          <w:lang w:val="en-US" w:eastAsia="zh"/>
        </w:rPr>
      </w:pPr>
      <w:bookmarkStart w:id="156" w:name="_Toc9110"/>
      <w:r>
        <w:rPr>
          <w:rFonts w:hint="eastAsia" w:ascii="方正仿宋简体" w:hAnsi="方正仿宋简体" w:eastAsia="方正仿宋简体" w:cs="方正仿宋简体"/>
          <w:color w:val="auto"/>
          <w:kern w:val="0"/>
          <w:sz w:val="32"/>
          <w:szCs w:val="32"/>
          <w:highlight w:val="none"/>
          <w:shd w:val="clear" w:color="auto" w:fill="FFFFFF"/>
          <w:lang w:val="en-US" w:eastAsia="zh"/>
        </w:rPr>
        <w:t>针对“预算编制不准确”的建议</w:t>
      </w:r>
      <w:bookmarkEnd w:id="156"/>
    </w:p>
    <w:p w14:paraId="29469A9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中国共产党泸定县委员会党校一是加强部门前期各项费用预算测算，全面搜集对比往年费用支出数据，准确编制部门预算；二是可以采取“一校验、三比对、一复核”的方法，严把预算编制源头关，确保预算审核数据的客观公正。</w:t>
      </w:r>
    </w:p>
    <w:bookmarkEnd w:id="141"/>
    <w:bookmarkEnd w:id="142"/>
    <w:p w14:paraId="41CD81E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lang w:eastAsia="zh"/>
        </w:rPr>
      </w:pPr>
    </w:p>
    <w:p w14:paraId="18A8F6CF">
      <w:pPr>
        <w:keepNext w:val="0"/>
        <w:keepLines w:val="0"/>
        <w:pageBreakBefore w:val="0"/>
        <w:kinsoku/>
        <w:wordWrap/>
        <w:overflowPunct/>
        <w:topLinePunct w:val="0"/>
        <w:autoSpaceDE/>
        <w:autoSpaceDN/>
        <w:bidi w:val="0"/>
        <w:spacing w:line="600" w:lineRule="exact"/>
        <w:ind w:left="1918" w:leftChars="228" w:hanging="1280" w:hangingChars="400"/>
        <w:rPr>
          <w:rFonts w:hint="eastAsia" w:ascii="方正仿宋简体" w:hAnsi="方正仿宋简体" w:eastAsia="方正仿宋简体" w:cs="方正仿宋简体"/>
          <w:color w:val="auto"/>
          <w:sz w:val="32"/>
          <w:szCs w:val="32"/>
          <w:highlight w:val="none"/>
          <w:lang w:val="en-US" w:eastAsia="zh-CN"/>
        </w:rPr>
      </w:pPr>
      <w:bookmarkStart w:id="157" w:name="_Toc3238"/>
      <w:r>
        <w:rPr>
          <w:rFonts w:hint="eastAsia" w:ascii="方正仿宋简体" w:hAnsi="方正仿宋简体" w:eastAsia="方正仿宋简体" w:cs="方正仿宋简体"/>
          <w:color w:val="auto"/>
          <w:sz w:val="32"/>
          <w:szCs w:val="32"/>
          <w:highlight w:val="none"/>
          <w:shd w:val="clear" w:color="auto" w:fill="FFFFFF"/>
        </w:rPr>
        <w:t>附件</w:t>
      </w:r>
      <w:r>
        <w:rPr>
          <w:rFonts w:hint="default" w:ascii="Times New Roman" w:hAnsi="Times New Roman" w:eastAsia="方正仿宋简体" w:cs="Times New Roman"/>
          <w:color w:val="auto"/>
          <w:sz w:val="32"/>
          <w:szCs w:val="32"/>
          <w:highlight w:val="none"/>
          <w:shd w:val="clear" w:color="auto" w:fill="FFFFFF"/>
          <w:lang w:val="en-US" w:eastAsia="zh-CN"/>
        </w:rPr>
        <w:t>1</w:t>
      </w:r>
      <w:r>
        <w:rPr>
          <w:rFonts w:hint="eastAsia" w:ascii="方正仿宋简体" w:hAnsi="方正仿宋简体" w:eastAsia="方正仿宋简体" w:cs="方正仿宋简体"/>
          <w:color w:val="auto"/>
          <w:sz w:val="32"/>
          <w:szCs w:val="32"/>
          <w:highlight w:val="none"/>
          <w:shd w:val="clear" w:color="auto" w:fill="FFFFFF"/>
          <w:lang w:eastAsia="zh"/>
        </w:rPr>
        <w:t>：</w:t>
      </w:r>
      <w:r>
        <w:rPr>
          <w:rFonts w:hint="eastAsia" w:ascii="方正仿宋简体" w:hAnsi="方正仿宋简体" w:eastAsia="方正仿宋简体" w:cs="方正仿宋简体"/>
          <w:color w:val="auto"/>
          <w:sz w:val="32"/>
          <w:szCs w:val="32"/>
          <w:highlight w:val="none"/>
          <w:shd w:val="clear" w:color="auto" w:fill="FFFFFF"/>
          <w:lang w:eastAsia="zh-CN"/>
        </w:rPr>
        <w:t>中国共产党泸定县委员会党校</w:t>
      </w:r>
      <w:r>
        <w:rPr>
          <w:rFonts w:hint="eastAsia" w:ascii="方正仿宋简体" w:hAnsi="方正仿宋简体" w:eastAsia="方正仿宋简体" w:cs="方正仿宋简体"/>
          <w:color w:val="auto"/>
          <w:sz w:val="32"/>
          <w:szCs w:val="32"/>
          <w:highlight w:val="none"/>
          <w:lang w:eastAsia="zh"/>
        </w:rPr>
        <w:t>部门整体支出绩效评价指标</w:t>
      </w:r>
      <w:r>
        <w:rPr>
          <w:rFonts w:hint="eastAsia" w:ascii="方正仿宋简体" w:hAnsi="方正仿宋简体" w:eastAsia="方正仿宋简体" w:cs="方正仿宋简体"/>
          <w:color w:val="auto"/>
          <w:sz w:val="32"/>
          <w:szCs w:val="32"/>
          <w:highlight w:val="none"/>
          <w:lang w:val="en-US" w:eastAsia="zh-CN"/>
        </w:rPr>
        <w:t>体系表（评分表）</w:t>
      </w:r>
    </w:p>
    <w:p w14:paraId="75684869">
      <w:pPr>
        <w:pStyle w:val="2"/>
        <w:rPr>
          <w:rFonts w:hint="eastAsia" w:ascii="方正仿宋简体" w:hAnsi="方正仿宋简体" w:eastAsia="方正仿宋简体" w:cs="方正仿宋简体"/>
          <w:color w:val="auto"/>
          <w:sz w:val="32"/>
          <w:szCs w:val="32"/>
          <w:highlight w:val="none"/>
          <w:lang w:val="en-US" w:eastAsia="zh-CN"/>
        </w:rPr>
      </w:pPr>
    </w:p>
    <w:p w14:paraId="1192F0D5">
      <w:pPr>
        <w:rPr>
          <w:rFonts w:hint="eastAsia"/>
          <w:highlight w:val="none"/>
          <w:lang w:eastAsia="zh"/>
        </w:rPr>
      </w:pPr>
    </w:p>
    <w:bookmarkEnd w:id="157"/>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58" w:name="_GoBack"/>
      <w:bookmarkEnd w:id="158"/>
      <w:r>
        <w:rPr>
          <w:rFonts w:hint="eastAsia" w:ascii="方正仿宋简体" w:hAnsi="方正仿宋简体" w:eastAsia="方正仿宋简体" w:cs="方正仿宋简体"/>
          <w:b w:val="0"/>
          <w:bCs w:val="0"/>
          <w:sz w:val="32"/>
          <w:szCs w:val="32"/>
          <w:highlight w:val="none"/>
          <w:lang w:eastAsia="zh-CN"/>
        </w:rPr>
        <w:t>　</w:t>
      </w:r>
    </w:p>
    <w:p w14:paraId="056C94B9">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embedRegular r:id="rId1" w:fontKey="{C81E704D-7E97-4B1F-8336-D6A3FC0A1DDD}"/>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FAE223A2-376F-4F09-AE5C-0421C0BFA7B5}"/>
  </w:font>
  <w:font w:name="方正小标宋简体">
    <w:panose1 w:val="03000509000000000000"/>
    <w:charset w:val="86"/>
    <w:family w:val="auto"/>
    <w:pitch w:val="default"/>
    <w:sig w:usb0="00000001" w:usb1="080E0000" w:usb2="00000000" w:usb3="00000000" w:csb0="00040000" w:csb1="00000000"/>
    <w:embedRegular r:id="rId3" w:fontKey="{DF960633-3112-4736-B05B-83B882D1CA66}"/>
  </w:font>
  <w:font w:name="方正楷体简体">
    <w:panose1 w:val="02000000000000000000"/>
    <w:charset w:val="86"/>
    <w:family w:val="auto"/>
    <w:pitch w:val="default"/>
    <w:sig w:usb0="00000001" w:usb1="080E0000" w:usb2="00000000" w:usb3="00000000" w:csb0="00040000" w:csb1="00000000"/>
    <w:embedRegular r:id="rId4" w:fontKey="{5A5C74A0-AD1C-426B-BAD4-2C5BC1A324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sz w:val="24"/>
        <w:szCs w:val="24"/>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1D77B8"/>
    <w:rsid w:val="034B0AC6"/>
    <w:rsid w:val="03BD26AA"/>
    <w:rsid w:val="03C46413"/>
    <w:rsid w:val="03F043C9"/>
    <w:rsid w:val="03F5560D"/>
    <w:rsid w:val="05370DC3"/>
    <w:rsid w:val="05704583"/>
    <w:rsid w:val="05AE5131"/>
    <w:rsid w:val="05D30483"/>
    <w:rsid w:val="069B1F26"/>
    <w:rsid w:val="06E2185D"/>
    <w:rsid w:val="074574B7"/>
    <w:rsid w:val="077F711D"/>
    <w:rsid w:val="0815093A"/>
    <w:rsid w:val="08280844"/>
    <w:rsid w:val="08321414"/>
    <w:rsid w:val="08CA0DBA"/>
    <w:rsid w:val="0AA10A64"/>
    <w:rsid w:val="0AAA2B3A"/>
    <w:rsid w:val="0AE0655C"/>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B4AA5"/>
    <w:rsid w:val="0F7D48CD"/>
    <w:rsid w:val="0F895427"/>
    <w:rsid w:val="0FA36556"/>
    <w:rsid w:val="10607EBA"/>
    <w:rsid w:val="106A0B02"/>
    <w:rsid w:val="10A609B0"/>
    <w:rsid w:val="10C177C0"/>
    <w:rsid w:val="10FB12CE"/>
    <w:rsid w:val="11034D52"/>
    <w:rsid w:val="11641A35"/>
    <w:rsid w:val="11A54F88"/>
    <w:rsid w:val="1256364C"/>
    <w:rsid w:val="12F71BB3"/>
    <w:rsid w:val="13445E84"/>
    <w:rsid w:val="13463C67"/>
    <w:rsid w:val="134E407D"/>
    <w:rsid w:val="136916A0"/>
    <w:rsid w:val="13BF191E"/>
    <w:rsid w:val="144B4CE8"/>
    <w:rsid w:val="14827494"/>
    <w:rsid w:val="14DA48CB"/>
    <w:rsid w:val="151B6B0E"/>
    <w:rsid w:val="155B04E5"/>
    <w:rsid w:val="15762967"/>
    <w:rsid w:val="15C0420D"/>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84219"/>
    <w:rsid w:val="1D4F18C5"/>
    <w:rsid w:val="1D9A1CE4"/>
    <w:rsid w:val="1DD67D6F"/>
    <w:rsid w:val="1E0C4040"/>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0B54A3"/>
    <w:rsid w:val="26331263"/>
    <w:rsid w:val="263F3713"/>
    <w:rsid w:val="265058AE"/>
    <w:rsid w:val="265F3B15"/>
    <w:rsid w:val="269C2300"/>
    <w:rsid w:val="271534C4"/>
    <w:rsid w:val="271E56C4"/>
    <w:rsid w:val="27391076"/>
    <w:rsid w:val="273B0505"/>
    <w:rsid w:val="277338DD"/>
    <w:rsid w:val="27A77968"/>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625A5F"/>
    <w:rsid w:val="2BBE5215"/>
    <w:rsid w:val="2BD70482"/>
    <w:rsid w:val="2C2F0835"/>
    <w:rsid w:val="2CBB4441"/>
    <w:rsid w:val="2CC80ED2"/>
    <w:rsid w:val="2CD1263C"/>
    <w:rsid w:val="2CF37A27"/>
    <w:rsid w:val="2CF74E38"/>
    <w:rsid w:val="2D0E305E"/>
    <w:rsid w:val="2D241E80"/>
    <w:rsid w:val="2D324D1A"/>
    <w:rsid w:val="2D525A3B"/>
    <w:rsid w:val="2D6319D3"/>
    <w:rsid w:val="2D9D27E0"/>
    <w:rsid w:val="2DE812E1"/>
    <w:rsid w:val="2E750BE6"/>
    <w:rsid w:val="2E7B50BC"/>
    <w:rsid w:val="2EAE40F8"/>
    <w:rsid w:val="2ED1320F"/>
    <w:rsid w:val="2F040BD9"/>
    <w:rsid w:val="2F3274A5"/>
    <w:rsid w:val="2FBBA5AB"/>
    <w:rsid w:val="2FEF2A5C"/>
    <w:rsid w:val="3052247A"/>
    <w:rsid w:val="3090670D"/>
    <w:rsid w:val="312B48AF"/>
    <w:rsid w:val="32A47AB4"/>
    <w:rsid w:val="32CB27BC"/>
    <w:rsid w:val="33105381"/>
    <w:rsid w:val="336B6A5B"/>
    <w:rsid w:val="337B49B9"/>
    <w:rsid w:val="338F718C"/>
    <w:rsid w:val="33EB569F"/>
    <w:rsid w:val="33FA0C54"/>
    <w:rsid w:val="34113BD6"/>
    <w:rsid w:val="34140406"/>
    <w:rsid w:val="342C7375"/>
    <w:rsid w:val="34B42BB5"/>
    <w:rsid w:val="34C73C1C"/>
    <w:rsid w:val="34D805F3"/>
    <w:rsid w:val="350D6544"/>
    <w:rsid w:val="35EE2E3C"/>
    <w:rsid w:val="36001598"/>
    <w:rsid w:val="360308FA"/>
    <w:rsid w:val="36870F62"/>
    <w:rsid w:val="369B1CB2"/>
    <w:rsid w:val="36BF54EC"/>
    <w:rsid w:val="36C17759"/>
    <w:rsid w:val="36DC449D"/>
    <w:rsid w:val="36F56951"/>
    <w:rsid w:val="37E36263"/>
    <w:rsid w:val="37EE368E"/>
    <w:rsid w:val="3829453B"/>
    <w:rsid w:val="38C96200"/>
    <w:rsid w:val="38D85C62"/>
    <w:rsid w:val="390E6F8C"/>
    <w:rsid w:val="39131F2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731B45"/>
    <w:rsid w:val="41DC7289"/>
    <w:rsid w:val="41FD2ABB"/>
    <w:rsid w:val="421C165C"/>
    <w:rsid w:val="428B71EF"/>
    <w:rsid w:val="42A2347D"/>
    <w:rsid w:val="42A36AD1"/>
    <w:rsid w:val="42BC38EE"/>
    <w:rsid w:val="42F655D4"/>
    <w:rsid w:val="43251644"/>
    <w:rsid w:val="43802285"/>
    <w:rsid w:val="43A7F1A6"/>
    <w:rsid w:val="43D2284D"/>
    <w:rsid w:val="43ED42A2"/>
    <w:rsid w:val="44865DC2"/>
    <w:rsid w:val="44986F84"/>
    <w:rsid w:val="44A86EA6"/>
    <w:rsid w:val="44B03869"/>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D23684"/>
    <w:rsid w:val="49F243D5"/>
    <w:rsid w:val="4A3F0AC3"/>
    <w:rsid w:val="4AD1435D"/>
    <w:rsid w:val="4AFA2C7B"/>
    <w:rsid w:val="4B0435C5"/>
    <w:rsid w:val="4B58271A"/>
    <w:rsid w:val="4B6B11A9"/>
    <w:rsid w:val="4B9C6B82"/>
    <w:rsid w:val="4BA86005"/>
    <w:rsid w:val="4BDE4024"/>
    <w:rsid w:val="4C1635B0"/>
    <w:rsid w:val="4C907F6D"/>
    <w:rsid w:val="4CAE35BE"/>
    <w:rsid w:val="4CFC2039"/>
    <w:rsid w:val="4D6E449B"/>
    <w:rsid w:val="4E084F11"/>
    <w:rsid w:val="4F0A34DF"/>
    <w:rsid w:val="4F5F5C7E"/>
    <w:rsid w:val="4F7241B1"/>
    <w:rsid w:val="4FCD04DF"/>
    <w:rsid w:val="4FF7181A"/>
    <w:rsid w:val="4FFE309A"/>
    <w:rsid w:val="507D0BBC"/>
    <w:rsid w:val="507E6B2A"/>
    <w:rsid w:val="51290B58"/>
    <w:rsid w:val="51381763"/>
    <w:rsid w:val="51960840"/>
    <w:rsid w:val="51E2208C"/>
    <w:rsid w:val="5221572C"/>
    <w:rsid w:val="52265F38"/>
    <w:rsid w:val="52EF2BDF"/>
    <w:rsid w:val="535B753F"/>
    <w:rsid w:val="543748C0"/>
    <w:rsid w:val="54B716A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87B3E77"/>
    <w:rsid w:val="588E44CE"/>
    <w:rsid w:val="5901172B"/>
    <w:rsid w:val="59561F19"/>
    <w:rsid w:val="595F795E"/>
    <w:rsid w:val="596B1981"/>
    <w:rsid w:val="59821BED"/>
    <w:rsid w:val="59CF4D9E"/>
    <w:rsid w:val="59FD54B6"/>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B1D3F4"/>
    <w:rsid w:val="5EDB5F93"/>
    <w:rsid w:val="5F246AEA"/>
    <w:rsid w:val="5F3B183F"/>
    <w:rsid w:val="5F562031"/>
    <w:rsid w:val="5F774ACC"/>
    <w:rsid w:val="5F9C373E"/>
    <w:rsid w:val="5FBF7263"/>
    <w:rsid w:val="5FCF84ED"/>
    <w:rsid w:val="5FDFC83C"/>
    <w:rsid w:val="5FF7A0DE"/>
    <w:rsid w:val="60017C7C"/>
    <w:rsid w:val="6020741B"/>
    <w:rsid w:val="608914CC"/>
    <w:rsid w:val="6094289E"/>
    <w:rsid w:val="60F11867"/>
    <w:rsid w:val="615C16D6"/>
    <w:rsid w:val="618A3DC3"/>
    <w:rsid w:val="61C15430"/>
    <w:rsid w:val="61E46B12"/>
    <w:rsid w:val="62102CE3"/>
    <w:rsid w:val="62222B09"/>
    <w:rsid w:val="62311D7E"/>
    <w:rsid w:val="62350D51"/>
    <w:rsid w:val="627C5614"/>
    <w:rsid w:val="62BA758E"/>
    <w:rsid w:val="62BB6119"/>
    <w:rsid w:val="62D11B87"/>
    <w:rsid w:val="630D7F41"/>
    <w:rsid w:val="636C18B0"/>
    <w:rsid w:val="63A71F74"/>
    <w:rsid w:val="63DA2CBD"/>
    <w:rsid w:val="63ED0D4F"/>
    <w:rsid w:val="64FE5F84"/>
    <w:rsid w:val="652F1904"/>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CD256A"/>
    <w:rsid w:val="69F84725"/>
    <w:rsid w:val="6A4A3BFD"/>
    <w:rsid w:val="6B43739A"/>
    <w:rsid w:val="6B9F4967"/>
    <w:rsid w:val="6BFFA4D9"/>
    <w:rsid w:val="6C196A9A"/>
    <w:rsid w:val="6C590980"/>
    <w:rsid w:val="6C75429C"/>
    <w:rsid w:val="6C7D23DE"/>
    <w:rsid w:val="6C862912"/>
    <w:rsid w:val="6CFA1652"/>
    <w:rsid w:val="6CFD7E08"/>
    <w:rsid w:val="6D0F4A6A"/>
    <w:rsid w:val="6D3D4391"/>
    <w:rsid w:val="6D8E68B6"/>
    <w:rsid w:val="6DB91B96"/>
    <w:rsid w:val="6DCD214C"/>
    <w:rsid w:val="6E3C3302"/>
    <w:rsid w:val="6E7E0482"/>
    <w:rsid w:val="6E7F1593"/>
    <w:rsid w:val="6EC3F98A"/>
    <w:rsid w:val="6EFE7E0F"/>
    <w:rsid w:val="6F5F3DDC"/>
    <w:rsid w:val="6FBF4705"/>
    <w:rsid w:val="6FC06BC3"/>
    <w:rsid w:val="6FC24E02"/>
    <w:rsid w:val="6FCD2B35"/>
    <w:rsid w:val="6FEFDAF3"/>
    <w:rsid w:val="6FF658FB"/>
    <w:rsid w:val="6FFB1FF0"/>
    <w:rsid w:val="6FFEF6BD"/>
    <w:rsid w:val="70756248"/>
    <w:rsid w:val="70BB65E4"/>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301170"/>
    <w:rsid w:val="76937428"/>
    <w:rsid w:val="76EEE66D"/>
    <w:rsid w:val="76EF82A2"/>
    <w:rsid w:val="76FBFBCD"/>
    <w:rsid w:val="77245415"/>
    <w:rsid w:val="77503BA8"/>
    <w:rsid w:val="77BDFB3C"/>
    <w:rsid w:val="77BF2551"/>
    <w:rsid w:val="77CB4ADD"/>
    <w:rsid w:val="77F50D0E"/>
    <w:rsid w:val="77FCCDF3"/>
    <w:rsid w:val="7821727C"/>
    <w:rsid w:val="78243701"/>
    <w:rsid w:val="782E0A91"/>
    <w:rsid w:val="788E7EA5"/>
    <w:rsid w:val="78F74A7F"/>
    <w:rsid w:val="7922343B"/>
    <w:rsid w:val="7926388B"/>
    <w:rsid w:val="79521C10"/>
    <w:rsid w:val="795E17F1"/>
    <w:rsid w:val="795FF9E4"/>
    <w:rsid w:val="79D42C0A"/>
    <w:rsid w:val="79FFF26D"/>
    <w:rsid w:val="7A267238"/>
    <w:rsid w:val="7A30225F"/>
    <w:rsid w:val="7AD5E80B"/>
    <w:rsid w:val="7AE7FD2B"/>
    <w:rsid w:val="7AF3D7EA"/>
    <w:rsid w:val="7AFE98C0"/>
    <w:rsid w:val="7B0A37F3"/>
    <w:rsid w:val="7B2B66E8"/>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1"/>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8"/>
    <w:unhideWhenUsed/>
    <w:qFormat/>
    <w:uiPriority w:val="99"/>
    <w:pPr>
      <w:tabs>
        <w:tab w:val="center" w:pos="4153"/>
        <w:tab w:val="right" w:pos="8306"/>
      </w:tabs>
      <w:snapToGrid w:val="0"/>
      <w:jc w:val="left"/>
    </w:pPr>
    <w:rPr>
      <w:sz w:val="18"/>
      <w:szCs w:val="18"/>
    </w:rPr>
  </w:style>
  <w:style w:type="paragraph" w:styleId="12">
    <w:name w:val="header"/>
    <w:basedOn w:val="1"/>
    <w:next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0"/>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常用样式（方正仿宋简）"/>
    <w:basedOn w:val="1"/>
    <w:qFormat/>
    <w:uiPriority w:val="0"/>
    <w:pPr>
      <w:spacing w:line="560" w:lineRule="exact"/>
      <w:ind w:firstLine="640"/>
    </w:pPr>
    <w:rPr>
      <w:rFonts w:eastAsia="方正仿宋简体"/>
      <w:sz w:val="32"/>
    </w:rPr>
  </w:style>
  <w:style w:type="character" w:customStyle="1" w:styleId="27">
    <w:name w:val="页眉 字符"/>
    <w:basedOn w:val="20"/>
    <w:link w:val="12"/>
    <w:qFormat/>
    <w:uiPriority w:val="99"/>
    <w:rPr>
      <w:sz w:val="18"/>
      <w:szCs w:val="18"/>
    </w:rPr>
  </w:style>
  <w:style w:type="character" w:customStyle="1" w:styleId="28">
    <w:name w:val="页脚 字符"/>
    <w:basedOn w:val="20"/>
    <w:link w:val="11"/>
    <w:qFormat/>
    <w:uiPriority w:val="99"/>
    <w:rPr>
      <w:sz w:val="18"/>
      <w:szCs w:val="18"/>
    </w:rPr>
  </w:style>
  <w:style w:type="character" w:customStyle="1" w:styleId="29">
    <w:name w:val="font11"/>
    <w:basedOn w:val="20"/>
    <w:qFormat/>
    <w:uiPriority w:val="0"/>
    <w:rPr>
      <w:rFonts w:hint="eastAsia" w:ascii="宋体" w:hAnsi="宋体" w:eastAsia="宋体" w:cs="宋体"/>
      <w:color w:val="000000"/>
      <w:sz w:val="21"/>
      <w:szCs w:val="21"/>
      <w:u w:val="none"/>
    </w:rPr>
  </w:style>
  <w:style w:type="character" w:customStyle="1" w:styleId="30">
    <w:name w:val="font01"/>
    <w:basedOn w:val="20"/>
    <w:qFormat/>
    <w:uiPriority w:val="0"/>
    <w:rPr>
      <w:rFonts w:hint="default" w:ascii="Calibri" w:hAnsi="Calibri" w:cs="Calibri"/>
      <w:color w:val="000000"/>
      <w:sz w:val="21"/>
      <w:szCs w:val="21"/>
      <w:u w:val="none"/>
    </w:rPr>
  </w:style>
  <w:style w:type="character" w:customStyle="1" w:styleId="31">
    <w:name w:val="font71"/>
    <w:basedOn w:val="20"/>
    <w:qFormat/>
    <w:uiPriority w:val="0"/>
    <w:rPr>
      <w:rFonts w:hint="eastAsia" w:ascii="仿宋" w:hAnsi="仿宋" w:eastAsia="仿宋" w:cs="仿宋"/>
      <w:b/>
      <w:color w:val="000000"/>
      <w:sz w:val="24"/>
      <w:szCs w:val="24"/>
      <w:u w:val="none"/>
    </w:rPr>
  </w:style>
  <w:style w:type="character" w:customStyle="1" w:styleId="32">
    <w:name w:val="font51"/>
    <w:basedOn w:val="20"/>
    <w:qFormat/>
    <w:uiPriority w:val="0"/>
    <w:rPr>
      <w:rFonts w:hint="eastAsia" w:ascii="仿宋" w:hAnsi="仿宋" w:eastAsia="仿宋" w:cs="仿宋"/>
      <w:color w:val="000000"/>
      <w:sz w:val="24"/>
      <w:szCs w:val="24"/>
      <w:u w:val="none"/>
    </w:rPr>
  </w:style>
  <w:style w:type="character" w:customStyle="1" w:styleId="33">
    <w:name w:val="font31"/>
    <w:basedOn w:val="20"/>
    <w:qFormat/>
    <w:uiPriority w:val="0"/>
    <w:rPr>
      <w:rFonts w:hint="eastAsia" w:ascii="宋体" w:hAnsi="宋体" w:eastAsia="宋体" w:cs="宋体"/>
      <w:b/>
      <w:color w:val="000000"/>
      <w:sz w:val="22"/>
      <w:szCs w:val="22"/>
      <w:u w:val="none"/>
    </w:rPr>
  </w:style>
  <w:style w:type="character" w:customStyle="1" w:styleId="34">
    <w:name w:val="font21"/>
    <w:basedOn w:val="20"/>
    <w:qFormat/>
    <w:uiPriority w:val="0"/>
    <w:rPr>
      <w:rFonts w:hint="eastAsia" w:ascii="宋体" w:hAnsi="宋体" w:eastAsia="宋体" w:cs="宋体"/>
      <w:color w:val="000000"/>
      <w:sz w:val="20"/>
      <w:szCs w:val="20"/>
      <w:u w:val="none"/>
    </w:rPr>
  </w:style>
  <w:style w:type="character" w:customStyle="1" w:styleId="35">
    <w:name w:val="font41"/>
    <w:basedOn w:val="20"/>
    <w:qFormat/>
    <w:uiPriority w:val="0"/>
    <w:rPr>
      <w:rFonts w:hint="default" w:ascii="Times New Roman" w:hAnsi="Times New Roman" w:cs="Times New Roman"/>
      <w:b/>
      <w:color w:val="000000"/>
      <w:sz w:val="20"/>
      <w:szCs w:val="20"/>
      <w:u w:val="none"/>
    </w:rPr>
  </w:style>
  <w:style w:type="paragraph" w:customStyle="1" w:styleId="36">
    <w:name w:val="WPSOffice手动目录 1"/>
    <w:qFormat/>
    <w:uiPriority w:val="0"/>
    <w:rPr>
      <w:rFonts w:ascii="Times New Roman" w:hAnsi="Times New Roman" w:eastAsia="宋体" w:cs="Times New Roman"/>
      <w:lang w:val="en-US" w:eastAsia="zh-CN" w:bidi="ar-SA"/>
    </w:rPr>
  </w:style>
  <w:style w:type="paragraph" w:customStyle="1" w:styleId="3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8">
    <w:name w:val="表格"/>
    <w:basedOn w:val="1"/>
    <w:qFormat/>
    <w:uiPriority w:val="0"/>
    <w:rPr>
      <w:rFonts w:hint="eastAsia"/>
      <w:kern w:val="0"/>
      <w:sz w:val="24"/>
      <w:szCs w:val="20"/>
    </w:rPr>
  </w:style>
  <w:style w:type="paragraph" w:customStyle="1" w:styleId="39">
    <w:name w:val="页眉或页脚 (2)"/>
    <w:basedOn w:val="1"/>
    <w:qFormat/>
    <w:uiPriority w:val="0"/>
    <w:rPr>
      <w:rFonts w:eastAsia="Times New Roman" w:cs="Times New Roman"/>
      <w:sz w:val="20"/>
      <w:szCs w:val="20"/>
      <w:lang w:val="zh-CN" w:bidi="zh-CN"/>
    </w:rPr>
  </w:style>
  <w:style w:type="character" w:customStyle="1" w:styleId="40">
    <w:name w:val="标题 字符"/>
    <w:basedOn w:val="20"/>
    <w:link w:val="16"/>
    <w:qFormat/>
    <w:uiPriority w:val="0"/>
    <w:rPr>
      <w:rFonts w:ascii="等线 Light" w:hAnsi="等线 Light" w:eastAsia="等线 Light" w:cs="Times New Roman"/>
      <w:b/>
      <w:bCs/>
      <w:kern w:val="2"/>
      <w:sz w:val="32"/>
      <w:szCs w:val="32"/>
    </w:rPr>
  </w:style>
  <w:style w:type="character" w:customStyle="1" w:styleId="41">
    <w:name w:val="正文文本缩进 字符"/>
    <w:basedOn w:val="20"/>
    <w:link w:val="8"/>
    <w:qFormat/>
    <w:uiPriority w:val="0"/>
    <w:rPr>
      <w:kern w:val="2"/>
      <w:sz w:val="32"/>
      <w:szCs w:val="24"/>
    </w:rPr>
  </w:style>
  <w:style w:type="paragraph" w:customStyle="1" w:styleId="42">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3">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4">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13</Pages>
  <Words>2393</Words>
  <Characters>2563</Characters>
  <Lines>1</Lines>
  <Paragraphs>1</Paragraphs>
  <TotalTime>0</TotalTime>
  <ScaleCrop>false</ScaleCrop>
  <LinksUpToDate>false</LinksUpToDate>
  <CharactersWithSpaces>2568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2024-11-08T08:24:00Z</cp:lastPrinted>
  <dcterms:modified xsi:type="dcterms:W3CDTF">2025-01-08T01:20:39Z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