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880" w:firstLineChars="200"/>
        <w:jc w:val="center"/>
        <w:textAlignment w:val="auto"/>
        <w:rPr>
          <w:rFonts w:hint="eastAsia" w:ascii="方正黑体简体" w:hAnsi="方正黑体简体" w:eastAsia="方正黑体简体" w:cs="方正黑体简体"/>
          <w:color w:val="333333"/>
          <w:kern w:val="0"/>
          <w:sz w:val="44"/>
          <w:szCs w:val="44"/>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58BBA6B7">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被评价单位名称：中国共产党泸定县委员会办公室</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475E4D1D">
      <w:pPr>
        <w:pStyle w:val="2"/>
        <w:rPr>
          <w:rFonts w:hint="eastAsia" w:ascii="方正仿宋简体" w:hAnsi="方正仿宋简体" w:eastAsia="方正仿宋简体" w:cs="方正仿宋简体"/>
          <w:color w:val="333333"/>
          <w:kern w:val="0"/>
          <w:sz w:val="32"/>
          <w:szCs w:val="32"/>
          <w:highlight w:val="none"/>
        </w:rPr>
      </w:pPr>
    </w:p>
    <w:p w14:paraId="11835B9D">
      <w:pPr>
        <w:rPr>
          <w:rFonts w:hint="eastAsia" w:ascii="方正仿宋简体" w:hAnsi="方正仿宋简体" w:eastAsia="方正仿宋简体" w:cs="方正仿宋简体"/>
          <w:color w:val="333333"/>
          <w:kern w:val="0"/>
          <w:sz w:val="32"/>
          <w:szCs w:val="32"/>
          <w:highlight w:val="none"/>
        </w:rPr>
      </w:pPr>
    </w:p>
    <w:p w14:paraId="1E3076B7">
      <w:pPr>
        <w:pStyle w:val="2"/>
        <w:rPr>
          <w:rFonts w:hint="eastAsia" w:ascii="方正仿宋简体" w:hAnsi="方正仿宋简体" w:eastAsia="方正仿宋简体" w:cs="方正仿宋简体"/>
          <w:color w:val="333333"/>
          <w:kern w:val="0"/>
          <w:sz w:val="32"/>
          <w:szCs w:val="32"/>
          <w:highlight w:val="none"/>
        </w:rPr>
      </w:pPr>
    </w:p>
    <w:p w14:paraId="70CE07E7">
      <w:pPr>
        <w:rPr>
          <w:rFonts w:hint="eastAsia"/>
        </w:rPr>
      </w:pPr>
    </w:p>
    <w:p w14:paraId="14DBB894">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062C928D">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39D63358">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r>
        <w:rPr>
          <w:rFonts w:hint="eastAsia" w:ascii="方正小标宋简体" w:hAnsi="方正小标宋简体" w:eastAsia="方正小标宋简体" w:cs="方正小标宋简体"/>
          <w:sz w:val="44"/>
          <w:szCs w:val="44"/>
          <w:highlight w:val="none"/>
        </w:rPr>
        <w:t>中国共产党泸定县委员会办公室</w:t>
      </w:r>
    </w:p>
    <w:p w14:paraId="697C7A66">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sz w:val="44"/>
          <w:szCs w:val="44"/>
          <w:highlight w:val="none"/>
        </w:rPr>
      </w:pPr>
      <w:bookmarkStart w:id="0" w:name="_Toc27398"/>
      <w:r>
        <w:rPr>
          <w:rFonts w:hint="default" w:ascii="Times New Roman" w:hAnsi="Times New Roman" w:eastAsia="方正小标宋简体" w:cs="Times New Roman"/>
          <w:sz w:val="44"/>
          <w:szCs w:val="44"/>
          <w:highlight w:val="none"/>
          <w:lang w:eastAsia="zh"/>
        </w:rPr>
        <w:t>2023</w:t>
      </w:r>
      <w:r>
        <w:rPr>
          <w:rFonts w:hint="eastAsia" w:ascii="方正小标宋简体" w:hAnsi="方正小标宋简体" w:eastAsia="方正小标宋简体" w:cs="方正小标宋简体"/>
          <w:sz w:val="44"/>
          <w:szCs w:val="44"/>
          <w:highlight w:val="none"/>
        </w:rPr>
        <w:t>年部门整体支出绩效评价报告</w:t>
      </w:r>
      <w:bookmarkEnd w:id="0"/>
    </w:p>
    <w:p w14:paraId="719B9474">
      <w:pPr>
        <w:pStyle w:val="2"/>
        <w:keepNext w:val="0"/>
        <w:keepLines w:val="0"/>
        <w:pageBreakBefore w:val="0"/>
        <w:kinsoku/>
        <w:wordWrap/>
        <w:overflowPunct/>
        <w:topLinePunct w:val="0"/>
        <w:autoSpaceDE/>
        <w:autoSpaceDN/>
        <w:bidi w:val="0"/>
        <w:spacing w:after="0" w:line="600" w:lineRule="exact"/>
        <w:ind w:left="0"/>
        <w:rPr>
          <w:rFonts w:hint="eastAsia" w:ascii="方正仿宋简体" w:hAnsi="方正仿宋简体" w:eastAsia="方正仿宋简体" w:cs="方正仿宋简体"/>
          <w:sz w:val="32"/>
          <w:szCs w:val="32"/>
          <w:highlight w:val="none"/>
        </w:rPr>
      </w:pPr>
    </w:p>
    <w:p w14:paraId="5EA6E0D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bookmarkStart w:id="1" w:name="_Toc6252"/>
      <w:bookmarkStart w:id="2" w:name="_Toc8938"/>
      <w:bookmarkStart w:id="3" w:name="_Toc26210"/>
    </w:p>
    <w:p w14:paraId="1FC5E8D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年部门整体支出进行</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绩效评价。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34</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号）、《中共四川省委 四川省人民政府关于全面实施预算绩效管理的实施意见》（川委发〔</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号）、《中共甘孜州委办公室 甘孜州人民政府办公室关于印发</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甘孜州全面实施预算绩效管理工作实施方案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的通知》（甘委办〔</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201</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fr-FR"/>
          <w14:textFill>
            <w14:solidFill>
              <w14:schemeClr w14:val="tx1"/>
            </w14:solidFill>
          </w14:textFill>
        </w:rPr>
        <w:t>120</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和《泸定县财政局</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关于开展</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年度部门整体绩效评价工作的通知</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泸财〔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号</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文件要求，结合</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的实际情况，对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w:t>
      </w:r>
      <w:r>
        <w:rPr>
          <w:rFonts w:hint="eastAsia" w:ascii="方正仿宋简体" w:hAnsi="方正仿宋简体" w:eastAsia="方正仿宋简体" w:cs="方正仿宋简体"/>
          <w:color w:val="000000" w:themeColor="text1"/>
          <w:sz w:val="32"/>
          <w:szCs w:val="32"/>
          <w:highlight w:val="none"/>
          <w:lang w:val="fr-FR"/>
          <w14:textFill>
            <w14:solidFill>
              <w14:schemeClr w14:val="tx1"/>
            </w14:solidFill>
          </w14:textFill>
        </w:rPr>
        <w:t>进行绩效评价，并出具绩效评价报告，现将相关情况报告如下：</w:t>
      </w:r>
      <w:bookmarkEnd w:id="1"/>
      <w:bookmarkEnd w:id="2"/>
      <w:bookmarkEnd w:id="3"/>
      <w:bookmarkStart w:id="4" w:name="_Toc12185"/>
      <w:bookmarkStart w:id="5" w:name="_Toc8555"/>
      <w:bookmarkStart w:id="6" w:name="_Toc109483833"/>
    </w:p>
    <w:p w14:paraId="06835735">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7" w:name="_Toc799907804"/>
      <w:bookmarkStart w:id="8" w:name="_Toc26009"/>
      <w:bookmarkStart w:id="9" w:name="_Toc27255"/>
      <w:bookmarkStart w:id="10" w:name="_Toc18579"/>
      <w:bookmarkStart w:id="11" w:name="_Toc12546"/>
      <w:bookmarkStart w:id="12" w:name="_Toc10147"/>
      <w:r>
        <w:rPr>
          <w:rFonts w:hint="eastAsia" w:ascii="方正黑体简体" w:hAnsi="方正黑体简体" w:eastAsia="方正黑体简体" w:cs="方正黑体简体"/>
          <w:color w:val="000000"/>
          <w:kern w:val="0"/>
          <w:sz w:val="32"/>
          <w:szCs w:val="32"/>
          <w:highlight w:val="none"/>
          <w:shd w:val="clear" w:color="auto" w:fill="FFFFFF"/>
        </w:rPr>
        <w:t>一、</w:t>
      </w:r>
      <w:bookmarkEnd w:id="4"/>
      <w:bookmarkEnd w:id="5"/>
      <w:r>
        <w:rPr>
          <w:rFonts w:hint="eastAsia" w:ascii="方正黑体简体" w:hAnsi="方正黑体简体" w:eastAsia="方正黑体简体" w:cs="方正黑体简体"/>
          <w:color w:val="000000"/>
          <w:kern w:val="0"/>
          <w:sz w:val="32"/>
          <w:szCs w:val="32"/>
          <w:highlight w:val="none"/>
          <w:shd w:val="clear" w:color="auto" w:fill="FFFFFF"/>
        </w:rPr>
        <w:t>部门</w:t>
      </w:r>
      <w:bookmarkEnd w:id="6"/>
      <w:bookmarkEnd w:id="7"/>
      <w:bookmarkEnd w:id="8"/>
      <w:bookmarkStart w:id="13" w:name="_Toc16549"/>
      <w:bookmarkStart w:id="14" w:name="_Toc109483834"/>
      <w:bookmarkStart w:id="15" w:name="_Toc30550"/>
      <w:r>
        <w:rPr>
          <w:rFonts w:hint="eastAsia" w:ascii="方正黑体简体" w:hAnsi="方正黑体简体" w:eastAsia="方正黑体简体" w:cs="方正黑体简体"/>
          <w:color w:val="000000"/>
          <w:kern w:val="0"/>
          <w:sz w:val="32"/>
          <w:szCs w:val="32"/>
          <w:highlight w:val="none"/>
          <w:shd w:val="clear" w:color="auto" w:fill="FFFFFF"/>
        </w:rPr>
        <w:t>概况</w:t>
      </w:r>
      <w:bookmarkEnd w:id="9"/>
      <w:bookmarkEnd w:id="10"/>
      <w:bookmarkEnd w:id="11"/>
      <w:bookmarkEnd w:id="12"/>
    </w:p>
    <w:p w14:paraId="77B53576">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16" w:name="_Toc7513"/>
      <w:bookmarkStart w:id="17" w:name="_Toc419097264"/>
      <w:bookmarkStart w:id="18" w:name="_Toc20865"/>
      <w:bookmarkStart w:id="19" w:name="_Toc2337"/>
      <w:bookmarkStart w:id="20" w:name="_Toc24161"/>
      <w:bookmarkStart w:id="21" w:name="_Toc28885"/>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w:t>
      </w:r>
      <w:bookmarkEnd w:id="13"/>
      <w:bookmarkEnd w:id="14"/>
      <w:bookmarkEnd w:id="15"/>
      <w:bookmarkEnd w:id="16"/>
      <w:bookmarkEnd w:id="17"/>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部门基本情况</w:t>
      </w:r>
      <w:bookmarkEnd w:id="18"/>
      <w:bookmarkEnd w:id="19"/>
      <w:bookmarkEnd w:id="20"/>
      <w:bookmarkEnd w:id="21"/>
    </w:p>
    <w:p w14:paraId="7DD0EC5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22" w:name="_Toc109483835"/>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中国共产党泸定县委员会办公室，属财政资金全额保障的一级预算单位，单位性质：机关；单位负责人：王凯；统一社会信用代码：</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11513322008978011Y</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；单位所在地：泸定县泸桥镇红军路</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324</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号。 </w:t>
      </w:r>
    </w:p>
    <w:p w14:paraId="5306FAC0">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
        </w:rPr>
      </w:pPr>
      <w:bookmarkStart w:id="23" w:name="_Toc1278"/>
      <w:bookmarkStart w:id="24" w:name="_Toc31223"/>
      <w:bookmarkStart w:id="25" w:name="_Toc17750"/>
      <w:bookmarkStart w:id="26" w:name="_Toc6425"/>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（二）部门</w:t>
      </w:r>
      <w:bookmarkEnd w:id="23"/>
      <w:bookmarkEnd w:id="24"/>
      <w:bookmarkEnd w:id="25"/>
      <w:r>
        <w:rPr>
          <w:rFonts w:hint="eastAsia" w:ascii="方正楷体简体" w:hAnsi="方正楷体简体" w:eastAsia="方正楷体简体" w:cs="方正楷体简体"/>
          <w:color w:val="000000"/>
          <w:kern w:val="0"/>
          <w:sz w:val="32"/>
          <w:szCs w:val="32"/>
          <w:highlight w:val="none"/>
          <w:shd w:val="clear" w:color="auto" w:fill="FFFFFF"/>
          <w:lang w:val="zh-CN" w:eastAsia="zh"/>
        </w:rPr>
        <w:t>内设机构及人员概况</w:t>
      </w:r>
      <w:bookmarkEnd w:id="26"/>
    </w:p>
    <w:p w14:paraId="4DCE866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中国共产党泸定县委员会办公室内设综合股、文秘股、信息股、政研股、目标督查股、行政后勤股、保密机要室、档案指导室</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截至</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月</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日，中国共产党泸定县委员会办公室实有在职人员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39</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人，其中行政人员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名</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（含单列管理行政编制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名），工勤人员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名，党政网管理中心事业人员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名，保密机要技术中心事业人员</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 xml:space="preserve">名。 </w:t>
      </w:r>
    </w:p>
    <w:p w14:paraId="07079B94">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27" w:name="_Toc568184988"/>
      <w:bookmarkStart w:id="28" w:name="_Toc16978"/>
      <w:bookmarkStart w:id="29" w:name="_Toc25450"/>
      <w:bookmarkStart w:id="30" w:name="_Toc22604"/>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（三）</w:t>
      </w:r>
      <w:bookmarkEnd w:id="22"/>
      <w:bookmarkEnd w:id="27"/>
      <w:bookmarkEnd w:id="28"/>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部门职能职责</w:t>
      </w:r>
      <w:bookmarkEnd w:id="29"/>
      <w:bookmarkEnd w:id="30"/>
    </w:p>
    <w:p w14:paraId="20688DEA">
      <w:pPr>
        <w:keepNext w:val="0"/>
        <w:keepLines w:val="0"/>
        <w:pageBreakBefore w:val="0"/>
        <w:kinsoku/>
        <w:wordWrap/>
        <w:overflowPunct/>
        <w:topLinePunct w:val="0"/>
        <w:autoSpaceDE/>
        <w:autoSpaceDN/>
        <w:bidi w:val="0"/>
        <w:spacing w:line="600" w:lineRule="exact"/>
        <w:ind w:left="0" w:firstLine="602"/>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31" w:name="_Toc33"/>
      <w:bookmarkStart w:id="32" w:name="_Toc109483836"/>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一是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围绕县委重大工作部署拟定建议方案，参加协调、联系县委领导分管工作。</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负责县委和县委办公室自立文件、纪要、报告、会议材料、领导讲话和专题文章的草拟、修改、校核和印制，以及综合文稿工作；</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负责县委日常文书的处理、文件收发、传阅、管理和立卷归档工作，坚持大局导向、需求导向和问题导向；</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围绕全县经济社会和发展稳定及时收集并反映情况、报送信息，完成州委办公室下达的党委信息目标任务；</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五是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完善全县信息报送工作机制，提升县委信息工作科学化规范化水平；</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六是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协助县委做好有关党的路线、方针、政策贯彻执行中的协调，完成领导交办重大事项的协调；</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七是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发挥协调处置重大事件和突发事件中的参谋助手、桥梁纽带作用；</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八是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做好县人大代表、政协委员提案、建议的回复工作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负责县党代会、县委全委会、县委常委会及以县委名义召开的各项大会会务工作；</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九是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负责组织以县委名义开展的重大活动；</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十是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协调县委领导参加重大活动的安排，负责县委制发的党内规范性文件衔接、协调、意见征求、审核和向州委备案工作；</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十一是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审查县纪委、县委各部委、县级各部门党组（党委）、各乡镇党委党内规范性文件；</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十二是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为县委决策提供法规服务；</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十三是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负责全县党政系统密码通信、密码管理及商用密码管理，负责中央、省州委和县委文件及党政领导机关、要害部门核心机密文电、信件的传递工作；</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十四是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负责全县密码保密工作</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抓好密码通信网络建设；</w:t>
      </w:r>
      <w:r>
        <w:rPr>
          <w:rFonts w:hint="eastAsia" w:ascii="方正仿宋简体" w:hAnsi="方正仿宋简体" w:eastAsia="方正仿宋简体" w:cs="方正仿宋简体"/>
          <w:b/>
          <w:bCs/>
          <w:color w:val="000000" w:themeColor="text1"/>
          <w:sz w:val="32"/>
          <w:szCs w:val="32"/>
          <w:highlight w:val="none"/>
          <w14:textFill>
            <w14:solidFill>
              <w14:schemeClr w14:val="tx1"/>
            </w14:solidFill>
          </w14:textFill>
        </w:rPr>
        <w:t>十五是</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依法管理全县保密工作，承办县委保密委员会日常事务。</w:t>
      </w:r>
    </w:p>
    <w:p w14:paraId="6619141C">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lang w:val="zh-CN"/>
        </w:rPr>
      </w:pPr>
      <w:bookmarkStart w:id="33" w:name="_Toc1218480988"/>
      <w:bookmarkStart w:id="34" w:name="_Toc7054"/>
      <w:bookmarkStart w:id="35" w:name="_Toc22594"/>
      <w:bookmarkStart w:id="36" w:name="_Toc13707"/>
      <w:bookmarkStart w:id="37" w:name="_Toc16871"/>
      <w:bookmarkStart w:id="38" w:name="_Toc14896"/>
      <w:r>
        <w:rPr>
          <w:rFonts w:hint="eastAsia" w:ascii="方正黑体简体" w:hAnsi="方正黑体简体" w:eastAsia="方正黑体简体" w:cs="方正黑体简体"/>
          <w:color w:val="000000"/>
          <w:kern w:val="0"/>
          <w:sz w:val="32"/>
          <w:szCs w:val="32"/>
          <w:highlight w:val="none"/>
          <w:shd w:val="clear" w:color="auto" w:fill="FFFFFF"/>
          <w:lang w:val="zh-CN"/>
        </w:rPr>
        <w:t>二、资金来源及使用情况</w:t>
      </w:r>
      <w:bookmarkEnd w:id="31"/>
      <w:bookmarkEnd w:id="32"/>
      <w:bookmarkEnd w:id="33"/>
      <w:bookmarkEnd w:id="34"/>
      <w:bookmarkEnd w:id="35"/>
      <w:bookmarkEnd w:id="36"/>
      <w:bookmarkEnd w:id="37"/>
      <w:bookmarkEnd w:id="38"/>
      <w:bookmarkStart w:id="39" w:name="_Toc2659"/>
      <w:bookmarkStart w:id="40" w:name="_Toc109483837"/>
    </w:p>
    <w:bookmarkEnd w:id="39"/>
    <w:bookmarkEnd w:id="40"/>
    <w:p w14:paraId="6B2568A9">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41" w:name="_Toc2374"/>
      <w:bookmarkStart w:id="42" w:name="_Toc1949541301"/>
      <w:bookmarkStart w:id="43" w:name="_Toc25866"/>
      <w:bookmarkStart w:id="44" w:name="_Toc29180"/>
      <w:bookmarkStart w:id="45" w:name="_Toc15898"/>
      <w:bookmarkStart w:id="46" w:name="_Toc19593"/>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eastAsia="zh-CN"/>
        </w:rPr>
        <w:t>一</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）部门资金收入</w:t>
      </w:r>
      <w:r>
        <w:rPr>
          <w:rFonts w:hint="eastAsia" w:ascii="方正楷体简体" w:hAnsi="方正楷体简体" w:eastAsia="方正楷体简体" w:cs="方正楷体简体"/>
          <w:color w:val="000000"/>
          <w:kern w:val="0"/>
          <w:sz w:val="32"/>
          <w:szCs w:val="32"/>
          <w:highlight w:val="none"/>
          <w:shd w:val="clear" w:color="auto" w:fill="FFFFFF"/>
          <w:lang w:eastAsia="zh-CN"/>
        </w:rPr>
        <w:t>决算</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情况</w:t>
      </w:r>
      <w:bookmarkEnd w:id="41"/>
      <w:bookmarkEnd w:id="42"/>
      <w:bookmarkEnd w:id="43"/>
      <w:bookmarkEnd w:id="44"/>
      <w:bookmarkEnd w:id="45"/>
      <w:bookmarkEnd w:id="46"/>
      <w:bookmarkStart w:id="47" w:name="_Toc19132"/>
    </w:p>
    <w:bookmarkEnd w:id="47"/>
    <w:p w14:paraId="152D0A3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48" w:name="_Toc109483838"/>
      <w:bookmarkStart w:id="49" w:name="_Toc27073"/>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年中国共产党泸定县委员会办公室收入总计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226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元，其中：一般公共预算财政拨款收入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226</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05</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其他收入</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万元</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01455ACE">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50" w:name="_Toc17751"/>
      <w:bookmarkStart w:id="51" w:name="_Toc4431"/>
      <w:bookmarkStart w:id="52" w:name="_Toc19326"/>
      <w:bookmarkStart w:id="53" w:name="_Toc27782"/>
      <w:bookmarkStart w:id="54" w:name="_Toc21171"/>
      <w:bookmarkStart w:id="55" w:name="_Toc349786989"/>
      <w:r>
        <w:rPr>
          <w:rFonts w:hint="eastAsia" w:ascii="方正楷体简体" w:hAnsi="方正楷体简体" w:eastAsia="方正楷体简体" w:cs="方正楷体简体"/>
          <w:color w:val="000000"/>
          <w:kern w:val="0"/>
          <w:sz w:val="32"/>
          <w:szCs w:val="32"/>
          <w:highlight w:val="none"/>
          <w:shd w:val="clear" w:color="auto" w:fill="FFFFFF"/>
          <w:lang w:val="zh-CN" w:eastAsia="zh-CN"/>
        </w:rPr>
        <w:t>（</w:t>
      </w:r>
      <w:r>
        <w:rPr>
          <w:rFonts w:hint="eastAsia" w:ascii="方正楷体简体" w:hAnsi="方正楷体简体" w:eastAsia="方正楷体简体" w:cs="方正楷体简体"/>
          <w:color w:val="000000"/>
          <w:kern w:val="0"/>
          <w:sz w:val="32"/>
          <w:szCs w:val="32"/>
          <w:highlight w:val="none"/>
          <w:shd w:val="clear" w:color="auto" w:fill="FFFFFF"/>
          <w:lang w:eastAsia="zh-CN"/>
        </w:rPr>
        <w:t>二</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）部门资金支出</w:t>
      </w:r>
      <w:r>
        <w:rPr>
          <w:rFonts w:hint="eastAsia" w:ascii="方正楷体简体" w:hAnsi="方正楷体简体" w:eastAsia="方正楷体简体" w:cs="方正楷体简体"/>
          <w:color w:val="000000"/>
          <w:kern w:val="0"/>
          <w:sz w:val="32"/>
          <w:szCs w:val="32"/>
          <w:highlight w:val="none"/>
          <w:shd w:val="clear" w:color="auto" w:fill="FFFFFF"/>
          <w:lang w:eastAsia="zh-CN"/>
        </w:rPr>
        <w:t>决算</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情况</w:t>
      </w:r>
      <w:bookmarkEnd w:id="48"/>
      <w:bookmarkEnd w:id="49"/>
      <w:bookmarkEnd w:id="50"/>
      <w:bookmarkEnd w:id="51"/>
      <w:bookmarkEnd w:id="52"/>
      <w:bookmarkEnd w:id="53"/>
      <w:bookmarkEnd w:id="54"/>
      <w:bookmarkEnd w:id="55"/>
    </w:p>
    <w:p w14:paraId="5CB94A4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pPr>
      <w:bookmarkStart w:id="56" w:name="_Toc18390"/>
      <w:bookmarkStart w:id="57" w:name="_Toc24721"/>
      <w:bookmarkStart w:id="58" w:name="_Toc10837"/>
      <w:bookmarkStart w:id="59" w:name="_Toc809"/>
      <w:bookmarkStart w:id="60" w:name="_Toc109483839"/>
      <w:bookmarkStart w:id="61" w:name="_Toc13841"/>
      <w:bookmarkStart w:id="62" w:name="_Toc1457008154"/>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年中国共产党泸定县委员会办公室</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支出</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总计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226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元，</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其中</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基本支出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912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万元（人员经费</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756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70</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万元、日常公用经费</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156</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
          <w14:textFill>
            <w14:solidFill>
              <w14:schemeClr w14:val="tx1"/>
            </w14:solidFill>
          </w14:textFill>
        </w:rPr>
        <w:t>01</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万元），项目支出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313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val="en-US" w:eastAsia="zh"/>
          <w14:textFill>
            <w14:solidFill>
              <w14:schemeClr w14:val="tx1"/>
            </w14:solidFill>
          </w14:textFill>
        </w:rPr>
        <w:t>万元</w:t>
      </w:r>
      <w:r>
        <w:rPr>
          <w:rFonts w:hint="eastAsia" w:ascii="方正仿宋简体" w:hAnsi="方正仿宋简体" w:eastAsia="方正仿宋简体" w:cs="方正仿宋简体"/>
          <w:sz w:val="32"/>
          <w:szCs w:val="32"/>
          <w:highlight w:val="none"/>
          <w:lang w:eastAsia="zh-CN"/>
        </w:rPr>
        <w:t>。</w:t>
      </w:r>
      <w:r>
        <w:rPr>
          <w:rFonts w:hint="eastAsia" w:ascii="方正仿宋简体" w:hAnsi="方正仿宋简体" w:eastAsia="方正仿宋简体" w:cs="方正仿宋简体"/>
          <w:sz w:val="32"/>
          <w:szCs w:val="32"/>
          <w:highlight w:val="none"/>
          <w:lang w:val="en-US" w:eastAsia="zh-CN"/>
        </w:rPr>
        <w:t>年末结转结余</w:t>
      </w:r>
      <w:r>
        <w:rPr>
          <w:rFonts w:hint="default" w:ascii="Times New Roman" w:hAnsi="Times New Roman" w:eastAsia="方正仿宋简体" w:cs="Times New Roman"/>
          <w:sz w:val="32"/>
          <w:szCs w:val="32"/>
          <w:highlight w:val="none"/>
          <w:lang w:val="en-US" w:eastAsia="zh-CN"/>
        </w:rPr>
        <w:t>0</w:t>
      </w:r>
      <w:r>
        <w:rPr>
          <w:rFonts w:hint="eastAsia" w:ascii="方正仿宋简体" w:hAnsi="方正仿宋简体" w:eastAsia="方正仿宋简体" w:cs="方正仿宋简体"/>
          <w:sz w:val="32"/>
          <w:szCs w:val="32"/>
          <w:highlight w:val="none"/>
          <w:lang w:val="en-US" w:eastAsia="zh-CN"/>
        </w:rPr>
        <w:t>.</w:t>
      </w:r>
      <w:r>
        <w:rPr>
          <w:rFonts w:hint="default" w:ascii="Times New Roman" w:hAnsi="Times New Roman" w:eastAsia="方正仿宋简体" w:cs="Times New Roman"/>
          <w:sz w:val="32"/>
          <w:szCs w:val="32"/>
          <w:highlight w:val="none"/>
          <w:lang w:val="en-US" w:eastAsia="zh-CN"/>
        </w:rPr>
        <w:t>00</w:t>
      </w:r>
      <w:r>
        <w:rPr>
          <w:rFonts w:hint="eastAsia" w:ascii="方正仿宋简体" w:hAnsi="方正仿宋简体" w:eastAsia="方正仿宋简体" w:cs="方正仿宋简体"/>
          <w:sz w:val="32"/>
          <w:szCs w:val="32"/>
          <w:highlight w:val="none"/>
          <w:lang w:val="en-US" w:eastAsia="zh-CN"/>
        </w:rPr>
        <w:t>万元。</w:t>
      </w:r>
    </w:p>
    <w:p w14:paraId="4B647864">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63" w:name="_Toc20487"/>
      <w:r>
        <w:rPr>
          <w:rFonts w:hint="eastAsia" w:ascii="方正黑体简体" w:hAnsi="方正黑体简体" w:eastAsia="方正黑体简体" w:cs="方正黑体简体"/>
          <w:color w:val="000000"/>
          <w:kern w:val="0"/>
          <w:sz w:val="32"/>
          <w:szCs w:val="32"/>
          <w:highlight w:val="none"/>
          <w:shd w:val="clear" w:color="auto" w:fill="FFFFFF"/>
        </w:rPr>
        <w:t>三、部门目标实现情况</w:t>
      </w:r>
      <w:bookmarkEnd w:id="56"/>
      <w:bookmarkEnd w:id="57"/>
      <w:bookmarkEnd w:id="58"/>
      <w:bookmarkEnd w:id="63"/>
    </w:p>
    <w:p w14:paraId="686B6267">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64" w:name="_Toc3573"/>
      <w:bookmarkStart w:id="65" w:name="_Toc28722"/>
      <w:bookmarkStart w:id="66" w:name="_Toc1418"/>
      <w:bookmarkStart w:id="67" w:name="_Toc28011"/>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（一）总体目标</w:t>
      </w:r>
      <w:bookmarkEnd w:id="64"/>
      <w:bookmarkEnd w:id="65"/>
      <w:bookmarkEnd w:id="66"/>
      <w:bookmarkEnd w:id="67"/>
    </w:p>
    <w:p w14:paraId="7AAAED9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val="zh-CN"/>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中国共产党泸定县委员会办公室深入宣传贯彻党的二十大和二十届二中全会、省委十二届四次全会、州委十二届六次、县委十四届五次全会精神，坚定拥护“两个确立”、坚决做到“两个维护”，深入贯彻落实党中央大政方针和省州委决策部署，坚定县委“</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工作思路，协同推进“重建泸定收官年、城乡泸定融合年、重塑泸定提升年”专项行动，加力实施区域中心县城建设，着力推进城乡融合发展，为奋力谱写中国式现代化甘孜场景的泸定篇章，加快建设红色美丽、宜居幸福社会主义现代化新泸定奠定坚实基础。</w:t>
      </w:r>
    </w:p>
    <w:p w14:paraId="0A69DACE">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68" w:name="_Toc132"/>
      <w:bookmarkStart w:id="69" w:name="_Toc11959"/>
      <w:bookmarkStart w:id="70" w:name="_Toc12397"/>
      <w:bookmarkStart w:id="71" w:name="_Toc24652"/>
      <w:r>
        <w:rPr>
          <w:rFonts w:hint="eastAsia" w:ascii="方正楷体简体" w:hAnsi="方正楷体简体" w:eastAsia="方正楷体简体" w:cs="方正楷体简体"/>
          <w:color w:val="000000"/>
          <w:kern w:val="0"/>
          <w:sz w:val="32"/>
          <w:szCs w:val="32"/>
          <w:highlight w:val="none"/>
          <w:shd w:val="clear" w:color="auto" w:fill="FFFFFF"/>
          <w:lang w:val="zh-CN" w:eastAsia="zh-CN"/>
        </w:rPr>
        <w:t>（二）具体目标</w:t>
      </w:r>
      <w:bookmarkEnd w:id="68"/>
      <w:bookmarkEnd w:id="69"/>
      <w:bookmarkEnd w:id="70"/>
      <w:bookmarkEnd w:id="71"/>
    </w:p>
    <w:p w14:paraId="19FBCA9C">
      <w:pPr>
        <w:keepNext w:val="0"/>
        <w:keepLines w:val="0"/>
        <w:pageBreakBefore w:val="0"/>
        <w:kinsoku/>
        <w:wordWrap/>
        <w:overflowPunct/>
        <w:topLinePunct w:val="0"/>
        <w:autoSpaceDE/>
        <w:autoSpaceDN/>
        <w:bidi w:val="0"/>
        <w:spacing w:line="600" w:lineRule="exact"/>
        <w:ind w:left="0" w:firstLine="602"/>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bookmarkStart w:id="72" w:name="_Toc20594"/>
      <w:bookmarkStart w:id="73" w:name="_Toc626"/>
      <w:bookmarkStart w:id="74" w:name="_Toc22727"/>
      <w:bookmarkStart w:id="75" w:name="_Toc31124"/>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一是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始终坚持以习近平新时代中国特色社会主义思想为指导，扎实推进党的建设工作，制定工作方案并开展集中学习等工作；</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二是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召开全县性会议、常委会等进一步严肃纪律、落实会风会纪监督机制；</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三是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坚持把调研文稿作为服务领导决策的“直通车”，创新“头脑风暴”写作模式，通过思想碰撞理清文稿思路、优化文稿框架、确保用语准确；</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四是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深入学习贯彻党中央和省州县委关于意识形态工作重大部署，严格落实党委意识形态工作责任制；</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五是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积极组织办公室干部职工通过</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集中+自学</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形式加强职工对《党章》《宪法》《保密法》等法律法规的理解与运用；</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六是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坚持</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小时值班制度，强化护林防火期、汛期、节假期、敏感期的值班工作，切实做到严守岗位、密不离人的纪律规定；</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七是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坚持把深化改革作为创新富民的活力源泉，分解落实</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125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项改革任务，积极探索</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个改革试点，稳步推进国有林场、农村土地、集体产权、集体林权和乡村振兴贷款风险金等制度改革；</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八是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围绕州委、州政府考核各项目标绩效任务，组织印发《年度目标绩效任务分解方案》，牵头拟定《</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年度目标绩效考核实施办法》和《督查工作要点》；</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九是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把统筹协调作为办公室的谋事之道，把运转保障作为办公室立身之本；</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十是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选优配强“五个一”驻村帮扶力量，先后派出第一书记、驻村工作队员、帮扶责任人等组建入户小分队开展帮扶工作，贯彻落实“铸牢中华民族共同体意识、民族团结进家庭”的实践行动；</w:t>
      </w:r>
      <w:r>
        <w:rPr>
          <w:rFonts w:hint="eastAsia" w:ascii="方正仿宋简体" w:hAnsi="方正仿宋简体" w:eastAsia="方正仿宋简体" w:cs="方正仿宋简体"/>
          <w:b/>
          <w:bCs/>
          <w:color w:val="000000" w:themeColor="text1"/>
          <w:sz w:val="32"/>
          <w:szCs w:val="32"/>
          <w:highlight w:val="none"/>
          <w:lang w:eastAsia="zh"/>
          <w14:textFill>
            <w14:solidFill>
              <w14:schemeClr w14:val="tx1"/>
            </w14:solidFill>
          </w14:textFill>
        </w:rPr>
        <w:t>十一是</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按照县委“</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”巡视问题整改方案，扛实巡视问题整改工作责任，按照“清单制+责任制+销号制”方式，“点球式”推动巡视问题整改。</w:t>
      </w:r>
      <w:bookmarkEnd w:id="72"/>
      <w:bookmarkEnd w:id="73"/>
      <w:bookmarkEnd w:id="74"/>
      <w:bookmarkEnd w:id="75"/>
    </w:p>
    <w:p w14:paraId="6B9877DE">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76" w:name="_Toc6491"/>
      <w:bookmarkStart w:id="77" w:name="_Toc11386"/>
      <w:bookmarkStart w:id="78" w:name="_Toc17536"/>
      <w:bookmarkStart w:id="79" w:name="_Toc24081"/>
      <w:r>
        <w:rPr>
          <w:rFonts w:hint="eastAsia" w:ascii="方正黑体简体" w:hAnsi="方正黑体简体" w:eastAsia="方正黑体简体" w:cs="方正黑体简体"/>
          <w:color w:val="000000"/>
          <w:kern w:val="0"/>
          <w:sz w:val="32"/>
          <w:szCs w:val="32"/>
          <w:highlight w:val="none"/>
          <w:shd w:val="clear" w:color="auto" w:fill="FFFFFF"/>
        </w:rPr>
        <w:t>四、部门整体支出</w:t>
      </w:r>
      <w:r>
        <w:rPr>
          <w:rFonts w:hint="eastAsia" w:ascii="方正黑体简体" w:hAnsi="方正黑体简体" w:eastAsia="方正黑体简体" w:cs="方正黑体简体"/>
          <w:color w:val="000000"/>
          <w:kern w:val="0"/>
          <w:sz w:val="32"/>
          <w:szCs w:val="32"/>
          <w:highlight w:val="none"/>
          <w:shd w:val="clear" w:color="auto" w:fill="FFFFFF"/>
          <w:lang w:val="zh-CN"/>
        </w:rPr>
        <w:t>绩效评价</w:t>
      </w:r>
      <w:r>
        <w:rPr>
          <w:rFonts w:hint="eastAsia" w:ascii="方正黑体简体" w:hAnsi="方正黑体简体" w:eastAsia="方正黑体简体" w:cs="方正黑体简体"/>
          <w:color w:val="000000"/>
          <w:kern w:val="0"/>
          <w:sz w:val="32"/>
          <w:szCs w:val="32"/>
          <w:highlight w:val="none"/>
          <w:shd w:val="clear" w:color="auto" w:fill="FFFFFF"/>
        </w:rPr>
        <w:t>情况</w:t>
      </w:r>
      <w:bookmarkEnd w:id="59"/>
      <w:bookmarkEnd w:id="60"/>
      <w:bookmarkEnd w:id="61"/>
      <w:bookmarkEnd w:id="62"/>
      <w:bookmarkEnd w:id="76"/>
      <w:bookmarkEnd w:id="77"/>
      <w:bookmarkEnd w:id="78"/>
      <w:bookmarkEnd w:id="79"/>
    </w:p>
    <w:p w14:paraId="533B7E80">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zh-CN" w:eastAsia="zh-CN"/>
        </w:rPr>
      </w:pPr>
      <w:bookmarkStart w:id="80" w:name="_Toc25925"/>
      <w:bookmarkStart w:id="81" w:name="_Toc29571"/>
      <w:bookmarkStart w:id="82" w:name="_Toc11694"/>
      <w:bookmarkStart w:id="83" w:name="_Toc24977"/>
      <w:bookmarkStart w:id="84" w:name="_Toc8903"/>
      <w:bookmarkStart w:id="85" w:name="_Toc428273082"/>
      <w:bookmarkStart w:id="86" w:name="_Toc27305"/>
      <w:bookmarkStart w:id="87" w:name="_Toc4199"/>
      <w:bookmarkStart w:id="88" w:name="_Toc109483840"/>
      <w:r>
        <w:rPr>
          <w:rFonts w:hint="eastAsia" w:ascii="方正楷体简体" w:hAnsi="方正楷体简体" w:eastAsia="方正楷体简体" w:cs="方正楷体简体"/>
          <w:color w:val="000000"/>
          <w:kern w:val="0"/>
          <w:sz w:val="32"/>
          <w:szCs w:val="32"/>
          <w:highlight w:val="none"/>
          <w:shd w:val="clear" w:color="auto" w:fill="FFFFFF"/>
          <w:lang w:eastAsia="zh-CN"/>
        </w:rPr>
        <w:t>（一）</w:t>
      </w:r>
      <w:r>
        <w:rPr>
          <w:rFonts w:hint="eastAsia" w:ascii="方正楷体简体" w:hAnsi="方正楷体简体" w:eastAsia="方正楷体简体" w:cs="方正楷体简体"/>
          <w:color w:val="000000"/>
          <w:kern w:val="0"/>
          <w:sz w:val="32"/>
          <w:szCs w:val="32"/>
          <w:highlight w:val="none"/>
          <w:shd w:val="clear" w:color="auto" w:fill="FFFFFF"/>
          <w:lang w:val="zh-CN" w:eastAsia="zh-CN"/>
        </w:rPr>
        <w:t>绩效评价实施过程</w:t>
      </w:r>
      <w:bookmarkEnd w:id="80"/>
      <w:bookmarkEnd w:id="81"/>
      <w:bookmarkEnd w:id="82"/>
      <w:bookmarkEnd w:id="83"/>
    </w:p>
    <w:p w14:paraId="2C70E245">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eastAsia" w:ascii="方正仿宋简体" w:hAnsi="方正仿宋简体" w:eastAsia="方正仿宋简体" w:cs="方正仿宋简体"/>
          <w:kern w:val="0"/>
          <w:sz w:val="32"/>
          <w:szCs w:val="32"/>
          <w:highlight w:val="none"/>
          <w:lang w:val="zh-CN" w:bidi="ar"/>
        </w:rPr>
        <w:t>评价小组按照评价日程安排，对</w:t>
      </w:r>
      <w:r>
        <w:rPr>
          <w:rFonts w:hint="eastAsia" w:ascii="方正仿宋简体" w:hAnsi="方正仿宋简体" w:eastAsia="方正仿宋简体" w:cs="方正仿宋简体"/>
          <w:kern w:val="0"/>
          <w:sz w:val="32"/>
          <w:szCs w:val="32"/>
          <w:highlight w:val="none"/>
          <w:lang w:eastAsia="zh" w:bidi="ar"/>
        </w:rPr>
        <w:t>中国共产党泸定县委员会办公室</w:t>
      </w:r>
      <w:r>
        <w:rPr>
          <w:rFonts w:hint="eastAsia" w:ascii="方正仿宋简体" w:hAnsi="方正仿宋简体" w:eastAsia="方正仿宋简体" w:cs="方正仿宋简体"/>
          <w:kern w:val="0"/>
          <w:sz w:val="32"/>
          <w:szCs w:val="32"/>
          <w:highlight w:val="none"/>
          <w:lang w:val="zh-CN" w:bidi="ar"/>
        </w:rPr>
        <w:t>提交的评价资料进行认真梳理，测算分析各项指标，汇总评分并形成评价报告。</w:t>
      </w:r>
    </w:p>
    <w:p w14:paraId="01A54EE1">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1</w:t>
      </w:r>
      <w:r>
        <w:rPr>
          <w:rFonts w:hint="eastAsia" w:ascii="方正仿宋简体" w:hAnsi="方正仿宋简体" w:eastAsia="方正仿宋简体" w:cs="方正仿宋简体"/>
          <w:kern w:val="0"/>
          <w:sz w:val="32"/>
          <w:szCs w:val="32"/>
          <w:highlight w:val="none"/>
          <w:lang w:val="zh-CN" w:bidi="ar"/>
        </w:rPr>
        <w:t>.对相关资料进行研读，对整体评价有基本的把握和了解，归纳出进一步评价所需的信息供下一步取数参考。</w:t>
      </w:r>
    </w:p>
    <w:p w14:paraId="3DCFD119">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2</w:t>
      </w:r>
      <w:r>
        <w:rPr>
          <w:rFonts w:hint="eastAsia" w:ascii="方正仿宋简体" w:hAnsi="方正仿宋简体" w:eastAsia="方正仿宋简体" w:cs="方正仿宋简体"/>
          <w:kern w:val="0"/>
          <w:sz w:val="32"/>
          <w:szCs w:val="32"/>
          <w:highlight w:val="none"/>
          <w:lang w:val="zh-CN" w:bidi="ar"/>
        </w:rPr>
        <w:t>.集中对各个评价指标逐一进行分析，以保证取数的准确性。</w:t>
      </w:r>
    </w:p>
    <w:p w14:paraId="6895913C">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3</w:t>
      </w:r>
      <w:r>
        <w:rPr>
          <w:rFonts w:hint="eastAsia" w:ascii="方正仿宋简体" w:hAnsi="方正仿宋简体" w:eastAsia="方正仿宋简体" w:cs="方正仿宋简体"/>
          <w:kern w:val="0"/>
          <w:sz w:val="32"/>
          <w:szCs w:val="32"/>
          <w:highlight w:val="none"/>
          <w:lang w:val="zh-CN" w:bidi="ar"/>
        </w:rPr>
        <w:t>.评价小组汇总分析评价过程中发现的问题并对存在问题进行讨论，根据取得的数据分别计算各评价指标所得分数，形成评价结果。</w:t>
      </w:r>
    </w:p>
    <w:p w14:paraId="4CF19857">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4</w:t>
      </w:r>
      <w:r>
        <w:rPr>
          <w:rFonts w:hint="eastAsia" w:ascii="方正仿宋简体" w:hAnsi="方正仿宋简体" w:eastAsia="方正仿宋简体" w:cs="方正仿宋简体"/>
          <w:kern w:val="0"/>
          <w:sz w:val="32"/>
          <w:szCs w:val="32"/>
          <w:highlight w:val="none"/>
          <w:lang w:val="zh-CN" w:bidi="ar"/>
        </w:rPr>
        <w:t>.根据评价结果，撰写评价报告。</w:t>
      </w:r>
    </w:p>
    <w:p w14:paraId="6B6E30DF">
      <w:pPr>
        <w:keepNext w:val="0"/>
        <w:keepLines w:val="0"/>
        <w:pageBreakBefore w:val="0"/>
        <w:widowControl/>
        <w:kinsoku/>
        <w:wordWrap/>
        <w:overflowPunct/>
        <w:topLinePunct w:val="0"/>
        <w:autoSpaceDE/>
        <w:autoSpaceDN/>
        <w:bidi w:val="0"/>
        <w:spacing w:line="600" w:lineRule="exact"/>
        <w:ind w:left="0" w:firstLine="560" w:firstLineChars="0"/>
        <w:jc w:val="left"/>
        <w:rPr>
          <w:rFonts w:hint="eastAsia" w:ascii="方正仿宋简体" w:hAnsi="方正仿宋简体" w:eastAsia="方正仿宋简体" w:cs="方正仿宋简体"/>
          <w:kern w:val="0"/>
          <w:sz w:val="32"/>
          <w:szCs w:val="32"/>
          <w:highlight w:val="none"/>
          <w:lang w:val="zh-CN" w:bidi="ar"/>
        </w:rPr>
      </w:pPr>
      <w:r>
        <w:rPr>
          <w:rFonts w:hint="default" w:ascii="Times New Roman" w:hAnsi="Times New Roman" w:eastAsia="方正仿宋简体" w:cs="Times New Roman"/>
          <w:kern w:val="0"/>
          <w:sz w:val="32"/>
          <w:szCs w:val="32"/>
          <w:highlight w:val="none"/>
          <w:lang w:val="zh-CN" w:bidi="ar"/>
        </w:rPr>
        <w:t>5</w:t>
      </w:r>
      <w:r>
        <w:rPr>
          <w:rFonts w:hint="eastAsia" w:ascii="方正仿宋简体" w:hAnsi="方正仿宋简体" w:eastAsia="方正仿宋简体" w:cs="方正仿宋简体"/>
          <w:kern w:val="0"/>
          <w:sz w:val="32"/>
          <w:szCs w:val="32"/>
          <w:highlight w:val="none"/>
          <w:lang w:val="zh-CN" w:bidi="ar"/>
        </w:rPr>
        <w:t>.与绩效评价相关者沟通，完善并形成绩效评价报告终稿。</w:t>
      </w:r>
    </w:p>
    <w:p w14:paraId="7D55D118">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eastAsia="zh-CN"/>
        </w:rPr>
      </w:pPr>
      <w:bookmarkStart w:id="89" w:name="_Toc19069"/>
      <w:bookmarkStart w:id="90" w:name="_Toc23900"/>
      <w:bookmarkStart w:id="91" w:name="_Toc30977"/>
      <w:bookmarkStart w:id="92" w:name="_Toc16416"/>
      <w:r>
        <w:rPr>
          <w:rFonts w:hint="eastAsia" w:ascii="方正楷体简体" w:hAnsi="方正楷体简体" w:eastAsia="方正楷体简体" w:cs="方正楷体简体"/>
          <w:color w:val="000000"/>
          <w:kern w:val="0"/>
          <w:sz w:val="32"/>
          <w:szCs w:val="32"/>
          <w:highlight w:val="none"/>
          <w:shd w:val="clear" w:color="auto" w:fill="FFFFFF"/>
          <w:lang w:eastAsia="zh-CN"/>
        </w:rPr>
        <w:t>（二）</w:t>
      </w:r>
      <w:bookmarkEnd w:id="84"/>
      <w:bookmarkEnd w:id="85"/>
      <w:r>
        <w:rPr>
          <w:rFonts w:hint="eastAsia" w:ascii="方正楷体简体" w:hAnsi="方正楷体简体" w:eastAsia="方正楷体简体" w:cs="方正楷体简体"/>
          <w:color w:val="000000"/>
          <w:kern w:val="0"/>
          <w:sz w:val="32"/>
          <w:szCs w:val="32"/>
          <w:highlight w:val="none"/>
          <w:shd w:val="clear" w:color="auto" w:fill="FFFFFF"/>
          <w:lang w:eastAsia="zh-CN"/>
        </w:rPr>
        <w:t>评价结论</w:t>
      </w:r>
      <w:bookmarkEnd w:id="89"/>
      <w:bookmarkEnd w:id="90"/>
      <w:bookmarkEnd w:id="91"/>
      <w:bookmarkEnd w:id="92"/>
    </w:p>
    <w:bookmarkEnd w:id="86"/>
    <w:bookmarkEnd w:id="87"/>
    <w:bookmarkEnd w:id="88"/>
    <w:p w14:paraId="6043901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中国共产党泸定县委员会办公室</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根据单位</w:t>
      </w:r>
      <w:r>
        <w:rPr>
          <w:rFonts w:hint="eastAsia" w:ascii="方正仿宋简体" w:hAnsi="方正仿宋简体" w:eastAsia="方正仿宋简体" w:cs="方正仿宋简体"/>
          <w:sz w:val="32"/>
          <w:szCs w:val="32"/>
          <w:highlight w:val="none"/>
        </w:rPr>
        <w:t>职能职责和年度工作任务目标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深入践行县委“</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工作思路的推进，以“重建泸定奋斗年、民生泸定改革年、重塑泸定巩固年”为抓手，着重办好灾后恢复重建、城市品质提升、民生实事改革、经济社会发展、全面从严治党“五件大事”，推动各项事业取得新进展</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4FAE0C4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综上所述，</w:t>
      </w:r>
      <w:r>
        <w:rPr>
          <w:rFonts w:hint="eastAsia" w:ascii="方正仿宋简体" w:hAnsi="方正仿宋简体" w:eastAsia="方正仿宋简体" w:cs="方正仿宋简体"/>
          <w:kern w:val="0"/>
          <w:sz w:val="32"/>
          <w:szCs w:val="32"/>
          <w:highlight w:val="none"/>
          <w:lang w:eastAsia="zh" w:bidi="ar"/>
        </w:rPr>
        <w:t>中国共产党泸定县委员会办公室</w:t>
      </w:r>
      <w:r>
        <w:rPr>
          <w:rFonts w:hint="eastAsia" w:ascii="方正仿宋简体" w:hAnsi="方正仿宋简体" w:eastAsia="方正仿宋简体" w:cs="方正仿宋简体"/>
          <w:kern w:val="0"/>
          <w:sz w:val="32"/>
          <w:szCs w:val="32"/>
          <w:highlight w:val="none"/>
          <w:lang w:bidi="ar"/>
        </w:rPr>
        <w:t>在维持部门运转的基础上，完成了部门职责范围内的各项工作，部门履职情况较好。</w:t>
      </w:r>
    </w:p>
    <w:p w14:paraId="6137102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kern w:val="0"/>
          <w:sz w:val="32"/>
          <w:szCs w:val="32"/>
          <w:highlight w:val="none"/>
          <w:lang w:bidi="ar"/>
        </w:rPr>
        <w:t>按照设定的评价指标体系，通过对</w:t>
      </w:r>
      <w:r>
        <w:rPr>
          <w:rFonts w:hint="eastAsia" w:ascii="方正仿宋简体" w:hAnsi="方正仿宋简体" w:eastAsia="方正仿宋简体" w:cs="方正仿宋简体"/>
          <w:kern w:val="0"/>
          <w:sz w:val="32"/>
          <w:szCs w:val="32"/>
          <w:highlight w:val="none"/>
          <w:lang w:eastAsia="zh" w:bidi="ar"/>
        </w:rPr>
        <w:t>中国共产党泸定县委员会办公室</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年度部门整体支出情况在预算编制、预算执行、完成结果、</w:t>
      </w:r>
      <w:r>
        <w:rPr>
          <w:rFonts w:hint="eastAsia" w:ascii="方正仿宋简体" w:hAnsi="方正仿宋简体" w:eastAsia="方正仿宋简体" w:cs="方正仿宋简体"/>
          <w:kern w:val="0"/>
          <w:sz w:val="32"/>
          <w:szCs w:val="32"/>
          <w:highlight w:val="none"/>
          <w:lang w:eastAsia="zh" w:bidi="ar"/>
        </w:rPr>
        <w:t>专项预算管理、</w:t>
      </w:r>
      <w:r>
        <w:rPr>
          <w:rFonts w:hint="eastAsia" w:ascii="方正仿宋简体" w:hAnsi="方正仿宋简体" w:eastAsia="方正仿宋简体" w:cs="方正仿宋简体"/>
          <w:kern w:val="0"/>
          <w:sz w:val="32"/>
          <w:szCs w:val="32"/>
          <w:highlight w:val="none"/>
          <w:lang w:bidi="ar"/>
        </w:rPr>
        <w:t>信息公开、整改反馈、自评质量方面进行综合评价，</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bidi="ar"/>
        </w:rPr>
        <w:t>年度</w:t>
      </w:r>
      <w:r>
        <w:rPr>
          <w:rFonts w:hint="eastAsia" w:ascii="方正仿宋简体" w:hAnsi="方正仿宋简体" w:eastAsia="方正仿宋简体" w:cs="方正仿宋简体"/>
          <w:kern w:val="0"/>
          <w:sz w:val="32"/>
          <w:szCs w:val="32"/>
          <w:highlight w:val="none"/>
          <w:lang w:eastAsia="zh" w:bidi="ar"/>
        </w:rPr>
        <w:t>中国共产党泸定县委员会办公室</w:t>
      </w:r>
      <w:r>
        <w:rPr>
          <w:rFonts w:hint="eastAsia" w:ascii="方正仿宋简体" w:hAnsi="方正仿宋简体" w:eastAsia="方正仿宋简体" w:cs="方正仿宋简体"/>
          <w:kern w:val="0"/>
          <w:sz w:val="32"/>
          <w:szCs w:val="32"/>
          <w:highlight w:val="none"/>
          <w:lang w:bidi="ar"/>
        </w:rPr>
        <w:t>部门整体支出</w:t>
      </w:r>
      <w:r>
        <w:rPr>
          <w:rFonts w:hint="eastAsia" w:ascii="方正仿宋简体" w:hAnsi="方正仿宋简体" w:eastAsia="方正仿宋简体" w:cs="方正仿宋简体"/>
          <w:sz w:val="32"/>
          <w:szCs w:val="32"/>
          <w:highlight w:val="none"/>
        </w:rPr>
        <w:t>绩效评价指标分</w:t>
      </w:r>
      <w:r>
        <w:rPr>
          <w:rFonts w:hint="default" w:ascii="Times New Roman" w:hAnsi="Times New Roman" w:eastAsia="方正仿宋简体" w:cs="Times New Roman"/>
          <w:sz w:val="32"/>
          <w:szCs w:val="32"/>
          <w:highlight w:val="none"/>
        </w:rPr>
        <w:t>100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分，得分</w:t>
      </w:r>
      <w:r>
        <w:rPr>
          <w:rFonts w:hint="default" w:ascii="Times New Roman" w:hAnsi="Times New Roman" w:eastAsia="方正仿宋简体" w:cs="Times New Roman"/>
          <w:sz w:val="32"/>
          <w:szCs w:val="32"/>
          <w:highlight w:val="none"/>
          <w:lang w:eastAsia="zh"/>
        </w:rPr>
        <w:t>91</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24</w:t>
      </w:r>
      <w:r>
        <w:rPr>
          <w:rFonts w:hint="eastAsia" w:ascii="方正仿宋简体" w:hAnsi="方正仿宋简体" w:eastAsia="方正仿宋简体" w:cs="方正仿宋简体"/>
          <w:sz w:val="32"/>
          <w:szCs w:val="32"/>
          <w:highlight w:val="none"/>
        </w:rPr>
        <w:t>分。详见下表：</w:t>
      </w:r>
    </w:p>
    <w:p w14:paraId="27A44922">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
        </w:rPr>
        <w:t>中国共产党泸定县委员会办公室</w:t>
      </w:r>
      <w:r>
        <w:rPr>
          <w:rFonts w:hint="default" w:ascii="Times New Roman" w:hAnsi="Times New Roman" w:eastAsia="方正仿宋简体" w:cs="Times New Roman"/>
          <w:sz w:val="32"/>
          <w:szCs w:val="32"/>
          <w:highlight w:val="none"/>
          <w:lang w:val="en-US" w:eastAsia="zh-CN"/>
        </w:rPr>
        <w:t>2023</w:t>
      </w:r>
      <w:r>
        <w:rPr>
          <w:rFonts w:hint="eastAsia" w:ascii="方正仿宋简体" w:hAnsi="方正仿宋简体" w:eastAsia="方正仿宋简体" w:cs="方正仿宋简体"/>
          <w:sz w:val="32"/>
          <w:szCs w:val="32"/>
          <w:highlight w:val="none"/>
        </w:rPr>
        <w:t>年</w:t>
      </w:r>
    </w:p>
    <w:p w14:paraId="18743EAE">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部门整体支出绩效评价评分表</w:t>
      </w:r>
    </w:p>
    <w:tbl>
      <w:tblPr>
        <w:tblStyle w:val="17"/>
        <w:tblW w:w="4998" w:type="pct"/>
        <w:jc w:val="center"/>
        <w:tblLayout w:type="autofit"/>
        <w:tblCellMar>
          <w:top w:w="0" w:type="dxa"/>
          <w:left w:w="108" w:type="dxa"/>
          <w:bottom w:w="0" w:type="dxa"/>
          <w:right w:w="108" w:type="dxa"/>
        </w:tblCellMar>
      </w:tblPr>
      <w:tblGrid>
        <w:gridCol w:w="1631"/>
        <w:gridCol w:w="1576"/>
        <w:gridCol w:w="2151"/>
        <w:gridCol w:w="1111"/>
        <w:gridCol w:w="1357"/>
        <w:gridCol w:w="1230"/>
      </w:tblGrid>
      <w:tr w14:paraId="07CC9B38">
        <w:tblPrEx>
          <w:tblCellMar>
            <w:top w:w="0" w:type="dxa"/>
            <w:left w:w="108" w:type="dxa"/>
            <w:bottom w:w="0" w:type="dxa"/>
            <w:right w:w="108" w:type="dxa"/>
          </w:tblCellMar>
        </w:tblPrEx>
        <w:trPr>
          <w:trHeight w:val="680" w:hRule="atLeast"/>
          <w:jc w:val="center"/>
        </w:trPr>
        <w:tc>
          <w:tcPr>
            <w:tcW w:w="9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552C2">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4A323">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二级指标</w:t>
            </w:r>
          </w:p>
        </w:tc>
        <w:tc>
          <w:tcPr>
            <w:tcW w:w="11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33435">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69B77">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分值</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6EABD">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扣分</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82B94">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得分</w:t>
            </w:r>
          </w:p>
        </w:tc>
      </w:tr>
      <w:tr w14:paraId="3F5EF294">
        <w:tblPrEx>
          <w:tblCellMar>
            <w:top w:w="0" w:type="dxa"/>
            <w:left w:w="108" w:type="dxa"/>
            <w:bottom w:w="0" w:type="dxa"/>
            <w:right w:w="108" w:type="dxa"/>
          </w:tblCellMar>
        </w:tblPrEx>
        <w:trPr>
          <w:trHeight w:val="680" w:hRule="atLeast"/>
          <w:jc w:val="center"/>
        </w:trPr>
        <w:tc>
          <w:tcPr>
            <w:tcW w:w="9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6B6DA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部门预算管理（</w:t>
            </w:r>
            <w:r>
              <w:rPr>
                <w:rFonts w:hint="default" w:ascii="Times New Roman" w:hAnsi="Times New Roman" w:eastAsia="方正仿宋简体" w:cs="Times New Roman"/>
                <w:kern w:val="0"/>
                <w:sz w:val="32"/>
                <w:szCs w:val="32"/>
                <w:highlight w:val="none"/>
                <w:lang w:eastAsia="zh"/>
              </w:rPr>
              <w:t>8</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59EC3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预算编制</w:t>
            </w:r>
          </w:p>
          <w:p w14:paraId="7FC6F5C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val="en-US" w:eastAsia="zh-CN"/>
              </w:rPr>
              <w:t>24</w:t>
            </w:r>
            <w:r>
              <w:rPr>
                <w:rFonts w:hint="eastAsia" w:ascii="方正仿宋简体" w:hAnsi="方正仿宋简体" w:eastAsia="方正仿宋简体" w:cs="方正仿宋简体"/>
                <w:kern w:val="0"/>
                <w:sz w:val="32"/>
                <w:szCs w:val="32"/>
                <w:highlight w:val="none"/>
              </w:rPr>
              <w:t>分）</w:t>
            </w:r>
          </w:p>
        </w:tc>
        <w:tc>
          <w:tcPr>
            <w:tcW w:w="1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0D028">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E4CCB">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505C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B6AD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49B02023">
        <w:tblPrEx>
          <w:tblCellMar>
            <w:top w:w="0" w:type="dxa"/>
            <w:left w:w="108" w:type="dxa"/>
            <w:bottom w:w="0" w:type="dxa"/>
            <w:right w:w="108" w:type="dxa"/>
          </w:tblCellMar>
        </w:tblPrEx>
        <w:trPr>
          <w:trHeight w:val="680" w:hRule="atLeast"/>
          <w:jc w:val="center"/>
        </w:trPr>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CF940">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42CBCB">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0DF6D">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004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0BAE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E1DF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6280B1AA">
        <w:tblPrEx>
          <w:tblCellMar>
            <w:top w:w="0" w:type="dxa"/>
            <w:left w:w="108" w:type="dxa"/>
            <w:bottom w:w="0" w:type="dxa"/>
            <w:right w:w="108" w:type="dxa"/>
          </w:tblCellMar>
        </w:tblPrEx>
        <w:trPr>
          <w:trHeight w:val="680" w:hRule="atLeast"/>
          <w:jc w:val="center"/>
        </w:trPr>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DBA48">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00E48">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0CDDA">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5FB0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C761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94</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C1B5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6</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eastAsia="zh"/>
              </w:rPr>
              <w:t>0</w:t>
            </w:r>
            <w:r>
              <w:rPr>
                <w:rFonts w:hint="default" w:ascii="Times New Roman" w:hAnsi="Times New Roman" w:eastAsia="方正仿宋简体" w:cs="Times New Roman"/>
                <w:kern w:val="0"/>
                <w:sz w:val="32"/>
                <w:szCs w:val="32"/>
                <w:highlight w:val="none"/>
              </w:rPr>
              <w:t>6</w:t>
            </w:r>
            <w:r>
              <w:rPr>
                <w:rFonts w:hint="eastAsia" w:ascii="方正仿宋简体" w:hAnsi="方正仿宋简体" w:eastAsia="方正仿宋简体" w:cs="方正仿宋简体"/>
                <w:kern w:val="0"/>
                <w:sz w:val="32"/>
                <w:szCs w:val="32"/>
                <w:highlight w:val="none"/>
              </w:rPr>
              <w:t xml:space="preserve"> </w:t>
            </w:r>
          </w:p>
        </w:tc>
      </w:tr>
      <w:tr w14:paraId="150276C7">
        <w:tblPrEx>
          <w:tblCellMar>
            <w:top w:w="0" w:type="dxa"/>
            <w:left w:w="108" w:type="dxa"/>
            <w:bottom w:w="0" w:type="dxa"/>
            <w:right w:w="108" w:type="dxa"/>
          </w:tblCellMar>
        </w:tblPrEx>
        <w:trPr>
          <w:trHeight w:val="680" w:hRule="atLeast"/>
          <w:jc w:val="center"/>
        </w:trPr>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2CAC48">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A4B15">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预算执行</w:t>
            </w:r>
          </w:p>
          <w:p w14:paraId="5B7F2118">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分）</w:t>
            </w:r>
          </w:p>
        </w:tc>
        <w:tc>
          <w:tcPr>
            <w:tcW w:w="1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585F6">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10BF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6</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4647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2</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32</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ECE0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3</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68</w:t>
            </w:r>
            <w:r>
              <w:rPr>
                <w:rFonts w:hint="eastAsia" w:ascii="方正仿宋简体" w:hAnsi="方正仿宋简体" w:eastAsia="方正仿宋简体" w:cs="方正仿宋简体"/>
                <w:kern w:val="0"/>
                <w:sz w:val="32"/>
                <w:szCs w:val="32"/>
                <w:highlight w:val="none"/>
              </w:rPr>
              <w:t xml:space="preserve"> </w:t>
            </w:r>
          </w:p>
        </w:tc>
      </w:tr>
      <w:tr w14:paraId="6A6959E1">
        <w:tblPrEx>
          <w:tblCellMar>
            <w:top w:w="0" w:type="dxa"/>
            <w:left w:w="108" w:type="dxa"/>
            <w:bottom w:w="0" w:type="dxa"/>
            <w:right w:w="108" w:type="dxa"/>
          </w:tblCellMar>
        </w:tblPrEx>
        <w:trPr>
          <w:trHeight w:val="680" w:hRule="atLeast"/>
          <w:jc w:val="center"/>
        </w:trPr>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3656B">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68B65">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E6D25">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DFAE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F87A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3BE53">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r>
      <w:tr w14:paraId="75584917">
        <w:tblPrEx>
          <w:tblCellMar>
            <w:top w:w="0" w:type="dxa"/>
            <w:left w:w="108" w:type="dxa"/>
            <w:bottom w:w="0" w:type="dxa"/>
            <w:right w:w="108" w:type="dxa"/>
          </w:tblCellMar>
        </w:tblPrEx>
        <w:trPr>
          <w:trHeight w:val="680" w:hRule="atLeast"/>
          <w:jc w:val="center"/>
        </w:trPr>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AA03DF">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37AE0">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D9654">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CDBC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6</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80AC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34C7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6</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2B7D30D9">
        <w:tblPrEx>
          <w:tblCellMar>
            <w:top w:w="0" w:type="dxa"/>
            <w:left w:w="108" w:type="dxa"/>
            <w:bottom w:w="0" w:type="dxa"/>
            <w:right w:w="108" w:type="dxa"/>
          </w:tblCellMar>
        </w:tblPrEx>
        <w:trPr>
          <w:trHeight w:val="680" w:hRule="atLeast"/>
          <w:jc w:val="center"/>
        </w:trPr>
        <w:tc>
          <w:tcPr>
            <w:tcW w:w="9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8E07B">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8A288">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完成结果</w:t>
            </w:r>
          </w:p>
          <w:p w14:paraId="400FF8B3">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lang w:val="en-US" w:eastAsia="zh-CN"/>
              </w:rPr>
              <w:t>16</w:t>
            </w:r>
            <w:r>
              <w:rPr>
                <w:rFonts w:hint="eastAsia" w:ascii="方正仿宋简体" w:hAnsi="方正仿宋简体" w:eastAsia="方正仿宋简体" w:cs="方正仿宋简体"/>
                <w:sz w:val="32"/>
                <w:szCs w:val="32"/>
                <w:highlight w:val="none"/>
                <w:lang w:val="en-US" w:eastAsia="zh-CN"/>
              </w:rPr>
              <w:t>分</w:t>
            </w:r>
            <w:r>
              <w:rPr>
                <w:rFonts w:hint="eastAsia" w:ascii="方正仿宋简体" w:hAnsi="方正仿宋简体" w:eastAsia="方正仿宋简体" w:cs="方正仿宋简体"/>
                <w:sz w:val="32"/>
                <w:szCs w:val="32"/>
                <w:highlight w:val="none"/>
              </w:rPr>
              <w:t>）</w:t>
            </w:r>
          </w:p>
        </w:tc>
        <w:tc>
          <w:tcPr>
            <w:tcW w:w="1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4B4D5">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A25F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0809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1789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52BB4D57">
        <w:tblPrEx>
          <w:tblCellMar>
            <w:top w:w="0" w:type="dxa"/>
            <w:left w:w="108" w:type="dxa"/>
            <w:bottom w:w="0" w:type="dxa"/>
            <w:right w:w="108" w:type="dxa"/>
          </w:tblCellMar>
        </w:tblPrEx>
        <w:trPr>
          <w:trHeight w:val="680" w:hRule="atLeast"/>
          <w:jc w:val="center"/>
        </w:trPr>
        <w:tc>
          <w:tcPr>
            <w:tcW w:w="913"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7CC7BA70">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85114">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B1F72">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20E3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8177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lang w:eastAsia="zh"/>
              </w:rPr>
              <w:t>5</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097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lang w:eastAsia="zh"/>
              </w:rPr>
              <w:t>7</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5</w:t>
            </w: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 xml:space="preserve"> </w:t>
            </w:r>
          </w:p>
        </w:tc>
      </w:tr>
      <w:tr w14:paraId="3A5DEA6A">
        <w:tblPrEx>
          <w:tblCellMar>
            <w:top w:w="0" w:type="dxa"/>
            <w:left w:w="108" w:type="dxa"/>
            <w:bottom w:w="0" w:type="dxa"/>
            <w:right w:w="108" w:type="dxa"/>
          </w:tblCellMar>
        </w:tblPrEx>
        <w:trPr>
          <w:trHeight w:val="680" w:hRule="atLeast"/>
          <w:jc w:val="center"/>
        </w:trPr>
        <w:tc>
          <w:tcPr>
            <w:tcW w:w="2943" w:type="pct"/>
            <w:gridSpan w:val="3"/>
            <w:tcBorders>
              <w:top w:val="single" w:color="000000" w:sz="4" w:space="0"/>
              <w:left w:val="single" w:color="000000" w:sz="4" w:space="0"/>
              <w:bottom w:val="single" w:color="auto" w:sz="4" w:space="0"/>
              <w:right w:val="single" w:color="000000" w:sz="4" w:space="0"/>
            </w:tcBorders>
            <w:shd w:val="clear" w:color="auto" w:fill="auto"/>
            <w:vAlign w:val="center"/>
          </w:tcPr>
          <w:p w14:paraId="7692D446">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lang w:eastAsia="zh"/>
              </w:rPr>
            </w:pPr>
            <w:r>
              <w:rPr>
                <w:rFonts w:hint="eastAsia" w:ascii="方正仿宋简体" w:hAnsi="方正仿宋简体" w:eastAsia="方正仿宋简体" w:cs="方正仿宋简体"/>
                <w:sz w:val="32"/>
                <w:szCs w:val="32"/>
                <w:highlight w:val="none"/>
                <w:lang w:eastAsia="zh"/>
              </w:rPr>
              <w:t>专项预算管理</w:t>
            </w:r>
          </w:p>
          <w:p w14:paraId="05BF53AD">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20</w:t>
            </w:r>
            <w:r>
              <w:rPr>
                <w:rFonts w:hint="eastAsia" w:ascii="方正仿宋简体" w:hAnsi="方正仿宋简体" w:eastAsia="方正仿宋简体" w:cs="方正仿宋简体"/>
                <w:sz w:val="32"/>
                <w:szCs w:val="32"/>
                <w:highlight w:val="none"/>
                <w:lang w:eastAsia="zh"/>
              </w:rPr>
              <w:t>分）</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9BC5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20</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9FFD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4</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8861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16</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00</w:t>
            </w:r>
          </w:p>
        </w:tc>
      </w:tr>
      <w:tr w14:paraId="4AF428A6">
        <w:tblPrEx>
          <w:tblCellMar>
            <w:top w:w="0" w:type="dxa"/>
            <w:left w:w="108" w:type="dxa"/>
            <w:bottom w:w="0" w:type="dxa"/>
            <w:right w:w="108" w:type="dxa"/>
          </w:tblCellMar>
        </w:tblPrEx>
        <w:trPr>
          <w:trHeight w:val="680" w:hRule="atLeast"/>
          <w:jc w:val="center"/>
        </w:trPr>
        <w:tc>
          <w:tcPr>
            <w:tcW w:w="91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F6C33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绩效结果应用（</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8AC059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信息公开</w:t>
            </w:r>
          </w:p>
          <w:p w14:paraId="7A5F98A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分）</w:t>
            </w:r>
          </w:p>
        </w:tc>
        <w:tc>
          <w:tcPr>
            <w:tcW w:w="1198" w:type="pct"/>
            <w:tcBorders>
              <w:top w:val="single" w:color="auto" w:sz="4" w:space="0"/>
              <w:left w:val="single" w:color="auto" w:sz="4" w:space="0"/>
              <w:bottom w:val="single" w:color="auto" w:sz="4" w:space="0"/>
              <w:right w:val="single" w:color="auto" w:sz="4" w:space="0"/>
            </w:tcBorders>
            <w:shd w:val="clear" w:color="auto" w:fill="auto"/>
            <w:vAlign w:val="center"/>
          </w:tcPr>
          <w:p w14:paraId="406FD8AB">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1DD7F32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839F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4C34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2</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7C203307">
        <w:tblPrEx>
          <w:tblCellMar>
            <w:top w:w="0" w:type="dxa"/>
            <w:left w:w="108" w:type="dxa"/>
            <w:bottom w:w="0" w:type="dxa"/>
            <w:right w:w="108" w:type="dxa"/>
          </w:tblCellMar>
        </w:tblPrEx>
        <w:trPr>
          <w:trHeight w:val="680" w:hRule="atLeast"/>
          <w:jc w:val="center"/>
        </w:trPr>
        <w:tc>
          <w:tcPr>
            <w:tcW w:w="9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C853FB">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74A7856">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整改反馈</w:t>
            </w:r>
          </w:p>
          <w:p w14:paraId="4EF73EE7">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8</w:t>
            </w:r>
            <w:r>
              <w:rPr>
                <w:rFonts w:hint="eastAsia" w:ascii="方正仿宋简体" w:hAnsi="方正仿宋简体" w:eastAsia="方正仿宋简体" w:cs="方正仿宋简体"/>
                <w:sz w:val="32"/>
                <w:szCs w:val="32"/>
                <w:highlight w:val="none"/>
              </w:rPr>
              <w:t>分）</w:t>
            </w:r>
          </w:p>
        </w:tc>
        <w:tc>
          <w:tcPr>
            <w:tcW w:w="1198" w:type="pct"/>
            <w:tcBorders>
              <w:top w:val="single" w:color="auto" w:sz="4" w:space="0"/>
              <w:left w:val="single" w:color="auto" w:sz="4" w:space="0"/>
              <w:bottom w:val="single" w:color="auto" w:sz="4" w:space="0"/>
              <w:right w:val="single" w:color="auto" w:sz="4" w:space="0"/>
            </w:tcBorders>
            <w:shd w:val="clear" w:color="auto" w:fill="auto"/>
            <w:vAlign w:val="center"/>
          </w:tcPr>
          <w:p w14:paraId="7E34FE94">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2176BBA">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C911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6127E">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51CF2E89">
        <w:tblPrEx>
          <w:tblCellMar>
            <w:top w:w="0" w:type="dxa"/>
            <w:left w:w="108" w:type="dxa"/>
            <w:bottom w:w="0" w:type="dxa"/>
            <w:right w:w="108" w:type="dxa"/>
          </w:tblCellMar>
        </w:tblPrEx>
        <w:trPr>
          <w:trHeight w:val="680" w:hRule="atLeast"/>
          <w:jc w:val="center"/>
        </w:trPr>
        <w:tc>
          <w:tcPr>
            <w:tcW w:w="91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5289C7">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4B7C8969">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p>
        </w:tc>
        <w:tc>
          <w:tcPr>
            <w:tcW w:w="1198" w:type="pct"/>
            <w:tcBorders>
              <w:top w:val="single" w:color="auto" w:sz="4" w:space="0"/>
              <w:left w:val="single" w:color="auto" w:sz="4" w:space="0"/>
              <w:bottom w:val="single" w:color="auto" w:sz="4" w:space="0"/>
              <w:right w:val="single" w:color="auto" w:sz="4" w:space="0"/>
            </w:tcBorders>
            <w:shd w:val="clear" w:color="auto" w:fill="auto"/>
            <w:vAlign w:val="center"/>
          </w:tcPr>
          <w:p w14:paraId="03B04D33">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1D8E5F04">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FECD9">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E3D37">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4</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30759E96">
        <w:tblPrEx>
          <w:tblCellMar>
            <w:top w:w="0" w:type="dxa"/>
            <w:left w:w="108" w:type="dxa"/>
            <w:bottom w:w="0" w:type="dxa"/>
            <w:right w:w="108" w:type="dxa"/>
          </w:tblCellMar>
        </w:tblPrEx>
        <w:trPr>
          <w:trHeight w:val="680" w:hRule="atLeast"/>
          <w:jc w:val="center"/>
        </w:trPr>
        <w:tc>
          <w:tcPr>
            <w:tcW w:w="913" w:type="pct"/>
            <w:tcBorders>
              <w:top w:val="single" w:color="auto" w:sz="4" w:space="0"/>
              <w:left w:val="single" w:color="000000" w:sz="4" w:space="0"/>
              <w:bottom w:val="single" w:color="000000" w:sz="4" w:space="0"/>
              <w:right w:val="single" w:color="000000" w:sz="4" w:space="0"/>
            </w:tcBorders>
            <w:shd w:val="clear" w:color="auto" w:fill="auto"/>
            <w:vAlign w:val="center"/>
          </w:tcPr>
          <w:p w14:paraId="14392985">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自评质量</w:t>
            </w:r>
          </w:p>
          <w:p w14:paraId="6FFA8E6F">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A371E39">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自评质量</w:t>
            </w:r>
          </w:p>
          <w:p w14:paraId="2F8F721C">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分）</w:t>
            </w:r>
          </w:p>
        </w:tc>
        <w:tc>
          <w:tcPr>
            <w:tcW w:w="1198" w:type="pct"/>
            <w:tcBorders>
              <w:top w:val="single" w:color="auto" w:sz="4" w:space="0"/>
              <w:left w:val="nil"/>
              <w:bottom w:val="single" w:color="000000" w:sz="4" w:space="0"/>
              <w:right w:val="single" w:color="000000" w:sz="4" w:space="0"/>
            </w:tcBorders>
            <w:shd w:val="clear" w:color="auto" w:fill="auto"/>
            <w:vAlign w:val="center"/>
          </w:tcPr>
          <w:p w14:paraId="2D196A53">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B6F0">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6E54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70208">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r>
              <w:rPr>
                <w:rFonts w:hint="eastAsia" w:ascii="方正仿宋简体" w:hAnsi="方正仿宋简体" w:eastAsia="方正仿宋简体" w:cs="方正仿宋简体"/>
                <w:kern w:val="0"/>
                <w:sz w:val="32"/>
                <w:szCs w:val="32"/>
                <w:highlight w:val="none"/>
              </w:rPr>
              <w:t xml:space="preserve"> </w:t>
            </w:r>
          </w:p>
        </w:tc>
      </w:tr>
      <w:tr w14:paraId="2B963019">
        <w:tblPrEx>
          <w:tblCellMar>
            <w:top w:w="0" w:type="dxa"/>
            <w:left w:w="108" w:type="dxa"/>
            <w:bottom w:w="0" w:type="dxa"/>
            <w:right w:w="108" w:type="dxa"/>
          </w:tblCellMar>
        </w:tblPrEx>
        <w:trPr>
          <w:trHeight w:val="680" w:hRule="atLeast"/>
          <w:jc w:val="center"/>
        </w:trPr>
        <w:tc>
          <w:tcPr>
            <w:tcW w:w="2943"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1A462">
            <w:pPr>
              <w:pStyle w:val="35"/>
              <w:keepNext w:val="0"/>
              <w:keepLines w:val="0"/>
              <w:pageBreakBefore w:val="0"/>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BFD71">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rPr>
            </w:pPr>
            <w:r>
              <w:rPr>
                <w:rFonts w:hint="default" w:ascii="Times New Roman" w:hAnsi="Times New Roman" w:eastAsia="方正仿宋简体" w:cs="Times New Roman"/>
                <w:kern w:val="0"/>
                <w:sz w:val="32"/>
                <w:szCs w:val="32"/>
                <w:highlight w:val="none"/>
              </w:rPr>
              <w:t>100</w:t>
            </w:r>
            <w:r>
              <w:rPr>
                <w:rFonts w:hint="eastAsia" w:ascii="方正仿宋简体" w:hAnsi="方正仿宋简体" w:eastAsia="方正仿宋简体" w:cs="方正仿宋简体"/>
                <w:kern w:val="0"/>
                <w:sz w:val="32"/>
                <w:szCs w:val="32"/>
                <w:highlight w:val="none"/>
              </w:rPr>
              <w:t>.</w:t>
            </w:r>
            <w:r>
              <w:rPr>
                <w:rFonts w:hint="default" w:ascii="Times New Roman" w:hAnsi="Times New Roman" w:eastAsia="方正仿宋简体" w:cs="Times New Roman"/>
                <w:kern w:val="0"/>
                <w:sz w:val="32"/>
                <w:szCs w:val="32"/>
                <w:highlight w:val="none"/>
              </w:rPr>
              <w:t>00</w:t>
            </w:r>
          </w:p>
        </w:tc>
        <w:tc>
          <w:tcPr>
            <w:tcW w:w="7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E0F2">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8</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76</w:t>
            </w:r>
          </w:p>
        </w:tc>
        <w:tc>
          <w:tcPr>
            <w:tcW w:w="6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0785D">
            <w:pPr>
              <w:keepNext w:val="0"/>
              <w:keepLines w:val="0"/>
              <w:pageBreakBefore w:val="0"/>
              <w:widowControl/>
              <w:kinsoku/>
              <w:wordWrap/>
              <w:overflowPunct/>
              <w:topLinePunct w:val="0"/>
              <w:autoSpaceDE/>
              <w:autoSpaceDN/>
              <w:bidi w:val="0"/>
              <w:spacing w:line="600" w:lineRule="exact"/>
              <w:ind w:left="0" w:firstLine="0" w:firstLineChars="0"/>
              <w:jc w:val="center"/>
              <w:textAlignment w:val="center"/>
              <w:rPr>
                <w:rFonts w:hint="eastAsia" w:ascii="方正仿宋简体" w:hAnsi="方正仿宋简体" w:eastAsia="方正仿宋简体" w:cs="方正仿宋简体"/>
                <w:kern w:val="0"/>
                <w:sz w:val="32"/>
                <w:szCs w:val="32"/>
                <w:highlight w:val="none"/>
                <w:lang w:eastAsia="zh"/>
              </w:rPr>
            </w:pPr>
            <w:r>
              <w:rPr>
                <w:rFonts w:hint="default" w:ascii="Times New Roman" w:hAnsi="Times New Roman" w:eastAsia="方正仿宋简体" w:cs="Times New Roman"/>
                <w:kern w:val="0"/>
                <w:sz w:val="32"/>
                <w:szCs w:val="32"/>
                <w:highlight w:val="none"/>
                <w:lang w:eastAsia="zh"/>
              </w:rPr>
              <w:t>91</w:t>
            </w:r>
            <w:r>
              <w:rPr>
                <w:rFonts w:hint="eastAsia" w:ascii="方正仿宋简体" w:hAnsi="方正仿宋简体" w:eastAsia="方正仿宋简体" w:cs="方正仿宋简体"/>
                <w:kern w:val="0"/>
                <w:sz w:val="32"/>
                <w:szCs w:val="32"/>
                <w:highlight w:val="none"/>
                <w:lang w:eastAsia="zh"/>
              </w:rPr>
              <w:t>.</w:t>
            </w:r>
            <w:r>
              <w:rPr>
                <w:rFonts w:hint="default" w:ascii="Times New Roman" w:hAnsi="Times New Roman" w:eastAsia="方正仿宋简体" w:cs="Times New Roman"/>
                <w:kern w:val="0"/>
                <w:sz w:val="32"/>
                <w:szCs w:val="32"/>
                <w:highlight w:val="none"/>
                <w:lang w:eastAsia="zh"/>
              </w:rPr>
              <w:t>24</w:t>
            </w:r>
          </w:p>
        </w:tc>
      </w:tr>
    </w:tbl>
    <w:p w14:paraId="215877F5">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eastAsia="zh-CN"/>
        </w:rPr>
      </w:pPr>
      <w:bookmarkStart w:id="93" w:name="_Toc16394"/>
      <w:bookmarkStart w:id="94" w:name="_Toc109483841"/>
      <w:bookmarkStart w:id="95" w:name="_Toc1687911260"/>
      <w:bookmarkStart w:id="96" w:name="_Toc26985"/>
      <w:bookmarkStart w:id="97" w:name="_Toc26813"/>
      <w:bookmarkStart w:id="98" w:name="_Toc24818"/>
      <w:bookmarkStart w:id="99" w:name="_Toc28266"/>
      <w:bookmarkStart w:id="100" w:name="_Toc31945"/>
      <w:r>
        <w:rPr>
          <w:rFonts w:hint="eastAsia" w:ascii="方正楷体简体" w:hAnsi="方正楷体简体" w:eastAsia="方正楷体简体" w:cs="方正楷体简体"/>
          <w:color w:val="000000"/>
          <w:kern w:val="0"/>
          <w:sz w:val="32"/>
          <w:szCs w:val="32"/>
          <w:highlight w:val="none"/>
          <w:shd w:val="clear" w:color="auto" w:fill="FFFFFF"/>
          <w:lang w:eastAsia="zh-CN"/>
        </w:rPr>
        <w:t>（三）</w:t>
      </w:r>
      <w:bookmarkEnd w:id="93"/>
      <w:bookmarkEnd w:id="94"/>
      <w:bookmarkEnd w:id="95"/>
      <w:bookmarkEnd w:id="96"/>
      <w:r>
        <w:rPr>
          <w:rFonts w:hint="eastAsia" w:ascii="方正楷体简体" w:hAnsi="方正楷体简体" w:eastAsia="方正楷体简体" w:cs="方正楷体简体"/>
          <w:color w:val="000000"/>
          <w:kern w:val="0"/>
          <w:sz w:val="32"/>
          <w:szCs w:val="32"/>
          <w:highlight w:val="none"/>
          <w:shd w:val="clear" w:color="auto" w:fill="FFFFFF"/>
          <w:lang w:eastAsia="zh-CN"/>
        </w:rPr>
        <w:t>绩效结果运用</w:t>
      </w:r>
      <w:bookmarkEnd w:id="97"/>
    </w:p>
    <w:p w14:paraId="1AA06007">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中国共产党泸定县委员会办公室</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根据单位</w:t>
      </w:r>
      <w:r>
        <w:rPr>
          <w:rFonts w:hint="eastAsia" w:ascii="方正仿宋简体" w:hAnsi="方正仿宋简体" w:eastAsia="方正仿宋简体" w:cs="方正仿宋简体"/>
          <w:sz w:val="32"/>
          <w:szCs w:val="32"/>
          <w:highlight w:val="none"/>
        </w:rPr>
        <w:t>职能职责和年度工作任务目标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深入践行县委“</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12345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”工作思路的推进，以“重建泸定奋斗年、民生泸定改革年、重塑泸定巩固年”为抓手，着重办好灾后恢复重建、城市品质提升、民生实事改革、经济社会发展、全面从严治党“五件大事”，</w:t>
      </w:r>
      <w:r>
        <w:rPr>
          <w:rFonts w:hint="eastAsia" w:ascii="方正仿宋简体" w:hAnsi="方正仿宋简体" w:eastAsia="方正仿宋简体" w:cs="方正仿宋简体"/>
          <w:sz w:val="32"/>
          <w:szCs w:val="32"/>
          <w:highlight w:val="none"/>
          <w:lang w:bidi="ar"/>
        </w:rPr>
        <w:t>在维持部门运转的基础上，完成了部门职责范围内的各项工作</w:t>
      </w:r>
      <w:r>
        <w:rPr>
          <w:rFonts w:hint="eastAsia" w:ascii="方正仿宋简体" w:hAnsi="方正仿宋简体" w:eastAsia="方正仿宋简体" w:cs="方正仿宋简体"/>
          <w:sz w:val="32"/>
          <w:szCs w:val="32"/>
          <w:highlight w:val="none"/>
        </w:rPr>
        <w:t>。通过评价组对</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中国共产党泸定县委员会办公室</w:t>
      </w:r>
      <w:r>
        <w:rPr>
          <w:rFonts w:hint="eastAsia" w:ascii="方正仿宋简体" w:hAnsi="方正仿宋简体" w:eastAsia="方正仿宋简体" w:cs="方正仿宋简体"/>
          <w:sz w:val="32"/>
          <w:szCs w:val="32"/>
          <w:highlight w:val="none"/>
        </w:rPr>
        <w:t>进行事后评价，最终</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中国共产党泸定县委员会办公室</w:t>
      </w:r>
      <w:r>
        <w:rPr>
          <w:rFonts w:hint="eastAsia" w:ascii="方正仿宋简体" w:hAnsi="方正仿宋简体" w:eastAsia="方正仿宋简体" w:cs="方正仿宋简体"/>
          <w:sz w:val="32"/>
          <w:szCs w:val="32"/>
          <w:highlight w:val="none"/>
        </w:rPr>
        <w:t>绩效等级为“优”。秉承科学公正、统筹兼顾、激励约束和公开透明财政绩效原则。</w:t>
      </w:r>
      <w:r>
        <w:rPr>
          <w:rFonts w:hint="eastAsia" w:ascii="方正仿宋简体" w:hAnsi="方正仿宋简体" w:eastAsia="方正仿宋简体" w:cs="方正仿宋简体"/>
          <w:sz w:val="32"/>
          <w:szCs w:val="32"/>
          <w:highlight w:val="none"/>
          <w:lang w:eastAsia="zh-CN"/>
        </w:rPr>
        <w:t>我单位</w:t>
      </w:r>
      <w:r>
        <w:rPr>
          <w:rFonts w:hint="eastAsia" w:ascii="方正仿宋简体" w:hAnsi="方正仿宋简体" w:eastAsia="方正仿宋简体" w:cs="方正仿宋简体"/>
          <w:sz w:val="32"/>
          <w:szCs w:val="32"/>
          <w:highlight w:val="none"/>
        </w:rPr>
        <w:t>建议泸定县财政局针对部门预算绩效管理，进一步要求</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中国共产党泸定县委员会办公室</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提高</w:t>
      </w:r>
      <w:r>
        <w:rPr>
          <w:rFonts w:hint="eastAsia" w:ascii="方正仿宋简体" w:hAnsi="方正仿宋简体" w:eastAsia="方正仿宋简体" w:cs="方正仿宋简体"/>
          <w:sz w:val="32"/>
          <w:szCs w:val="32"/>
          <w:highlight w:val="none"/>
        </w:rPr>
        <w:t>年初预算编制准确性。</w:t>
      </w:r>
    </w:p>
    <w:p w14:paraId="3BBFFE48">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eastAsia="zh-CN"/>
        </w:rPr>
      </w:pPr>
      <w:bookmarkStart w:id="101" w:name="_Toc28208"/>
      <w:r>
        <w:rPr>
          <w:rFonts w:hint="eastAsia" w:ascii="方正楷体简体" w:hAnsi="方正楷体简体" w:eastAsia="方正楷体简体" w:cs="方正楷体简体"/>
          <w:color w:val="000000"/>
          <w:kern w:val="0"/>
          <w:sz w:val="32"/>
          <w:szCs w:val="32"/>
          <w:highlight w:val="none"/>
          <w:shd w:val="clear" w:color="auto" w:fill="FFFFFF"/>
          <w:lang w:eastAsia="zh-CN"/>
        </w:rPr>
        <w:t>（四）评价分析</w:t>
      </w:r>
      <w:bookmarkEnd w:id="98"/>
      <w:bookmarkEnd w:id="99"/>
      <w:bookmarkEnd w:id="100"/>
      <w:bookmarkEnd w:id="101"/>
    </w:p>
    <w:p w14:paraId="4F8AE9C5">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.预算编制</w:t>
      </w:r>
    </w:p>
    <w:p w14:paraId="1F370DB3">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二级指标“预算编制”下设三个三级指标分别为：</w:t>
      </w:r>
      <w:r>
        <w:rPr>
          <w:rFonts w:hint="eastAsia" w:ascii="方正仿宋简体" w:hAnsi="方正仿宋简体" w:eastAsia="方正仿宋简体" w:cs="方正仿宋简体"/>
          <w:sz w:val="32"/>
          <w:szCs w:val="32"/>
          <w:highlight w:val="none"/>
        </w:rPr>
        <w:t>目标制定</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目标实现</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编制准确</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p>
    <w:p w14:paraId="1E154B6B">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目标制定</w:t>
      </w:r>
    </w:p>
    <w:p w14:paraId="31FB14F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根据中国共产党泸定县委员会办公室</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年法律顾问费、县委会议费、网络通讯费、抗震救灾部分队伍慰问物资经费、纸质档案数字化专项经费</w:t>
      </w:r>
      <w:r>
        <w:rPr>
          <w:rFonts w:hint="default" w:ascii="Times New Roman" w:hAnsi="Times New Roman" w:eastAsia="方正仿宋简体" w:cs="Times New Roman"/>
          <w:kern w:val="0"/>
          <w:sz w:val="32"/>
          <w:szCs w:val="32"/>
          <w:highlight w:val="none"/>
          <w:lang w:bidi="ar"/>
        </w:rPr>
        <w:t>12</w:t>
      </w:r>
      <w:r>
        <w:rPr>
          <w:rFonts w:hint="eastAsia" w:ascii="方正仿宋简体" w:hAnsi="方正仿宋简体" w:eastAsia="方正仿宋简体" w:cs="方正仿宋简体"/>
          <w:kern w:val="0"/>
          <w:sz w:val="32"/>
          <w:szCs w:val="32"/>
          <w:highlight w:val="none"/>
          <w:lang w:bidi="ar"/>
        </w:rPr>
        <w:t>个部门预算项目绩效目标申报表显示，设定了包括数量指标、质量指标、时效指标、成本指标、社会效益指标、服务对象满意度指标等指标。指标设定完整、细化量化。</w:t>
      </w:r>
    </w:p>
    <w:p w14:paraId="08606AC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75ED115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）目标实现</w:t>
      </w:r>
    </w:p>
    <w:p w14:paraId="22BFD1B0">
      <w:pPr>
        <w:keepNext w:val="0"/>
        <w:keepLines w:val="0"/>
        <w:pageBreakBefore w:val="0"/>
        <w:kinsoku/>
        <w:wordWrap/>
        <w:overflowPunct/>
        <w:topLinePunct w:val="0"/>
        <w:autoSpaceDE/>
        <w:autoSpaceDN/>
        <w:bidi w:val="0"/>
        <w:spacing w:line="600" w:lineRule="exact"/>
        <w:ind w:left="0" w:firstLine="567"/>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w w:val="95"/>
          <w:kern w:val="0"/>
          <w:sz w:val="32"/>
          <w:szCs w:val="32"/>
          <w:highlight w:val="none"/>
          <w:lang w:bidi="ar"/>
        </w:rPr>
        <w:t>评价组</w:t>
      </w:r>
      <w:r>
        <w:rPr>
          <w:rFonts w:hint="eastAsia" w:ascii="方正仿宋简体" w:hAnsi="方正仿宋简体" w:eastAsia="方正仿宋简体" w:cs="方正仿宋简体"/>
          <w:w w:val="95"/>
          <w:kern w:val="0"/>
          <w:sz w:val="32"/>
          <w:szCs w:val="32"/>
          <w:highlight w:val="none"/>
          <w:lang w:eastAsia="zh" w:bidi="ar"/>
        </w:rPr>
        <w:t>检查</w:t>
      </w:r>
      <w:r>
        <w:rPr>
          <w:rFonts w:hint="eastAsia" w:ascii="方正仿宋简体" w:hAnsi="方正仿宋简体" w:eastAsia="方正仿宋简体" w:cs="方正仿宋简体"/>
          <w:w w:val="95"/>
          <w:kern w:val="0"/>
          <w:sz w:val="32"/>
          <w:szCs w:val="32"/>
          <w:highlight w:val="none"/>
          <w:lang w:bidi="ar"/>
        </w:rPr>
        <w:t>了</w:t>
      </w:r>
      <w:r>
        <w:rPr>
          <w:rFonts w:hint="default" w:ascii="Times New Roman" w:hAnsi="Times New Roman" w:eastAsia="方正仿宋简体" w:cs="Times New Roman"/>
          <w:w w:val="95"/>
          <w:kern w:val="0"/>
          <w:sz w:val="32"/>
          <w:szCs w:val="32"/>
          <w:highlight w:val="none"/>
          <w:lang w:bidi="ar"/>
        </w:rPr>
        <w:t>2023</w:t>
      </w:r>
      <w:r>
        <w:rPr>
          <w:rFonts w:hint="eastAsia" w:ascii="方正仿宋简体" w:hAnsi="方正仿宋简体" w:eastAsia="方正仿宋简体" w:cs="方正仿宋简体"/>
          <w:w w:val="95"/>
          <w:kern w:val="0"/>
          <w:sz w:val="32"/>
          <w:szCs w:val="32"/>
          <w:highlight w:val="none"/>
          <w:lang w:bidi="ar"/>
        </w:rPr>
        <w:t>年</w:t>
      </w:r>
      <w:r>
        <w:rPr>
          <w:rFonts w:hint="eastAsia" w:ascii="方正仿宋简体" w:hAnsi="方正仿宋简体" w:eastAsia="方正仿宋简体" w:cs="方正仿宋简体"/>
          <w:w w:val="95"/>
          <w:kern w:val="0"/>
          <w:sz w:val="32"/>
          <w:szCs w:val="32"/>
          <w:highlight w:val="none"/>
          <w:lang w:eastAsia="zh" w:bidi="ar"/>
        </w:rPr>
        <w:t>实施的</w:t>
      </w:r>
      <w:r>
        <w:rPr>
          <w:rFonts w:hint="eastAsia" w:ascii="方正仿宋简体" w:hAnsi="方正仿宋简体" w:eastAsia="方正仿宋简体" w:cs="方正仿宋简体"/>
          <w:w w:val="95"/>
          <w:kern w:val="0"/>
          <w:sz w:val="32"/>
          <w:szCs w:val="32"/>
          <w:highlight w:val="none"/>
          <w:lang w:bidi="ar"/>
        </w:rPr>
        <w:t>电子政务内网设备换装经费、党政高清视频会议系统普通密码设备经费、党政高清会议室（第二会议室）设备采购</w:t>
      </w:r>
      <w:r>
        <w:rPr>
          <w:rFonts w:hint="eastAsia" w:ascii="方正仿宋简体" w:hAnsi="方正仿宋简体" w:eastAsia="方正仿宋简体" w:cs="方正仿宋简体"/>
          <w:w w:val="95"/>
          <w:kern w:val="0"/>
          <w:sz w:val="32"/>
          <w:szCs w:val="32"/>
          <w:highlight w:val="none"/>
          <w:lang w:val="en-US" w:eastAsia="zh-CN" w:bidi="ar"/>
        </w:rPr>
        <w:t>等</w:t>
      </w:r>
      <w:r>
        <w:rPr>
          <w:rFonts w:hint="eastAsia" w:ascii="方正仿宋简体" w:hAnsi="方正仿宋简体" w:eastAsia="方正仿宋简体" w:cs="方正仿宋简体"/>
          <w:w w:val="95"/>
          <w:kern w:val="0"/>
          <w:sz w:val="32"/>
          <w:szCs w:val="32"/>
          <w:highlight w:val="none"/>
          <w:lang w:bidi="ar"/>
        </w:rPr>
        <w:t>一共</w:t>
      </w:r>
      <w:r>
        <w:rPr>
          <w:rFonts w:hint="default" w:ascii="Times New Roman" w:hAnsi="Times New Roman" w:eastAsia="方正仿宋简体" w:cs="Times New Roman"/>
          <w:w w:val="95"/>
          <w:kern w:val="0"/>
          <w:sz w:val="32"/>
          <w:szCs w:val="32"/>
          <w:highlight w:val="none"/>
          <w:lang w:bidi="ar"/>
        </w:rPr>
        <w:t>14</w:t>
      </w:r>
      <w:r>
        <w:rPr>
          <w:rFonts w:hint="eastAsia" w:ascii="方正仿宋简体" w:hAnsi="方正仿宋简体" w:eastAsia="方正仿宋简体" w:cs="方正仿宋简体"/>
          <w:w w:val="95"/>
          <w:kern w:val="0"/>
          <w:sz w:val="32"/>
          <w:szCs w:val="32"/>
          <w:highlight w:val="none"/>
          <w:lang w:bidi="ar"/>
        </w:rPr>
        <w:t>个数量指标，</w:t>
      </w:r>
      <w:r>
        <w:rPr>
          <w:rFonts w:hint="eastAsia" w:ascii="方正仿宋简体" w:hAnsi="方正仿宋简体" w:eastAsia="方正仿宋简体" w:cs="方正仿宋简体"/>
          <w:w w:val="95"/>
          <w:kern w:val="0"/>
          <w:sz w:val="32"/>
          <w:szCs w:val="32"/>
          <w:highlight w:val="none"/>
          <w:lang w:val="en-US" w:eastAsia="zh-CN" w:bidi="ar"/>
        </w:rPr>
        <w:t>均</w:t>
      </w:r>
      <w:r>
        <w:rPr>
          <w:rFonts w:hint="eastAsia" w:ascii="方正仿宋简体" w:hAnsi="方正仿宋简体" w:eastAsia="方正仿宋简体" w:cs="方正仿宋简体"/>
          <w:w w:val="95"/>
          <w:kern w:val="0"/>
          <w:sz w:val="32"/>
          <w:szCs w:val="32"/>
          <w:highlight w:val="none"/>
          <w:lang w:bidi="ar"/>
        </w:rPr>
        <w:t>已全部完成。</w:t>
      </w:r>
    </w:p>
    <w:p w14:paraId="33DC09B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1B6D242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3</w:t>
      </w:r>
      <w:r>
        <w:rPr>
          <w:rFonts w:hint="eastAsia" w:ascii="方正仿宋简体" w:hAnsi="方正仿宋简体" w:eastAsia="方正仿宋简体" w:cs="方正仿宋简体"/>
          <w:sz w:val="32"/>
          <w:szCs w:val="32"/>
          <w:highlight w:val="none"/>
        </w:rPr>
        <w:t>）编制准确</w:t>
      </w:r>
    </w:p>
    <w:p w14:paraId="45106C8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kern w:val="0"/>
          <w:sz w:val="32"/>
          <w:szCs w:val="32"/>
          <w:highlight w:val="none"/>
          <w:lang w:bidi="ar"/>
        </w:rPr>
        <w:t>中国共产党泸定县委员会办公室</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年部门全年预算调剂金额为</w:t>
      </w:r>
      <w:r>
        <w:rPr>
          <w:rFonts w:hint="default" w:ascii="Times New Roman" w:hAnsi="Times New Roman" w:eastAsia="方正仿宋简体" w:cs="Times New Roman"/>
          <w:kern w:val="0"/>
          <w:sz w:val="32"/>
          <w:szCs w:val="32"/>
          <w:highlight w:val="none"/>
          <w:lang w:bidi="ar"/>
        </w:rPr>
        <w:t>25</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52</w:t>
      </w:r>
      <w:r>
        <w:rPr>
          <w:rFonts w:hint="eastAsia" w:ascii="方正仿宋简体" w:hAnsi="方正仿宋简体" w:eastAsia="方正仿宋简体" w:cs="方正仿宋简体"/>
          <w:kern w:val="0"/>
          <w:sz w:val="32"/>
          <w:szCs w:val="32"/>
          <w:highlight w:val="none"/>
          <w:lang w:bidi="ar"/>
        </w:rPr>
        <w:t>万元，年初部门预算数为</w:t>
      </w:r>
      <w:r>
        <w:rPr>
          <w:rFonts w:hint="default" w:ascii="Times New Roman" w:hAnsi="Times New Roman" w:eastAsia="方正仿宋简体" w:cs="Times New Roman"/>
          <w:kern w:val="0"/>
          <w:sz w:val="32"/>
          <w:szCs w:val="32"/>
          <w:highlight w:val="none"/>
          <w:lang w:bidi="ar"/>
        </w:rPr>
        <w:t>1</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056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34</w:t>
      </w:r>
      <w:r>
        <w:rPr>
          <w:rFonts w:hint="eastAsia" w:ascii="方正仿宋简体" w:hAnsi="方正仿宋简体" w:eastAsia="方正仿宋简体" w:cs="方正仿宋简体"/>
          <w:kern w:val="0"/>
          <w:sz w:val="32"/>
          <w:szCs w:val="32"/>
          <w:highlight w:val="none"/>
          <w:lang w:bidi="ar"/>
        </w:rPr>
        <w:t>万元，预算调剂率为</w:t>
      </w:r>
      <w:r>
        <w:rPr>
          <w:rFonts w:hint="default" w:ascii="Times New Roman" w:hAnsi="Times New Roman" w:eastAsia="方正仿宋简体" w:cs="Times New Roman"/>
          <w:kern w:val="0"/>
          <w:sz w:val="32"/>
          <w:szCs w:val="32"/>
          <w:highlight w:val="none"/>
          <w:lang w:bidi="ar"/>
        </w:rPr>
        <w:t>2</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42%</w:t>
      </w:r>
      <w:r>
        <w:rPr>
          <w:rFonts w:hint="eastAsia" w:ascii="方正仿宋简体" w:hAnsi="方正仿宋简体" w:eastAsia="方正仿宋简体" w:cs="方正仿宋简体"/>
          <w:kern w:val="0"/>
          <w:sz w:val="32"/>
          <w:szCs w:val="32"/>
          <w:highlight w:val="none"/>
          <w:lang w:bidi="ar"/>
        </w:rPr>
        <w:t>。指标得分=</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bidi="ar"/>
        </w:rPr>
        <w:t>1</w:t>
      </w:r>
      <w:r>
        <w:rPr>
          <w:rFonts w:hint="eastAsia" w:ascii="方正仿宋简体" w:hAnsi="方正仿宋简体" w:eastAsia="方正仿宋简体" w:cs="方正仿宋简体"/>
          <w:kern w:val="0"/>
          <w:sz w:val="32"/>
          <w:szCs w:val="32"/>
          <w:highlight w:val="none"/>
          <w:lang w:bidi="ar"/>
        </w:rPr>
        <w:t>-</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2</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42%</w:t>
      </w:r>
      <w:r>
        <w:rPr>
          <w:rFonts w:hint="eastAsia" w:ascii="方正仿宋简体" w:hAnsi="方正仿宋简体" w:eastAsia="方正仿宋简体" w:cs="方正仿宋简体"/>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06</w:t>
      </w:r>
      <w:r>
        <w:rPr>
          <w:rFonts w:hint="eastAsia" w:ascii="方正仿宋简体" w:hAnsi="方正仿宋简体" w:eastAsia="方正仿宋简体" w:cs="方正仿宋简体"/>
          <w:kern w:val="0"/>
          <w:sz w:val="32"/>
          <w:szCs w:val="32"/>
          <w:highlight w:val="none"/>
          <w:lang w:bidi="ar"/>
        </w:rPr>
        <w:t>分</w:t>
      </w:r>
      <w:r>
        <w:rPr>
          <w:rFonts w:hint="eastAsia" w:ascii="方正仿宋简体" w:hAnsi="方正仿宋简体" w:eastAsia="方正仿宋简体" w:cs="方正仿宋简体"/>
          <w:kern w:val="0"/>
          <w:sz w:val="32"/>
          <w:szCs w:val="32"/>
          <w:highlight w:val="none"/>
          <w:lang w:eastAsia="zh" w:bidi="ar"/>
        </w:rPr>
        <w:t>。</w:t>
      </w:r>
    </w:p>
    <w:p w14:paraId="2220E6D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eastAsia="zh" w:bidi="ar"/>
        </w:rPr>
        <w:t>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94</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06</w:t>
      </w:r>
      <w:r>
        <w:rPr>
          <w:rFonts w:hint="eastAsia" w:ascii="方正仿宋简体" w:hAnsi="方正仿宋简体" w:eastAsia="方正仿宋简体" w:cs="方正仿宋简体"/>
          <w:kern w:val="0"/>
          <w:sz w:val="32"/>
          <w:szCs w:val="32"/>
          <w:highlight w:val="none"/>
          <w:lang w:bidi="ar"/>
        </w:rPr>
        <w:t>分。</w:t>
      </w:r>
    </w:p>
    <w:p w14:paraId="63439CF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二级指标“预算</w:t>
      </w:r>
      <w:r>
        <w:rPr>
          <w:rFonts w:hint="eastAsia" w:ascii="方正仿宋简体" w:hAnsi="方正仿宋简体" w:eastAsia="方正仿宋简体" w:cs="方正仿宋简体"/>
          <w:kern w:val="0"/>
          <w:sz w:val="32"/>
          <w:szCs w:val="32"/>
          <w:highlight w:val="none"/>
          <w:lang w:bidi="ar"/>
        </w:rPr>
        <w:t>编制</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eastAsia="zh"/>
        </w:rPr>
        <w:t>24</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1</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94</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33EA978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p>
    <w:p w14:paraId="49C445C0">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二级指标“预算执行”下设三个三级指标分别为：支出控制、动态调整和执行进度。</w:t>
      </w:r>
    </w:p>
    <w:p w14:paraId="09B4AE9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）支出控制</w:t>
      </w:r>
    </w:p>
    <w:p w14:paraId="7399C60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中国共产党泸定县委员会办公室</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年度部</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门公用经费和非定额公用支出中办公费、印刷费等一共</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个科目，其中</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个科目年初预算数与决算数偏差率超过</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个科目年初预算数与决算数偏差率低于</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个科目年初预算数与决算数偏差率位于</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之间，指标得分=（</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50%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68</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分。</w:t>
      </w:r>
    </w:p>
    <w:p w14:paraId="6D4E836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eastAsia="zh" w:bidi="ar"/>
        </w:rPr>
        <w:t>2</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32</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3</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68</w:t>
      </w:r>
      <w:r>
        <w:rPr>
          <w:rFonts w:hint="eastAsia" w:ascii="方正仿宋简体" w:hAnsi="方正仿宋简体" w:eastAsia="方正仿宋简体" w:cs="方正仿宋简体"/>
          <w:kern w:val="0"/>
          <w:sz w:val="32"/>
          <w:szCs w:val="32"/>
          <w:highlight w:val="none"/>
          <w:lang w:bidi="ar"/>
        </w:rPr>
        <w:t>分。</w:t>
      </w:r>
    </w:p>
    <w:p w14:paraId="7813313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）动态调整</w:t>
      </w:r>
    </w:p>
    <w:p w14:paraId="135443D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年部门绩效监控调整取消额为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，根据可执行指标执行情况表显示当年年度预算总额为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081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万元，年末未使用完指标结余注销金额（县级预算）为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万元。指标得分=</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081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22BAFA0E">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7A179CF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）执行进度</w:t>
      </w:r>
    </w:p>
    <w:p w14:paraId="76EE6EB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eastAsia="zh" w:bidi="ar"/>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根据</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月可执行指标执行情况表显示支出金额为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498</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万元，根据</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月可执行指标执行情况表显示支出金额为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815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万元，</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年</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月可执行指标执行情况表显示支出金额为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977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万元，年度预算总额为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081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88</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万元，</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月实际执行进度为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46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03%</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（大于</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40%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月实际执行金额为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75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42%</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（大于</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11</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月实际执行进度为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90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39%</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（大于</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82</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val="en-US" w:eastAsia="zh-CN"/>
          <w14:textFill>
            <w14:solidFill>
              <w14:schemeClr w14:val="tx1"/>
            </w14:solidFill>
          </w14:textFill>
        </w:rPr>
        <w:t>5</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eastAsia" w:ascii="方正仿宋简体" w:hAnsi="方正仿宋简体" w:eastAsia="方正仿宋简体" w:cs="方正仿宋简体"/>
          <w:kern w:val="0"/>
          <w:sz w:val="32"/>
          <w:szCs w:val="32"/>
          <w:highlight w:val="none"/>
          <w:lang w:eastAsia="zh" w:bidi="ar"/>
        </w:rPr>
        <w:t>。</w:t>
      </w:r>
    </w:p>
    <w:p w14:paraId="3419AC4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6</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57F4201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sz w:val="32"/>
          <w:szCs w:val="32"/>
          <w:highlight w:val="none"/>
        </w:rPr>
        <w:t>二级指标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“预算执行”</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lang w:eastAsia="zh"/>
        </w:rPr>
        <w:t>2</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2</w:t>
      </w:r>
      <w:r>
        <w:rPr>
          <w:rFonts w:hint="eastAsia" w:ascii="方正仿宋简体" w:hAnsi="方正仿宋简体" w:eastAsia="方正仿宋简体" w:cs="方正仿宋简体"/>
          <w:sz w:val="32"/>
          <w:szCs w:val="32"/>
          <w:highlight w:val="none"/>
          <w:lang w:eastAsia="zh"/>
        </w:rPr>
        <w:t>.</w:t>
      </w:r>
      <w:r>
        <w:rPr>
          <w:rFonts w:hint="default" w:ascii="Times New Roman" w:hAnsi="Times New Roman" w:eastAsia="方正仿宋简体" w:cs="Times New Roman"/>
          <w:sz w:val="32"/>
          <w:szCs w:val="32"/>
          <w:highlight w:val="none"/>
          <w:lang w:eastAsia="zh"/>
        </w:rPr>
        <w:t>32</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17</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68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4B805146">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完成结果</w:t>
      </w:r>
    </w:p>
    <w:p w14:paraId="14BABD61">
      <w:pPr>
        <w:pStyle w:val="2"/>
        <w:keepNext w:val="0"/>
        <w:keepLines w:val="0"/>
        <w:pageBreakBefore w:val="0"/>
        <w:kinsoku/>
        <w:wordWrap/>
        <w:overflowPunct/>
        <w:topLinePunct w:val="0"/>
        <w:autoSpaceDE/>
        <w:autoSpaceDN/>
        <w:bidi w:val="0"/>
        <w:spacing w:after="0"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二级指标“完成结果”下设两个三级指标分别为：预算完成和违规记录。</w:t>
      </w:r>
    </w:p>
    <w:p w14:paraId="5AFFE8A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）预算完成</w:t>
      </w:r>
    </w:p>
    <w:p w14:paraId="268C8A1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中国共产党泸定县委员会办公室</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年存在</w:t>
      </w:r>
      <w:r>
        <w:rPr>
          <w:rFonts w:hint="default" w:ascii="Times New Roman" w:hAnsi="Times New Roman" w:eastAsia="方正仿宋简体" w:cs="Times New Roman"/>
          <w:kern w:val="0"/>
          <w:sz w:val="32"/>
          <w:szCs w:val="32"/>
          <w:highlight w:val="none"/>
          <w:lang w:bidi="ar"/>
        </w:rPr>
        <w:t>12</w:t>
      </w:r>
      <w:r>
        <w:rPr>
          <w:rFonts w:hint="eastAsia" w:ascii="方正仿宋简体" w:hAnsi="方正仿宋简体" w:eastAsia="方正仿宋简体" w:cs="方正仿宋简体"/>
          <w:kern w:val="0"/>
          <w:sz w:val="32"/>
          <w:szCs w:val="32"/>
          <w:highlight w:val="none"/>
          <w:lang w:bidi="ar"/>
        </w:rPr>
        <w:t>个部门预算项目，年度预算总额为</w:t>
      </w:r>
      <w:r>
        <w:rPr>
          <w:rFonts w:hint="default" w:ascii="Times New Roman" w:hAnsi="Times New Roman" w:eastAsia="方正仿宋简体" w:cs="Times New Roman"/>
          <w:kern w:val="0"/>
          <w:sz w:val="32"/>
          <w:szCs w:val="32"/>
          <w:highlight w:val="none"/>
          <w:lang w:bidi="ar"/>
        </w:rPr>
        <w:t>214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08</w:t>
      </w:r>
      <w:r>
        <w:rPr>
          <w:rFonts w:hint="eastAsia" w:ascii="方正仿宋简体" w:hAnsi="方正仿宋简体" w:eastAsia="方正仿宋简体" w:cs="方正仿宋简体"/>
          <w:kern w:val="0"/>
          <w:sz w:val="32"/>
          <w:szCs w:val="32"/>
          <w:highlight w:val="none"/>
          <w:lang w:bidi="ar"/>
        </w:rPr>
        <w:t>万元，已全部支出，年度预算执行进度为</w:t>
      </w:r>
      <w:r>
        <w:rPr>
          <w:rFonts w:hint="default" w:ascii="Times New Roman" w:hAnsi="Times New Roman" w:eastAsia="方正仿宋简体" w:cs="Times New Roman"/>
          <w:kern w:val="0"/>
          <w:sz w:val="32"/>
          <w:szCs w:val="32"/>
          <w:highlight w:val="none"/>
          <w:lang w:bidi="ar"/>
        </w:rPr>
        <w:t>100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w:t>
      </w:r>
    </w:p>
    <w:p w14:paraId="789B264A">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w:t>
      </w:r>
    </w:p>
    <w:p w14:paraId="7318E814">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）违规记录</w:t>
      </w:r>
    </w:p>
    <w:p w14:paraId="1D8C499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根据</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月</w:t>
      </w:r>
      <w:r>
        <w:rPr>
          <w:rFonts w:hint="default" w:ascii="Times New Roman" w:hAnsi="Times New Roman" w:eastAsia="方正仿宋简体" w:cs="Times New Roman"/>
          <w:kern w:val="0"/>
          <w:sz w:val="32"/>
          <w:szCs w:val="32"/>
          <w:highlight w:val="none"/>
          <w:lang w:bidi="ar"/>
        </w:rPr>
        <w:t>11</w:t>
      </w:r>
      <w:r>
        <w:rPr>
          <w:rFonts w:hint="eastAsia" w:ascii="方正仿宋简体" w:hAnsi="方正仿宋简体" w:eastAsia="方正仿宋简体" w:cs="方正仿宋简体"/>
          <w:kern w:val="0"/>
          <w:sz w:val="32"/>
          <w:szCs w:val="32"/>
          <w:highlight w:val="none"/>
          <w:lang w:bidi="ar"/>
        </w:rPr>
        <w:t>日—</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月</w:t>
      </w:r>
      <w:r>
        <w:rPr>
          <w:rFonts w:hint="default" w:ascii="Times New Roman" w:hAnsi="Times New Roman" w:eastAsia="方正仿宋简体" w:cs="Times New Roman"/>
          <w:kern w:val="0"/>
          <w:sz w:val="32"/>
          <w:szCs w:val="32"/>
          <w:highlight w:val="none"/>
          <w:lang w:bidi="ar"/>
        </w:rPr>
        <w:t>31</w:t>
      </w:r>
      <w:r>
        <w:rPr>
          <w:rFonts w:hint="eastAsia" w:ascii="方正仿宋简体" w:hAnsi="方正仿宋简体" w:eastAsia="方正仿宋简体" w:cs="方正仿宋简体"/>
          <w:kern w:val="0"/>
          <w:sz w:val="32"/>
          <w:szCs w:val="32"/>
          <w:highlight w:val="none"/>
          <w:lang w:bidi="ar"/>
        </w:rPr>
        <w:t>日县委第三巡查组对中国共产党泸定县委员会办公室的巡查结果显示：存在预算指标未按规定用途使用、预算执行不严格的问题。</w:t>
      </w:r>
    </w:p>
    <w:p w14:paraId="29EF14B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eastAsia="zh" w:bidi="ar"/>
        </w:rPr>
        <w:t>8</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eastAsia="zh" w:bidi="ar"/>
        </w:rPr>
        <w:t>5</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eastAsia="zh" w:bidi="ar"/>
        </w:rPr>
        <w:t>7</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50</w:t>
      </w:r>
      <w:r>
        <w:rPr>
          <w:rFonts w:hint="eastAsia" w:ascii="方正仿宋简体" w:hAnsi="方正仿宋简体" w:eastAsia="方正仿宋简体" w:cs="方正仿宋简体"/>
          <w:kern w:val="0"/>
          <w:sz w:val="32"/>
          <w:szCs w:val="32"/>
          <w:highlight w:val="none"/>
          <w:lang w:bidi="ar"/>
        </w:rPr>
        <w:t>分。</w:t>
      </w:r>
    </w:p>
    <w:p w14:paraId="53FAB6E7">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kern w:val="0"/>
          <w:sz w:val="32"/>
          <w:szCs w:val="32"/>
          <w:highlight w:val="none"/>
          <w:lang w:bidi="ar"/>
        </w:rPr>
        <w:t>二</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级指标“完成结果”指标分共计</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50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15</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50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54479083">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专项预算管理</w:t>
      </w:r>
    </w:p>
    <w:p w14:paraId="3A1667D9">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年中国共产党泸定县委员会办公室存在</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个专项预算项目，该项目采购工作已完成并已完成电脑的发放工作，完成绩效自评表的编制工作</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，未编制绩效自评报告</w:t>
      </w:r>
      <w:r>
        <w:rPr>
          <w:rFonts w:hint="eastAsia" w:ascii="方正仿宋简体" w:hAnsi="方正仿宋简体" w:eastAsia="方正仿宋简体" w:cs="方正仿宋简体"/>
          <w:color w:val="000000" w:themeColor="text1"/>
          <w:sz w:val="32"/>
          <w:szCs w:val="32"/>
          <w:highlight w:val="none"/>
          <w:lang w:eastAsia="zh-CN"/>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根据质量审核扣除</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分。</w:t>
      </w:r>
    </w:p>
    <w:p w14:paraId="089ACA33">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一</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级指标“</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专项预算管理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”指标分共计</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20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4</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分，此处得分为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16</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354BBC40">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信息公开</w:t>
      </w:r>
    </w:p>
    <w:p w14:paraId="3581C628">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二级指标“信息公开”下设一个三级指标为自评公开。</w:t>
      </w:r>
    </w:p>
    <w:p w14:paraId="4E9BBD6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中国共产党泸定县委员会办公室已自行组织编制</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年部门整体支出绩效自评报告，</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年决算尚未批复，待决算批复后公开时随同决算报告一并公开。</w:t>
      </w:r>
    </w:p>
    <w:p w14:paraId="47BD0BB4">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二级指标“信息公开”</w:t>
      </w:r>
      <w:r>
        <w:rPr>
          <w:rFonts w:hint="eastAsia" w:ascii="方正仿宋简体" w:hAnsi="方正仿宋简体" w:eastAsia="方正仿宋简体" w:cs="方正仿宋简体"/>
          <w:sz w:val="32"/>
          <w:szCs w:val="32"/>
          <w:highlight w:val="none"/>
        </w:rPr>
        <w:t>指标分共计</w:t>
      </w:r>
      <w:r>
        <w:rPr>
          <w:rFonts w:hint="default" w:ascii="Times New Roman" w:hAnsi="Times New Roman" w:eastAsia="方正仿宋简体" w:cs="Times New Roman"/>
          <w:sz w:val="32"/>
          <w:szCs w:val="32"/>
          <w:highlight w:val="none"/>
        </w:rPr>
        <w:t>2</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此项得分为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2</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3A76CD96">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整改反馈</w:t>
      </w:r>
    </w:p>
    <w:p w14:paraId="7AB9BB1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二级指标“整改反馈”下设两个三级指标为：结果整改和应用反馈。</w:t>
      </w:r>
    </w:p>
    <w:p w14:paraId="1BC4B9D9">
      <w:pPr>
        <w:keepNext w:val="0"/>
        <w:keepLines w:val="0"/>
        <w:pageBreakBefore w:val="0"/>
        <w:numPr>
          <w:ilvl w:val="0"/>
          <w:numId w:val="0"/>
        </w:numPr>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val="en-US" w:eastAsia="zh-CN" w:bidi="ar"/>
        </w:rPr>
      </w:pP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1</w:t>
      </w:r>
      <w:r>
        <w:rPr>
          <w:rFonts w:hint="eastAsia" w:ascii="方正仿宋简体" w:hAnsi="方正仿宋简体" w:eastAsia="方正仿宋简体" w:cs="方正仿宋简体"/>
          <w:kern w:val="0"/>
          <w:sz w:val="32"/>
          <w:szCs w:val="32"/>
          <w:highlight w:val="none"/>
          <w:lang w:val="en-US" w:eastAsia="zh-CN" w:bidi="ar"/>
        </w:rPr>
        <w:t>）结果整改。</w:t>
      </w:r>
    </w:p>
    <w:p w14:paraId="424C86FA">
      <w:pPr>
        <w:keepNext w:val="0"/>
        <w:keepLines w:val="0"/>
        <w:pageBreakBefore w:val="0"/>
        <w:numPr>
          <w:ilvl w:val="0"/>
          <w:numId w:val="0"/>
        </w:numPr>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val="en-US" w:eastAsia="zh-CN" w:bidi="ar"/>
        </w:rPr>
        <w:t>针对</w:t>
      </w:r>
      <w:r>
        <w:rPr>
          <w:rFonts w:hint="default" w:ascii="Times New Roman" w:hAnsi="Times New Roman" w:eastAsia="方正仿宋简体" w:cs="Times New Roman"/>
          <w:kern w:val="0"/>
          <w:sz w:val="32"/>
          <w:szCs w:val="32"/>
          <w:highlight w:val="none"/>
          <w:lang w:bidi="ar"/>
        </w:rPr>
        <w:t>2023</w:t>
      </w:r>
      <w:r>
        <w:rPr>
          <w:rFonts w:hint="eastAsia" w:ascii="方正仿宋简体" w:hAnsi="方正仿宋简体" w:eastAsia="方正仿宋简体" w:cs="方正仿宋简体"/>
          <w:kern w:val="0"/>
          <w:sz w:val="32"/>
          <w:szCs w:val="32"/>
          <w:highlight w:val="none"/>
          <w:lang w:bidi="ar"/>
        </w:rPr>
        <w:t>年</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月</w:t>
      </w:r>
      <w:r>
        <w:rPr>
          <w:rFonts w:hint="default" w:ascii="Times New Roman" w:hAnsi="Times New Roman" w:eastAsia="方正仿宋简体" w:cs="Times New Roman"/>
          <w:kern w:val="0"/>
          <w:sz w:val="32"/>
          <w:szCs w:val="32"/>
          <w:highlight w:val="none"/>
          <w:lang w:bidi="ar"/>
        </w:rPr>
        <w:t>11</w:t>
      </w:r>
      <w:r>
        <w:rPr>
          <w:rFonts w:hint="eastAsia" w:ascii="方正仿宋简体" w:hAnsi="方正仿宋简体" w:eastAsia="方正仿宋简体" w:cs="方正仿宋简体"/>
          <w:kern w:val="0"/>
          <w:sz w:val="32"/>
          <w:szCs w:val="32"/>
          <w:highlight w:val="none"/>
          <w:lang w:bidi="ar"/>
        </w:rPr>
        <w:t>日—</w:t>
      </w:r>
      <w:r>
        <w:rPr>
          <w:rFonts w:hint="default" w:ascii="Times New Roman" w:hAnsi="Times New Roman" w:eastAsia="方正仿宋简体" w:cs="Times New Roman"/>
          <w:kern w:val="0"/>
          <w:sz w:val="32"/>
          <w:szCs w:val="32"/>
          <w:highlight w:val="none"/>
          <w:lang w:bidi="ar"/>
        </w:rPr>
        <w:t>10</w:t>
      </w:r>
      <w:r>
        <w:rPr>
          <w:rFonts w:hint="eastAsia" w:ascii="方正仿宋简体" w:hAnsi="方正仿宋简体" w:eastAsia="方正仿宋简体" w:cs="方正仿宋简体"/>
          <w:kern w:val="0"/>
          <w:sz w:val="32"/>
          <w:szCs w:val="32"/>
          <w:highlight w:val="none"/>
          <w:lang w:bidi="ar"/>
        </w:rPr>
        <w:t>月</w:t>
      </w:r>
      <w:r>
        <w:rPr>
          <w:rFonts w:hint="default" w:ascii="Times New Roman" w:hAnsi="Times New Roman" w:eastAsia="方正仿宋简体" w:cs="Times New Roman"/>
          <w:kern w:val="0"/>
          <w:sz w:val="32"/>
          <w:szCs w:val="32"/>
          <w:highlight w:val="none"/>
          <w:lang w:bidi="ar"/>
        </w:rPr>
        <w:t>31</w:t>
      </w:r>
      <w:r>
        <w:rPr>
          <w:rFonts w:hint="eastAsia" w:ascii="方正仿宋简体" w:hAnsi="方正仿宋简体" w:eastAsia="方正仿宋简体" w:cs="方正仿宋简体"/>
          <w:kern w:val="0"/>
          <w:sz w:val="32"/>
          <w:szCs w:val="32"/>
          <w:highlight w:val="none"/>
          <w:lang w:bidi="ar"/>
        </w:rPr>
        <w:t>日县委第三巡查组对中国共产党泸定县委员会办公室的巡查</w:t>
      </w:r>
      <w:r>
        <w:rPr>
          <w:rFonts w:hint="eastAsia" w:ascii="方正仿宋简体" w:hAnsi="方正仿宋简体" w:eastAsia="方正仿宋简体" w:cs="方正仿宋简体"/>
          <w:kern w:val="0"/>
          <w:sz w:val="32"/>
          <w:szCs w:val="32"/>
          <w:highlight w:val="none"/>
          <w:lang w:val="en-US" w:eastAsia="zh-CN" w:bidi="ar"/>
        </w:rPr>
        <w:t>反馈</w:t>
      </w:r>
      <w:r>
        <w:rPr>
          <w:rFonts w:hint="eastAsia" w:ascii="方正仿宋简体" w:hAnsi="方正仿宋简体" w:eastAsia="方正仿宋简体" w:cs="方正仿宋简体"/>
          <w:kern w:val="0"/>
          <w:sz w:val="32"/>
          <w:szCs w:val="32"/>
          <w:highlight w:val="none"/>
          <w:lang w:bidi="ar"/>
        </w:rPr>
        <w:t>预算指标未按规定用途使用、预算执行不严格的问题</w:t>
      </w:r>
      <w:r>
        <w:rPr>
          <w:rFonts w:hint="eastAsia" w:ascii="方正仿宋简体" w:hAnsi="方正仿宋简体" w:eastAsia="方正仿宋简体" w:cs="方正仿宋简体"/>
          <w:kern w:val="0"/>
          <w:sz w:val="32"/>
          <w:szCs w:val="32"/>
          <w:highlight w:val="none"/>
          <w:lang w:eastAsia="zh-CN" w:bidi="ar"/>
        </w:rPr>
        <w:t>，</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w:t>
      </w:r>
      <w:r>
        <w:rPr>
          <w:rFonts w:hint="eastAsia" w:ascii="方正仿宋简体" w:hAnsi="方正仿宋简体" w:eastAsia="方正仿宋简体" w:cs="方正仿宋简体"/>
          <w:kern w:val="0"/>
          <w:sz w:val="32"/>
          <w:szCs w:val="32"/>
          <w:highlight w:val="none"/>
          <w:lang w:val="en-US" w:eastAsia="zh-CN" w:bidi="ar"/>
        </w:rPr>
        <w:t>目前已完成整改</w:t>
      </w:r>
      <w:r>
        <w:rPr>
          <w:rFonts w:hint="eastAsia" w:ascii="方正仿宋简体" w:hAnsi="方正仿宋简体" w:eastAsia="方正仿宋简体" w:cs="方正仿宋简体"/>
          <w:kern w:val="0"/>
          <w:sz w:val="32"/>
          <w:szCs w:val="32"/>
          <w:highlight w:val="none"/>
          <w:lang w:bidi="ar"/>
        </w:rPr>
        <w:t>。</w:t>
      </w:r>
    </w:p>
    <w:p w14:paraId="51CA8D3F">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0</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bidi="ar"/>
        </w:rPr>
        <w:t>分。</w:t>
      </w:r>
    </w:p>
    <w:p w14:paraId="412D057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）应用反馈。</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年度，</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中国共产党泸定县委员会办公室</w:t>
      </w:r>
      <w:r>
        <w:rPr>
          <w:rFonts w:hint="eastAsia" w:ascii="方正仿宋简体" w:hAnsi="方正仿宋简体" w:eastAsia="方正仿宋简体" w:cs="方正仿宋简体"/>
          <w:color w:val="auto"/>
          <w:sz w:val="32"/>
          <w:szCs w:val="32"/>
          <w:highlight w:val="none"/>
          <w:lang w:val="en-US" w:eastAsia="zh-CN"/>
        </w:rPr>
        <w:t>已按照财政部门的要求，反馈了绩效</w:t>
      </w:r>
      <w:r>
        <w:rPr>
          <w:rFonts w:hint="eastAsia" w:ascii="方正仿宋简体" w:hAnsi="方正仿宋简体" w:eastAsia="方正仿宋简体" w:cs="方正仿宋简体"/>
          <w:color w:val="auto"/>
          <w:sz w:val="32"/>
          <w:szCs w:val="32"/>
          <w:highlight w:val="none"/>
        </w:rPr>
        <w:t>结果应用方面的相关资料。</w:t>
      </w:r>
    </w:p>
    <w:p w14:paraId="7B06C24C">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bidi="ar"/>
        </w:rPr>
        <w:t>本项分值为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bidi="ar"/>
        </w:rPr>
        <w:t>00</w:t>
      </w:r>
      <w:r>
        <w:rPr>
          <w:rFonts w:hint="eastAsia" w:ascii="方正仿宋简体" w:hAnsi="方正仿宋简体" w:eastAsia="方正仿宋简体" w:cs="方正仿宋简体"/>
          <w:kern w:val="0"/>
          <w:sz w:val="32"/>
          <w:szCs w:val="32"/>
          <w:highlight w:val="none"/>
          <w:lang w:bidi="ar"/>
        </w:rPr>
        <w:t>分，扣</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w:t>
      </w:r>
      <w:r>
        <w:rPr>
          <w:rFonts w:hint="default" w:ascii="Times New Roman" w:hAnsi="Times New Roman" w:eastAsia="方正仿宋简体" w:cs="Times New Roman"/>
          <w:kern w:val="0"/>
          <w:sz w:val="32"/>
          <w:szCs w:val="32"/>
          <w:highlight w:val="none"/>
          <w:lang w:val="en-US" w:eastAsia="zh-CN" w:bidi="ar"/>
        </w:rPr>
        <w:t>0</w:t>
      </w:r>
      <w:r>
        <w:rPr>
          <w:rFonts w:hint="default" w:ascii="Times New Roman" w:hAnsi="Times New Roman" w:eastAsia="方正仿宋简体" w:cs="Times New Roman"/>
          <w:kern w:val="0"/>
          <w:sz w:val="32"/>
          <w:szCs w:val="32"/>
          <w:highlight w:val="none"/>
          <w:lang w:bidi="ar"/>
        </w:rPr>
        <w:t>0</w:t>
      </w:r>
      <w:r>
        <w:rPr>
          <w:rFonts w:hint="eastAsia" w:ascii="方正仿宋简体" w:hAnsi="方正仿宋简体" w:eastAsia="方正仿宋简体" w:cs="方正仿宋简体"/>
          <w:kern w:val="0"/>
          <w:sz w:val="32"/>
          <w:szCs w:val="32"/>
          <w:highlight w:val="none"/>
          <w:lang w:bidi="ar"/>
        </w:rPr>
        <w:t>分，得分为</w:t>
      </w:r>
      <w:r>
        <w:rPr>
          <w:rFonts w:hint="default" w:ascii="Times New Roman" w:hAnsi="Times New Roman" w:eastAsia="方正仿宋简体" w:cs="Times New Roman"/>
          <w:kern w:val="0"/>
          <w:sz w:val="32"/>
          <w:szCs w:val="32"/>
          <w:highlight w:val="none"/>
          <w:lang w:val="en-US" w:eastAsia="zh-CN" w:bidi="ar"/>
        </w:rPr>
        <w:t>4</w:t>
      </w:r>
      <w:r>
        <w:rPr>
          <w:rFonts w:hint="eastAsia" w:ascii="方正仿宋简体" w:hAnsi="方正仿宋简体" w:eastAsia="方正仿宋简体" w:cs="方正仿宋简体"/>
          <w:kern w:val="0"/>
          <w:sz w:val="32"/>
          <w:szCs w:val="32"/>
          <w:highlight w:val="none"/>
          <w:lang w:val="en-US" w:eastAsia="zh-CN" w:bidi="ar"/>
        </w:rPr>
        <w:t>.</w:t>
      </w:r>
      <w:r>
        <w:rPr>
          <w:rFonts w:hint="default" w:ascii="Times New Roman" w:hAnsi="Times New Roman" w:eastAsia="方正仿宋简体" w:cs="Times New Roman"/>
          <w:kern w:val="0"/>
          <w:sz w:val="32"/>
          <w:szCs w:val="32"/>
          <w:highlight w:val="none"/>
          <w:lang w:val="en-US" w:eastAsia="zh-CN" w:bidi="ar"/>
        </w:rPr>
        <w:t>00</w:t>
      </w:r>
      <w:r>
        <w:rPr>
          <w:rFonts w:hint="eastAsia" w:ascii="方正仿宋简体" w:hAnsi="方正仿宋简体" w:eastAsia="方正仿宋简体" w:cs="方正仿宋简体"/>
          <w:kern w:val="0"/>
          <w:sz w:val="32"/>
          <w:szCs w:val="32"/>
          <w:highlight w:val="none"/>
          <w:lang w:bidi="ar"/>
        </w:rPr>
        <w:t>分。</w:t>
      </w:r>
    </w:p>
    <w:p w14:paraId="0CE30242">
      <w:pPr>
        <w:keepNext w:val="0"/>
        <w:keepLines w:val="0"/>
        <w:pageBreakBefore w:val="0"/>
        <w:kinsoku/>
        <w:wordWrap/>
        <w:overflowPunct/>
        <w:topLinePunct w:val="0"/>
        <w:autoSpaceDE/>
        <w:autoSpaceDN/>
        <w:bidi w:val="0"/>
        <w:spacing w:line="600" w:lineRule="exact"/>
        <w:ind w:left="0" w:firstLine="560"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二级指标“整改反馈”指标分共计</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分，扣除</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分，此项得分为</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8</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7BDA64DB">
      <w:pPr>
        <w:keepNext w:val="0"/>
        <w:keepLines w:val="0"/>
        <w:pageBreakBefore w:val="0"/>
        <w:numPr>
          <w:ilvl w:val="0"/>
          <w:numId w:val="3"/>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自评质量</w:t>
      </w:r>
    </w:p>
    <w:p w14:paraId="045C1F52">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二级指标“自评质量”下设一个三级指标为：自评准确。</w:t>
      </w:r>
    </w:p>
    <w:p w14:paraId="5D2A46B5">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kern w:val="0"/>
          <w:sz w:val="32"/>
          <w:szCs w:val="32"/>
          <w:highlight w:val="none"/>
          <w:lang w:bidi="ar"/>
        </w:rPr>
      </w:pPr>
      <w:r>
        <w:rPr>
          <w:rFonts w:hint="eastAsia" w:ascii="方正仿宋简体" w:hAnsi="方正仿宋简体" w:eastAsia="方正仿宋简体" w:cs="方正仿宋简体"/>
          <w:kern w:val="0"/>
          <w:sz w:val="32"/>
          <w:szCs w:val="32"/>
          <w:highlight w:val="none"/>
          <w:lang w:eastAsia="zh" w:bidi="ar"/>
        </w:rPr>
        <w:t>中国共产党泸定县委员会办公室</w:t>
      </w:r>
      <w:r>
        <w:rPr>
          <w:rFonts w:hint="default" w:ascii="Times New Roman" w:hAnsi="Times New Roman" w:eastAsia="方正仿宋简体" w:cs="Times New Roman"/>
          <w:kern w:val="0"/>
          <w:sz w:val="32"/>
          <w:szCs w:val="32"/>
          <w:highlight w:val="none"/>
          <w:lang w:eastAsia="zh" w:bidi="ar"/>
        </w:rPr>
        <w:t>2023</w:t>
      </w:r>
      <w:r>
        <w:rPr>
          <w:rFonts w:hint="eastAsia" w:ascii="方正仿宋简体" w:hAnsi="方正仿宋简体" w:eastAsia="方正仿宋简体" w:cs="方正仿宋简体"/>
          <w:kern w:val="0"/>
          <w:sz w:val="32"/>
          <w:szCs w:val="32"/>
          <w:highlight w:val="none"/>
          <w:lang w:eastAsia="zh" w:bidi="ar"/>
        </w:rPr>
        <w:t>年部门整体支出自评得分为</w:t>
      </w:r>
      <w:r>
        <w:rPr>
          <w:rFonts w:hint="default" w:ascii="Times New Roman" w:hAnsi="Times New Roman" w:eastAsia="方正仿宋简体" w:cs="Times New Roman"/>
          <w:kern w:val="0"/>
          <w:sz w:val="32"/>
          <w:szCs w:val="32"/>
          <w:highlight w:val="none"/>
          <w:lang w:eastAsia="zh" w:bidi="ar"/>
        </w:rPr>
        <w:t>85</w:t>
      </w:r>
      <w:r>
        <w:rPr>
          <w:rFonts w:hint="eastAsia" w:ascii="方正仿宋简体" w:hAnsi="方正仿宋简体" w:eastAsia="方正仿宋简体" w:cs="方正仿宋简体"/>
          <w:kern w:val="0"/>
          <w:sz w:val="32"/>
          <w:szCs w:val="32"/>
          <w:highlight w:val="none"/>
          <w:lang w:eastAsia="zh" w:bidi="ar"/>
        </w:rPr>
        <w:t>分，评价组抽查得分为</w:t>
      </w:r>
      <w:r>
        <w:rPr>
          <w:rFonts w:hint="default" w:ascii="Times New Roman" w:hAnsi="Times New Roman" w:eastAsia="方正仿宋简体" w:cs="Times New Roman"/>
          <w:kern w:val="0"/>
          <w:sz w:val="32"/>
          <w:szCs w:val="32"/>
          <w:highlight w:val="none"/>
          <w:lang w:eastAsia="zh" w:bidi="ar"/>
        </w:rPr>
        <w:t>81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24</w:t>
      </w:r>
      <w:r>
        <w:rPr>
          <w:rFonts w:hint="eastAsia" w:ascii="方正仿宋简体" w:hAnsi="方正仿宋简体" w:eastAsia="方正仿宋简体" w:cs="方正仿宋简体"/>
          <w:kern w:val="0"/>
          <w:sz w:val="32"/>
          <w:szCs w:val="32"/>
          <w:highlight w:val="none"/>
          <w:lang w:eastAsia="zh" w:bidi="ar"/>
        </w:rPr>
        <w:t>分（不含自评准确分数）与评价组评价得分差异率为（</w:t>
      </w:r>
      <w:r>
        <w:rPr>
          <w:rFonts w:hint="default" w:ascii="Times New Roman" w:hAnsi="Times New Roman" w:eastAsia="方正仿宋简体" w:cs="Times New Roman"/>
          <w:kern w:val="0"/>
          <w:sz w:val="32"/>
          <w:szCs w:val="32"/>
          <w:highlight w:val="none"/>
          <w:lang w:eastAsia="zh" w:bidi="ar"/>
        </w:rPr>
        <w:t>85</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81</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24</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8</w:t>
      </w:r>
      <w:r>
        <w:rPr>
          <w:rFonts w:hint="default" w:ascii="Times New Roman" w:hAnsi="Times New Roman" w:eastAsia="方正仿宋简体" w:cs="Times New Roman"/>
          <w:kern w:val="0"/>
          <w:sz w:val="32"/>
          <w:szCs w:val="32"/>
          <w:highlight w:val="none"/>
          <w:lang w:val="en-US" w:eastAsia="zh-CN" w:bidi="ar"/>
        </w:rPr>
        <w:t>5</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eastAsia="zh" w:bidi="ar"/>
        </w:rPr>
        <w:t>4</w:t>
      </w:r>
      <w:r>
        <w:rPr>
          <w:rFonts w:hint="eastAsia" w:ascii="方正仿宋简体" w:hAnsi="方正仿宋简体" w:eastAsia="方正仿宋简体" w:cs="方正仿宋简体"/>
          <w:kern w:val="0"/>
          <w:sz w:val="32"/>
          <w:szCs w:val="32"/>
          <w:highlight w:val="none"/>
          <w:lang w:eastAsia="zh" w:bidi="ar"/>
        </w:rPr>
        <w:t>.</w:t>
      </w:r>
      <w:r>
        <w:rPr>
          <w:rFonts w:hint="default" w:ascii="Times New Roman" w:hAnsi="Times New Roman" w:eastAsia="方正仿宋简体" w:cs="Times New Roman"/>
          <w:kern w:val="0"/>
          <w:sz w:val="32"/>
          <w:szCs w:val="32"/>
          <w:highlight w:val="none"/>
          <w:lang w:val="en-US" w:eastAsia="zh-CN" w:bidi="ar"/>
        </w:rPr>
        <w:t>42</w:t>
      </w:r>
      <w:r>
        <w:rPr>
          <w:rFonts w:hint="default" w:ascii="Times New Roman" w:hAnsi="Times New Roman" w:eastAsia="方正仿宋简体" w:cs="Times New Roman"/>
          <w:kern w:val="0"/>
          <w:sz w:val="32"/>
          <w:szCs w:val="32"/>
          <w:highlight w:val="none"/>
          <w:lang w:eastAsia="zh" w:bidi="ar"/>
        </w:rPr>
        <w:t>%</w:t>
      </w:r>
      <w:r>
        <w:rPr>
          <w:rFonts w:hint="eastAsia" w:ascii="方正仿宋简体" w:hAnsi="方正仿宋简体" w:eastAsia="方正仿宋简体" w:cs="方正仿宋简体"/>
          <w:kern w:val="0"/>
          <w:sz w:val="32"/>
          <w:szCs w:val="32"/>
          <w:highlight w:val="none"/>
          <w:lang w:bidi="ar"/>
        </w:rPr>
        <w:t>。</w:t>
      </w:r>
    </w:p>
    <w:p w14:paraId="39E77741">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二级指标“自评质量”</w:t>
      </w:r>
      <w:r>
        <w:rPr>
          <w:rFonts w:hint="eastAsia" w:ascii="方正仿宋简体" w:hAnsi="方正仿宋简体" w:eastAsia="方正仿宋简体" w:cs="方正仿宋简体"/>
          <w:kern w:val="0"/>
          <w:sz w:val="32"/>
          <w:szCs w:val="32"/>
          <w:highlight w:val="none"/>
          <w:lang w:bidi="ar"/>
        </w:rPr>
        <w:t>指标</w:t>
      </w:r>
      <w:r>
        <w:rPr>
          <w:rFonts w:hint="eastAsia" w:ascii="方正仿宋简体" w:hAnsi="方正仿宋简体" w:eastAsia="方正仿宋简体" w:cs="方正仿宋简体"/>
          <w:sz w:val="32"/>
          <w:szCs w:val="32"/>
          <w:highlight w:val="none"/>
        </w:rPr>
        <w:t>分共计</w:t>
      </w:r>
      <w:r>
        <w:rPr>
          <w:rFonts w:hint="default" w:ascii="Times New Roman" w:hAnsi="Times New Roman" w:eastAsia="方正仿宋简体" w:cs="Times New Roman"/>
          <w:sz w:val="32"/>
          <w:szCs w:val="32"/>
          <w:highlight w:val="none"/>
        </w:rPr>
        <w:t>10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分，扣除</w:t>
      </w:r>
      <w:r>
        <w:rPr>
          <w:rFonts w:hint="default" w:ascii="Times New Roman" w:hAnsi="Times New Roman" w:eastAsia="方正仿宋简体" w:cs="Times New Roman"/>
          <w:sz w:val="32"/>
          <w:szCs w:val="32"/>
          <w:highlight w:val="none"/>
          <w:lang w:eastAsia="zh"/>
        </w:rPr>
        <w:t>0</w:t>
      </w:r>
      <w:r>
        <w:rPr>
          <w:rFonts w:hint="eastAsia" w:ascii="方正仿宋简体" w:hAnsi="方正仿宋简体" w:eastAsia="方正仿宋简体" w:cs="方正仿宋简体"/>
          <w:sz w:val="32"/>
          <w:szCs w:val="32"/>
          <w:highlight w:val="none"/>
        </w:rPr>
        <w:t>.</w:t>
      </w:r>
      <w:r>
        <w:rPr>
          <w:rFonts w:hint="default" w:ascii="Times New Roman" w:hAnsi="Times New Roman" w:eastAsia="方正仿宋简体" w:cs="Times New Roman"/>
          <w:sz w:val="32"/>
          <w:szCs w:val="32"/>
          <w:highlight w:val="none"/>
        </w:rPr>
        <w:t>00</w:t>
      </w:r>
      <w:r>
        <w:rPr>
          <w:rFonts w:hint="eastAsia" w:ascii="方正仿宋简体" w:hAnsi="方正仿宋简体" w:eastAsia="方正仿宋简体" w:cs="方正仿宋简体"/>
          <w:sz w:val="32"/>
          <w:szCs w:val="32"/>
          <w:highlight w:val="none"/>
        </w:rPr>
        <w:t>分，</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得分为</w:t>
      </w:r>
      <w:r>
        <w:rPr>
          <w:rFonts w:hint="default" w:ascii="Times New Roman" w:hAnsi="Times New Roman" w:eastAsia="方正仿宋简体" w:cs="Times New Roman"/>
          <w:color w:val="000000" w:themeColor="text1"/>
          <w:sz w:val="32"/>
          <w:szCs w:val="32"/>
          <w:highlight w:val="none"/>
          <w:lang w:eastAsia="zh"/>
          <w14:textFill>
            <w14:solidFill>
              <w14:schemeClr w14:val="tx1"/>
            </w14:solidFill>
          </w14:textFill>
        </w:rPr>
        <w:t>10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default" w:ascii="Times New Roman" w:hAnsi="Times New Roman" w:eastAsia="方正仿宋简体" w:cs="Times New Roman"/>
          <w:color w:val="000000" w:themeColor="text1"/>
          <w:sz w:val="32"/>
          <w:szCs w:val="32"/>
          <w:highlight w:val="none"/>
          <w14:textFill>
            <w14:solidFill>
              <w14:schemeClr w14:val="tx1"/>
            </w14:solidFill>
          </w14:textFill>
        </w:rPr>
        <w:t>00</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分。</w:t>
      </w:r>
    </w:p>
    <w:p w14:paraId="7FD6C8DC">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02" w:name="_Toc8047"/>
      <w:bookmarkStart w:id="103" w:name="_Toc4350"/>
      <w:bookmarkStart w:id="104" w:name="_Toc21218"/>
      <w:bookmarkStart w:id="105" w:name="_Toc5060"/>
      <w:bookmarkStart w:id="106" w:name="_Toc14032"/>
      <w:bookmarkStart w:id="107" w:name="_Toc823448808"/>
      <w:bookmarkStart w:id="108" w:name="_Toc30515"/>
      <w:bookmarkStart w:id="109" w:name="_Toc248033833"/>
      <w:bookmarkStart w:id="110" w:name="_Toc19973"/>
      <w:bookmarkStart w:id="111" w:name="_Toc8336"/>
      <w:r>
        <w:rPr>
          <w:rFonts w:hint="eastAsia" w:ascii="方正黑体简体" w:hAnsi="方正黑体简体" w:eastAsia="方正黑体简体" w:cs="方正黑体简体"/>
          <w:color w:val="000000"/>
          <w:kern w:val="0"/>
          <w:sz w:val="32"/>
          <w:szCs w:val="32"/>
          <w:highlight w:val="none"/>
          <w:shd w:val="clear" w:color="auto" w:fill="FFFFFF"/>
        </w:rPr>
        <w:t>五、存在的主要问题</w:t>
      </w:r>
      <w:bookmarkEnd w:id="102"/>
      <w:bookmarkEnd w:id="103"/>
      <w:bookmarkEnd w:id="104"/>
      <w:bookmarkEnd w:id="105"/>
      <w:bookmarkEnd w:id="106"/>
      <w:bookmarkEnd w:id="107"/>
      <w:bookmarkEnd w:id="108"/>
      <w:bookmarkEnd w:id="109"/>
    </w:p>
    <w:p w14:paraId="5E2C3238">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eastAsia="zh"/>
        </w:rPr>
      </w:pPr>
      <w:bookmarkStart w:id="112" w:name="_Toc352795849"/>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lang w:eastAsia="zh"/>
        </w:rPr>
        <w:t>年初预算编制不够精准。</w:t>
      </w:r>
      <w:bookmarkStart w:id="113" w:name="_Toc1753"/>
      <w:bookmarkStart w:id="114" w:name="_Toc28216"/>
      <w:bookmarkStart w:id="115" w:name="_Toc8925"/>
      <w:bookmarkStart w:id="116" w:name="_Toc4357"/>
      <w:bookmarkStart w:id="117" w:name="_Toc31967"/>
      <w:bookmarkStart w:id="118" w:name="_Toc23023"/>
      <w:bookmarkStart w:id="119" w:name="_Toc19309"/>
      <w:bookmarkStart w:id="120" w:name="_Toc14250"/>
    </w:p>
    <w:p w14:paraId="6DE48E5D">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pP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中国共产党泸定县委员会办公室</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2023</w:t>
      </w:r>
      <w:r>
        <w:rPr>
          <w:rFonts w:hint="eastAsia" w:ascii="方正仿宋简体" w:hAnsi="方正仿宋简体" w:eastAsia="方正仿宋简体" w:cs="方正仿宋简体"/>
          <w:color w:val="000000" w:themeColor="text1"/>
          <w:kern w:val="2"/>
          <w:sz w:val="32"/>
          <w:szCs w:val="32"/>
          <w:highlight w:val="none"/>
          <w:lang w:bidi="ar"/>
          <w14:textFill>
            <w14:solidFill>
              <w14:schemeClr w14:val="tx1"/>
            </w14:solidFill>
          </w14:textFill>
        </w:rPr>
        <w:t>年</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公用经费中手续费、取暖费、培训费、公务接待费</w:t>
      </w:r>
      <w:bookmarkEnd w:id="113"/>
      <w:bookmarkEnd w:id="114"/>
      <w:bookmarkEnd w:id="115"/>
      <w:bookmarkEnd w:id="116"/>
      <w:bookmarkEnd w:id="117"/>
      <w:bookmarkEnd w:id="118"/>
      <w:bookmarkEnd w:id="119"/>
      <w:bookmarkEnd w:id="120"/>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和部门预算项目中物业管理费、其他商品和服务支出科目预决算偏差率超</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50</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w:t>
      </w:r>
      <w:r>
        <w:rPr>
          <w:rFonts w:hint="default" w:ascii="Times New Roman" w:hAnsi="Times New Roman" w:eastAsia="方正仿宋简体" w:cs="Times New Roman"/>
          <w:color w:val="000000" w:themeColor="text1"/>
          <w:kern w:val="2"/>
          <w:sz w:val="32"/>
          <w:szCs w:val="32"/>
          <w:highlight w:val="none"/>
          <w:lang w:eastAsia="zh" w:bidi="ar"/>
          <w14:textFill>
            <w14:solidFill>
              <w14:schemeClr w14:val="tx1"/>
            </w14:solidFill>
          </w14:textFill>
        </w:rPr>
        <w:t>00%</w:t>
      </w:r>
      <w:r>
        <w:rPr>
          <w:rFonts w:hint="eastAsia" w:ascii="方正仿宋简体" w:hAnsi="方正仿宋简体" w:eastAsia="方正仿宋简体" w:cs="方正仿宋简体"/>
          <w:color w:val="000000" w:themeColor="text1"/>
          <w:kern w:val="2"/>
          <w:sz w:val="32"/>
          <w:szCs w:val="32"/>
          <w:highlight w:val="none"/>
          <w:lang w:eastAsia="zh" w:bidi="ar"/>
          <w14:textFill>
            <w14:solidFill>
              <w14:schemeClr w14:val="tx1"/>
            </w14:solidFill>
          </w14:textFill>
        </w:rPr>
        <w:t>，年初预算编制不够精准。</w:t>
      </w:r>
    </w:p>
    <w:p w14:paraId="64C77A7B">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专项预算项目绩效管理未闭环</w:t>
      </w:r>
    </w:p>
    <w:p w14:paraId="698E34BB">
      <w:pPr>
        <w:keepNext w:val="0"/>
        <w:keepLines w:val="0"/>
        <w:pageBreakBefore w:val="0"/>
        <w:kinsoku/>
        <w:wordWrap/>
        <w:overflowPunct/>
        <w:topLinePunct w:val="0"/>
        <w:autoSpaceDE/>
        <w:autoSpaceDN/>
        <w:bidi w:val="0"/>
        <w:spacing w:line="600" w:lineRule="exact"/>
        <w:ind w:left="0" w:firstLine="600"/>
        <w:rPr>
          <w:rFonts w:hint="eastAsia" w:ascii="方正仿宋简体" w:hAnsi="方正仿宋简体" w:eastAsia="方正仿宋简体" w:cs="方正仿宋简体"/>
          <w:color w:val="000000" w:themeColor="text1"/>
          <w:sz w:val="32"/>
          <w:szCs w:val="32"/>
          <w:highlight w:val="none"/>
          <w:lang w:eastAsia="zh" w:bidi="ar"/>
          <w14:textFill>
            <w14:solidFill>
              <w14:schemeClr w14:val="tx1"/>
            </w14:solidFill>
          </w14:textFill>
        </w:rPr>
      </w:pPr>
      <w:r>
        <w:rPr>
          <w:rFonts w:hint="default" w:ascii="Times New Roman" w:hAnsi="Times New Roman" w:eastAsia="方正仿宋简体" w:cs="Times New Roman"/>
          <w:color w:val="000000" w:themeColor="text1"/>
          <w:sz w:val="32"/>
          <w:szCs w:val="32"/>
          <w:highlight w:val="none"/>
          <w:lang w:val="en-US" w:eastAsia="zh" w:bidi="ar"/>
          <w14:textFill>
            <w14:solidFill>
              <w14:schemeClr w14:val="tx1"/>
            </w14:solidFill>
          </w14:textFill>
        </w:rPr>
        <w:t>2023</w:t>
      </w:r>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年</w:t>
      </w:r>
      <w:r>
        <w:rPr>
          <w:rFonts w:hint="eastAsia" w:ascii="方正仿宋简体" w:hAnsi="方正仿宋简体" w:eastAsia="方正仿宋简体" w:cs="方正仿宋简体"/>
          <w:color w:val="000000" w:themeColor="text1"/>
          <w:sz w:val="32"/>
          <w:szCs w:val="32"/>
          <w:highlight w:val="none"/>
          <w:lang w:eastAsia="zh" w:bidi="ar"/>
          <w14:textFill>
            <w14:solidFill>
              <w14:schemeClr w14:val="tx1"/>
            </w14:solidFill>
          </w14:textFill>
        </w:rPr>
        <w:t>中国共产党泸定县委员会办公室存在</w:t>
      </w:r>
      <w:r>
        <w:rPr>
          <w:rFonts w:hint="default" w:ascii="Times New Roman" w:hAnsi="Times New Roman" w:eastAsia="方正仿宋简体" w:cs="Times New Roman"/>
          <w:color w:val="000000" w:themeColor="text1"/>
          <w:sz w:val="32"/>
          <w:szCs w:val="32"/>
          <w:highlight w:val="none"/>
          <w:lang w:eastAsia="zh" w:bidi="ar"/>
          <w14:textFill>
            <w14:solidFill>
              <w14:schemeClr w14:val="tx1"/>
            </w14:solidFill>
          </w14:textFill>
        </w:rPr>
        <w:t>1</w:t>
      </w:r>
      <w:r>
        <w:rPr>
          <w:rFonts w:hint="eastAsia" w:ascii="方正仿宋简体" w:hAnsi="方正仿宋简体" w:eastAsia="方正仿宋简体" w:cs="方正仿宋简体"/>
          <w:color w:val="000000" w:themeColor="text1"/>
          <w:sz w:val="32"/>
          <w:szCs w:val="32"/>
          <w:highlight w:val="none"/>
          <w:lang w:eastAsia="zh" w:bidi="ar"/>
          <w14:textFill>
            <w14:solidFill>
              <w14:schemeClr w14:val="tx1"/>
            </w14:solidFill>
          </w14:textFill>
        </w:rPr>
        <w:t>个专项预算项目，该项目采购工作已完成并已完成电脑的发放工作，完成绩效自评表的编制工作，</w:t>
      </w:r>
      <w:r>
        <w:rPr>
          <w:rFonts w:hint="eastAsia" w:ascii="方正仿宋简体" w:hAnsi="方正仿宋简体" w:eastAsia="方正仿宋简体" w:cs="方正仿宋简体"/>
          <w:color w:val="000000" w:themeColor="text1"/>
          <w:sz w:val="32"/>
          <w:szCs w:val="32"/>
          <w:highlight w:val="none"/>
          <w:lang w:val="en-US" w:eastAsia="zh-CN" w:bidi="ar"/>
          <w14:textFill>
            <w14:solidFill>
              <w14:schemeClr w14:val="tx1"/>
            </w14:solidFill>
          </w14:textFill>
        </w:rPr>
        <w:t>但</w:t>
      </w:r>
      <w:r>
        <w:rPr>
          <w:rFonts w:hint="eastAsia" w:ascii="方正仿宋简体" w:hAnsi="方正仿宋简体" w:eastAsia="方正仿宋简体" w:cs="方正仿宋简体"/>
          <w:color w:val="000000" w:themeColor="text1"/>
          <w:sz w:val="32"/>
          <w:szCs w:val="32"/>
          <w:highlight w:val="none"/>
          <w:lang w:eastAsia="zh" w:bidi="ar"/>
          <w14:textFill>
            <w14:solidFill>
              <w14:schemeClr w14:val="tx1"/>
            </w14:solidFill>
          </w14:textFill>
        </w:rPr>
        <w:t>未编制绩效自评报告。</w:t>
      </w:r>
    </w:p>
    <w:bookmarkEnd w:id="112"/>
    <w:p w14:paraId="74367C18">
      <w:pPr>
        <w:keepNext w:val="0"/>
        <w:keepLines w:val="0"/>
        <w:pageBreakBefore w:val="0"/>
        <w:kinsoku/>
        <w:wordWrap/>
        <w:overflowPunct/>
        <w:topLinePunct w:val="0"/>
        <w:autoSpaceDE/>
        <w:autoSpaceDN/>
        <w:bidi w:val="0"/>
        <w:spacing w:line="600" w:lineRule="exact"/>
        <w:ind w:left="0" w:firstLine="600"/>
        <w:outlineLvl w:val="0"/>
        <w:rPr>
          <w:rFonts w:hint="eastAsia" w:ascii="方正黑体简体" w:hAnsi="方正黑体简体" w:eastAsia="方正黑体简体" w:cs="方正黑体简体"/>
          <w:color w:val="000000"/>
          <w:kern w:val="0"/>
          <w:sz w:val="32"/>
          <w:szCs w:val="32"/>
          <w:highlight w:val="none"/>
          <w:shd w:val="clear" w:color="auto" w:fill="FFFFFF"/>
        </w:rPr>
      </w:pPr>
      <w:bookmarkStart w:id="121" w:name="_Toc771997543"/>
      <w:bookmarkStart w:id="122" w:name="_Toc22968"/>
      <w:bookmarkStart w:id="123" w:name="_Toc10426"/>
      <w:bookmarkStart w:id="124" w:name="_Toc31629"/>
      <w:bookmarkStart w:id="125" w:name="_Toc15651"/>
      <w:bookmarkStart w:id="126" w:name="_Toc3240"/>
      <w:bookmarkStart w:id="127" w:name="_Toc24668"/>
      <w:bookmarkStart w:id="128" w:name="_Toc464104487"/>
      <w:r>
        <w:rPr>
          <w:rFonts w:hint="eastAsia" w:ascii="方正黑体简体" w:hAnsi="方正黑体简体" w:eastAsia="方正黑体简体" w:cs="方正黑体简体"/>
          <w:color w:val="000000"/>
          <w:kern w:val="0"/>
          <w:sz w:val="32"/>
          <w:szCs w:val="32"/>
          <w:highlight w:val="none"/>
          <w:shd w:val="clear" w:color="auto" w:fill="FFFFFF"/>
        </w:rPr>
        <w:t>六、相关措施建议</w:t>
      </w:r>
      <w:bookmarkEnd w:id="121"/>
      <w:bookmarkEnd w:id="122"/>
      <w:bookmarkEnd w:id="123"/>
      <w:bookmarkEnd w:id="124"/>
      <w:bookmarkEnd w:id="125"/>
      <w:bookmarkEnd w:id="126"/>
      <w:bookmarkEnd w:id="127"/>
      <w:bookmarkEnd w:id="128"/>
    </w:p>
    <w:p w14:paraId="69439DBA">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eastAsia="zh-CN"/>
        </w:rPr>
      </w:pPr>
      <w:bookmarkStart w:id="129" w:name="_Toc25014"/>
      <w:bookmarkStart w:id="130" w:name="_Toc10202"/>
      <w:bookmarkStart w:id="131" w:name="_Toc19759"/>
      <w:bookmarkStart w:id="132" w:name="_Toc19941"/>
      <w:bookmarkStart w:id="133" w:name="_Toc10383"/>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一</w:t>
      </w:r>
      <w:r>
        <w:rPr>
          <w:rFonts w:hint="eastAsia" w:ascii="方正楷体简体" w:hAnsi="方正楷体简体" w:eastAsia="方正楷体简体" w:cs="方正楷体简体"/>
          <w:color w:val="000000"/>
          <w:kern w:val="0"/>
          <w:sz w:val="32"/>
          <w:szCs w:val="32"/>
          <w:highlight w:val="none"/>
          <w:shd w:val="clear" w:color="auto" w:fill="FFFFFF"/>
          <w:lang w:eastAsia="zh-CN"/>
        </w:rPr>
        <w:t>）针对“</w:t>
      </w:r>
      <w:r>
        <w:rPr>
          <w:rFonts w:hint="eastAsia" w:ascii="方正楷体简体" w:hAnsi="方正楷体简体" w:eastAsia="方正楷体简体" w:cs="方正楷体简体"/>
          <w:color w:val="000000"/>
          <w:kern w:val="0"/>
          <w:sz w:val="32"/>
          <w:szCs w:val="32"/>
          <w:highlight w:val="none"/>
          <w:shd w:val="clear" w:color="auto" w:fill="FFFFFF"/>
          <w:lang w:eastAsia="zh"/>
        </w:rPr>
        <w:t>年初预算编制不够精准</w:t>
      </w:r>
      <w:r>
        <w:rPr>
          <w:rFonts w:hint="eastAsia" w:ascii="方正楷体简体" w:hAnsi="方正楷体简体" w:eastAsia="方正楷体简体" w:cs="方正楷体简体"/>
          <w:color w:val="000000"/>
          <w:kern w:val="0"/>
          <w:sz w:val="32"/>
          <w:szCs w:val="32"/>
          <w:highlight w:val="none"/>
          <w:shd w:val="clear" w:color="auto" w:fill="FFFFFF"/>
          <w:lang w:eastAsia="zh-CN"/>
        </w:rPr>
        <w:t>”的建议</w:t>
      </w:r>
      <w:bookmarkEnd w:id="129"/>
      <w:bookmarkEnd w:id="130"/>
      <w:bookmarkEnd w:id="131"/>
      <w:bookmarkEnd w:id="132"/>
      <w:bookmarkEnd w:id="133"/>
    </w:p>
    <w:p w14:paraId="6206CFE5">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color w:val="000000" w:themeColor="text1"/>
          <w:sz w:val="32"/>
          <w:szCs w:val="32"/>
          <w:highlight w:val="none"/>
          <w:lang w:eastAsia="zh" w:bidi="ar"/>
          <w14:textFill>
            <w14:solidFill>
              <w14:schemeClr w14:val="tx1"/>
            </w14:solidFill>
          </w14:textFill>
        </w:rPr>
      </w:pPr>
      <w:bookmarkStart w:id="134" w:name="_Toc30495"/>
      <w:bookmarkStart w:id="135" w:name="_Toc4795"/>
      <w:bookmarkStart w:id="136" w:name="_Toc17354"/>
      <w:bookmarkStart w:id="137" w:name="_Toc26168"/>
      <w:bookmarkStart w:id="138" w:name="_Toc2388"/>
      <w:bookmarkStart w:id="139" w:name="_Toc6076"/>
      <w:bookmarkStart w:id="140" w:name="_Toc21394"/>
      <w:bookmarkStart w:id="141" w:name="_Toc7140"/>
      <w:bookmarkStart w:id="142" w:name="_Toc26842"/>
      <w:bookmarkStart w:id="143" w:name="_Toc30849"/>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建议：</w:t>
      </w:r>
      <w:r>
        <w:rPr>
          <w:rFonts w:hint="eastAsia" w:ascii="方正仿宋简体" w:hAnsi="方正仿宋简体" w:eastAsia="方正仿宋简体" w:cs="方正仿宋简体"/>
          <w:color w:val="000000" w:themeColor="text1"/>
          <w:sz w:val="32"/>
          <w:szCs w:val="32"/>
          <w:highlight w:val="none"/>
          <w:lang w:eastAsia="zh" w:bidi="ar"/>
          <w14:textFill>
            <w14:solidFill>
              <w14:schemeClr w14:val="tx1"/>
            </w14:solidFill>
          </w14:textFill>
        </w:rPr>
        <w:t>中国共产党泸定县委员会办公室应加强公用经费及部门预算项目中非定额公用支出的年初预算编制，确保财政资金得到充分利用。</w:t>
      </w:r>
      <w:bookmarkEnd w:id="134"/>
      <w:bookmarkEnd w:id="135"/>
      <w:bookmarkEnd w:id="136"/>
      <w:bookmarkEnd w:id="137"/>
      <w:bookmarkEnd w:id="138"/>
      <w:bookmarkEnd w:id="139"/>
      <w:bookmarkEnd w:id="140"/>
      <w:bookmarkEnd w:id="141"/>
      <w:bookmarkEnd w:id="142"/>
      <w:bookmarkEnd w:id="143"/>
    </w:p>
    <w:p w14:paraId="2F2C40F4">
      <w:pPr>
        <w:keepNext w:val="0"/>
        <w:keepLines w:val="0"/>
        <w:pageBreakBefore w:val="0"/>
        <w:kinsoku/>
        <w:wordWrap/>
        <w:overflowPunct/>
        <w:topLinePunct w:val="0"/>
        <w:autoSpaceDE/>
        <w:autoSpaceDN/>
        <w:bidi w:val="0"/>
        <w:spacing w:line="600" w:lineRule="exact"/>
        <w:ind w:left="0" w:firstLine="600"/>
        <w:outlineLvl w:val="0"/>
        <w:rPr>
          <w:rFonts w:hint="eastAsia" w:ascii="方正楷体简体" w:hAnsi="方正楷体简体" w:eastAsia="方正楷体简体" w:cs="方正楷体简体"/>
          <w:color w:val="000000"/>
          <w:kern w:val="0"/>
          <w:sz w:val="32"/>
          <w:szCs w:val="32"/>
          <w:highlight w:val="none"/>
          <w:shd w:val="clear" w:color="auto" w:fill="FFFFFF"/>
          <w:lang w:val="en-US" w:eastAsia="zh-CN"/>
        </w:rPr>
      </w:pP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二</w:t>
      </w:r>
      <w:r>
        <w:rPr>
          <w:rFonts w:hint="eastAsia" w:ascii="方正楷体简体" w:hAnsi="方正楷体简体" w:eastAsia="方正楷体简体" w:cs="方正楷体简体"/>
          <w:color w:val="000000"/>
          <w:kern w:val="0"/>
          <w:sz w:val="32"/>
          <w:szCs w:val="32"/>
          <w:highlight w:val="none"/>
          <w:shd w:val="clear" w:color="auto" w:fill="FFFFFF"/>
          <w:lang w:eastAsia="zh-CN"/>
        </w:rPr>
        <w:t>）</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针对“</w:t>
      </w:r>
      <w:r>
        <w:rPr>
          <w:rFonts w:hint="eastAsia" w:ascii="方正楷体简体" w:hAnsi="方正楷体简体" w:eastAsia="方正楷体简体" w:cs="方正楷体简体"/>
          <w:color w:val="000000"/>
          <w:kern w:val="0"/>
          <w:sz w:val="32"/>
          <w:szCs w:val="32"/>
          <w:highlight w:val="none"/>
          <w:shd w:val="clear" w:color="auto" w:fill="FFFFFF"/>
        </w:rPr>
        <w:t>专项预算项目绩效管理未闭环</w:t>
      </w:r>
      <w:r>
        <w:rPr>
          <w:rFonts w:hint="eastAsia" w:ascii="方正楷体简体" w:hAnsi="方正楷体简体" w:eastAsia="方正楷体简体" w:cs="方正楷体简体"/>
          <w:color w:val="000000"/>
          <w:kern w:val="0"/>
          <w:sz w:val="32"/>
          <w:szCs w:val="32"/>
          <w:highlight w:val="none"/>
          <w:shd w:val="clear" w:color="auto" w:fill="FFFFFF"/>
          <w:lang w:val="en-US" w:eastAsia="zh-CN"/>
        </w:rPr>
        <w:t>”的建议</w:t>
      </w:r>
    </w:p>
    <w:bookmarkEnd w:id="110"/>
    <w:bookmarkEnd w:id="111"/>
    <w:p w14:paraId="3A62708A">
      <w:pPr>
        <w:keepNext w:val="0"/>
        <w:keepLines w:val="0"/>
        <w:pageBreakBefore w:val="0"/>
        <w:kinsoku/>
        <w:wordWrap/>
        <w:overflowPunct/>
        <w:topLinePunct w:val="0"/>
        <w:autoSpaceDE/>
        <w:autoSpaceDN/>
        <w:bidi w:val="0"/>
        <w:spacing w:line="600" w:lineRule="exact"/>
        <w:ind w:left="0"/>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pPr>
      <w:bookmarkStart w:id="144" w:name="_Toc3238"/>
      <w:r>
        <w:rPr>
          <w:rFonts w:hint="eastAsia" w:ascii="方正仿宋简体" w:hAnsi="方正仿宋简体" w:eastAsia="方正仿宋简体" w:cs="方正仿宋简体"/>
          <w:color w:val="000000" w:themeColor="text1"/>
          <w:sz w:val="32"/>
          <w:szCs w:val="32"/>
          <w:highlight w:val="none"/>
          <w:lang w:val="en-US" w:eastAsia="zh" w:bidi="ar"/>
          <w14:textFill>
            <w14:solidFill>
              <w14:schemeClr w14:val="tx1"/>
            </w14:solidFill>
          </w14:textFill>
        </w:rPr>
        <w:t>建议：中国共产党泸定县委员会办公室应加强专项预算项目管理、绩效管理，切实按照国家、省、市（州）相关绩效管理要求，完善绩效管理循环的各个环节。</w:t>
      </w:r>
    </w:p>
    <w:p w14:paraId="4760DE4F">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sz w:val="32"/>
          <w:szCs w:val="32"/>
          <w:highlight w:val="none"/>
        </w:rPr>
      </w:pPr>
    </w:p>
    <w:p w14:paraId="571E6965">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sz w:val="32"/>
          <w:szCs w:val="32"/>
          <w:highlight w:val="none"/>
        </w:rPr>
      </w:pPr>
      <w:r>
        <w:rPr>
          <w:rFonts w:hint="eastAsia" w:ascii="方正仿宋简体" w:hAnsi="方正仿宋简体" w:eastAsia="方正仿宋简体" w:cs="方正仿宋简体"/>
          <w:sz w:val="32"/>
          <w:szCs w:val="32"/>
          <w:highlight w:val="none"/>
        </w:rPr>
        <w:t>附件：中国共产党泸定县委员会办公室部门整体支出绩效评价指标体系表（评分表）</w:t>
      </w:r>
    </w:p>
    <w:p w14:paraId="41D567F1">
      <w:pPr>
        <w:pStyle w:val="2"/>
        <w:rPr>
          <w:rFonts w:hint="eastAsia" w:ascii="方正仿宋简体" w:hAnsi="方正仿宋简体" w:eastAsia="方正仿宋简体" w:cs="方正仿宋简体"/>
          <w:sz w:val="32"/>
          <w:szCs w:val="32"/>
          <w:highlight w:val="none"/>
        </w:rPr>
      </w:pPr>
    </w:p>
    <w:p w14:paraId="317AC2EE">
      <w:pPr>
        <w:rPr>
          <w:rFonts w:hint="eastAsia" w:ascii="方正仿宋简体" w:hAnsi="方正仿宋简体" w:eastAsia="方正仿宋简体" w:cs="方正仿宋简体"/>
          <w:sz w:val="32"/>
          <w:szCs w:val="32"/>
          <w:highlight w:val="none"/>
        </w:rPr>
      </w:pPr>
    </w:p>
    <w:p w14:paraId="21DB14B4">
      <w:pPr>
        <w:pStyle w:val="2"/>
        <w:rPr>
          <w:rFonts w:hint="eastAsia"/>
          <w:highlight w:val="none"/>
        </w:rPr>
      </w:pPr>
    </w:p>
    <w:bookmarkEnd w:id="144"/>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bookmarkStart w:id="145" w:name="_GoBack"/>
      <w:bookmarkEnd w:id="145"/>
      <w:r>
        <w:rPr>
          <w:rFonts w:hint="eastAsia" w:ascii="方正仿宋简体" w:hAnsi="方正仿宋简体" w:eastAsia="方正仿宋简体" w:cs="方正仿宋简体"/>
          <w:b w:val="0"/>
          <w:bCs w:val="0"/>
          <w:sz w:val="32"/>
          <w:szCs w:val="32"/>
          <w:highlight w:val="none"/>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0C4E009C">
      <w:pPr>
        <w:pStyle w:val="2"/>
        <w:keepNext w:val="0"/>
        <w:keepLines w:val="0"/>
        <w:pageBreakBefore w:val="0"/>
        <w:kinsoku/>
        <w:wordWrap/>
        <w:overflowPunct/>
        <w:topLinePunct w:val="0"/>
        <w:autoSpaceDE/>
        <w:autoSpaceDN/>
        <w:bidi w:val="0"/>
        <w:spacing w:after="0" w:line="600" w:lineRule="exact"/>
        <w:ind w:left="0" w:firstLine="602"/>
        <w:jc w:val="right"/>
        <w:rPr>
          <w:rFonts w:hint="eastAsia" w:ascii="方正仿宋简体" w:hAnsi="方正仿宋简体" w:eastAsia="方正仿宋简体" w:cs="方正仿宋简体"/>
          <w:b/>
          <w:bCs/>
          <w:sz w:val="32"/>
          <w:szCs w:val="32"/>
          <w:highlight w:val="none"/>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embedRegular r:id="rId1" w:fontKey="{DA320469-B8D1-4CBC-9282-CD7B2FDCC04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878614F7-8E2F-4148-B642-B1F041F67E92}"/>
  </w:font>
  <w:font w:name="方正小标宋简体">
    <w:panose1 w:val="03000509000000000000"/>
    <w:charset w:val="86"/>
    <w:family w:val="auto"/>
    <w:pitch w:val="default"/>
    <w:sig w:usb0="00000001" w:usb1="080E0000" w:usb2="00000000" w:usb3="00000000" w:csb0="00040000" w:csb1="00000000"/>
    <w:embedRegular r:id="rId3" w:fontKey="{DA833B0D-F0EC-41E8-889A-124578BDF80D}"/>
  </w:font>
  <w:font w:name="方正楷体简体">
    <w:panose1 w:val="02000000000000000000"/>
    <w:charset w:val="86"/>
    <w:family w:val="auto"/>
    <w:pitch w:val="default"/>
    <w:sig w:usb0="00000001" w:usb1="080E0000" w:usb2="00000000" w:usb3="00000000" w:csb0="00040000" w:csb1="00000000"/>
    <w:embedRegular r:id="rId4" w:fontKey="{491EE147-72C7-4D76-9FE3-F6CE1D20DB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F0885">
    <w:pPr>
      <w:pStyle w:val="10"/>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7A6D0B">
                          <w:pPr>
                            <w:pStyle w:val="10"/>
                            <w:ind w:firstLine="36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4D7A6D0B">
                    <w:pPr>
                      <w:pStyle w:val="10"/>
                      <w:ind w:firstLine="360"/>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BA415">
    <w:pPr>
      <w:pBdr>
        <w:top w:val="none" w:color="auto" w:sz="0" w:space="1"/>
        <w:left w:val="none" w:color="auto" w:sz="0" w:space="4"/>
        <w:bottom w:val="none" w:color="auto" w:sz="0" w:space="1"/>
        <w:right w:val="none" w:color="auto" w:sz="0" w:space="4"/>
      </w:pBdr>
      <w:tabs>
        <w:tab w:val="center" w:pos="4153"/>
      </w:tabs>
      <w:snapToGrid w:val="0"/>
      <w:ind w:firstLine="0" w:firstLineChars="0"/>
      <w:rPr>
        <w:rFonts w:hint="eastAsia" w:ascii="宋体" w:hAnsi="宋体" w:eastAsia="宋体"/>
        <w:sz w:val="18"/>
        <w:szCs w:val="24"/>
      </w:rPr>
    </w:pPr>
    <w:r>
      <w:rPr>
        <w:rFonts w:hint="eastAsia" w:ascii="宋体" w:hAnsi="宋体" w:eastAsia="宋体"/>
        <w:sz w:val="18"/>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4C4AEB"/>
    <w:multiLevelType w:val="singleLevel"/>
    <w:tmpl w:val="CA4C4AEB"/>
    <w:lvl w:ilvl="0" w:tentative="0">
      <w:start w:val="3"/>
      <w:numFmt w:val="decimal"/>
      <w:suff w:val="nothing"/>
      <w:lvlText w:val="%1."/>
      <w:lvlJc w:val="left"/>
      <w:pPr>
        <w:ind w:left="0" w:firstLine="567"/>
      </w:pPr>
      <w:rPr>
        <w:rFonts w:hint="default" w:ascii="Times New Roman" w:hAnsi="Times New Roman" w:cs="Times New Roman"/>
        <w:sz w:val="32"/>
        <w:szCs w:val="32"/>
      </w:rPr>
    </w:lvl>
  </w:abstractNum>
  <w:abstractNum w:abstractNumId="1">
    <w:nsid w:val="1F6AA20E"/>
    <w:multiLevelType w:val="singleLevel"/>
    <w:tmpl w:val="1F6AA20E"/>
    <w:lvl w:ilvl="0" w:tentative="0">
      <w:start w:val="1"/>
      <w:numFmt w:val="decimal"/>
      <w:suff w:val="nothing"/>
      <w:lvlText w:val="（%1）"/>
      <w:lvlJc w:val="left"/>
      <w:pPr>
        <w:ind w:left="0" w:firstLine="567"/>
      </w:pPr>
      <w:rPr>
        <w:rFonts w:hint="default" w:ascii="Times New Roman" w:hAnsi="Times New Roman" w:eastAsia="方正楷体简体" w:cs="Times New Roman"/>
        <w:sz w:val="32"/>
        <w:szCs w:val="32"/>
      </w:rPr>
    </w:lvl>
  </w:abstractNum>
  <w:abstractNum w:abstractNumId="2">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273CC"/>
    <w:rsid w:val="00072D71"/>
    <w:rsid w:val="00097BF8"/>
    <w:rsid w:val="000B3946"/>
    <w:rsid w:val="000C45D6"/>
    <w:rsid w:val="000C5133"/>
    <w:rsid w:val="000C754C"/>
    <w:rsid w:val="000E2AA0"/>
    <w:rsid w:val="0012608E"/>
    <w:rsid w:val="00127F9D"/>
    <w:rsid w:val="00145DD7"/>
    <w:rsid w:val="00147C82"/>
    <w:rsid w:val="00163525"/>
    <w:rsid w:val="00172A27"/>
    <w:rsid w:val="001A6E39"/>
    <w:rsid w:val="001B5474"/>
    <w:rsid w:val="00202FA3"/>
    <w:rsid w:val="00236E8D"/>
    <w:rsid w:val="00272C1D"/>
    <w:rsid w:val="002F7B42"/>
    <w:rsid w:val="0032304E"/>
    <w:rsid w:val="003655C8"/>
    <w:rsid w:val="003B057A"/>
    <w:rsid w:val="003F0E80"/>
    <w:rsid w:val="004267A7"/>
    <w:rsid w:val="00443DB6"/>
    <w:rsid w:val="00451894"/>
    <w:rsid w:val="00452C50"/>
    <w:rsid w:val="004549BF"/>
    <w:rsid w:val="0050464B"/>
    <w:rsid w:val="005D0FB9"/>
    <w:rsid w:val="005D6972"/>
    <w:rsid w:val="00610FBA"/>
    <w:rsid w:val="00646411"/>
    <w:rsid w:val="0067664F"/>
    <w:rsid w:val="006E2F08"/>
    <w:rsid w:val="007221E5"/>
    <w:rsid w:val="00757BEA"/>
    <w:rsid w:val="007E5CD9"/>
    <w:rsid w:val="00804DDE"/>
    <w:rsid w:val="0085646D"/>
    <w:rsid w:val="00870DA1"/>
    <w:rsid w:val="0088162A"/>
    <w:rsid w:val="008956AD"/>
    <w:rsid w:val="008B2190"/>
    <w:rsid w:val="00906D73"/>
    <w:rsid w:val="00934B72"/>
    <w:rsid w:val="009438B6"/>
    <w:rsid w:val="00950253"/>
    <w:rsid w:val="00963AA7"/>
    <w:rsid w:val="00970070"/>
    <w:rsid w:val="009B5855"/>
    <w:rsid w:val="00A051DA"/>
    <w:rsid w:val="00A1757E"/>
    <w:rsid w:val="00A60B13"/>
    <w:rsid w:val="00AD1C0E"/>
    <w:rsid w:val="00AD64C4"/>
    <w:rsid w:val="00AE1EFF"/>
    <w:rsid w:val="00B00984"/>
    <w:rsid w:val="00B11E73"/>
    <w:rsid w:val="00BB4B64"/>
    <w:rsid w:val="00BF1745"/>
    <w:rsid w:val="00BF55A4"/>
    <w:rsid w:val="00C004B7"/>
    <w:rsid w:val="00C46DF1"/>
    <w:rsid w:val="00C54B59"/>
    <w:rsid w:val="00C81001"/>
    <w:rsid w:val="00CB3663"/>
    <w:rsid w:val="00CF395F"/>
    <w:rsid w:val="00D10437"/>
    <w:rsid w:val="00D33BD1"/>
    <w:rsid w:val="00E46DA7"/>
    <w:rsid w:val="00EB673D"/>
    <w:rsid w:val="00EC7AE0"/>
    <w:rsid w:val="00EE1A30"/>
    <w:rsid w:val="00EE3529"/>
    <w:rsid w:val="00F80E20"/>
    <w:rsid w:val="00FB6F06"/>
    <w:rsid w:val="00FF076D"/>
    <w:rsid w:val="015B3238"/>
    <w:rsid w:val="0174274A"/>
    <w:rsid w:val="01AE1362"/>
    <w:rsid w:val="0209008E"/>
    <w:rsid w:val="0221101D"/>
    <w:rsid w:val="028212C5"/>
    <w:rsid w:val="02B56978"/>
    <w:rsid w:val="034B0AC6"/>
    <w:rsid w:val="03BD26AA"/>
    <w:rsid w:val="03C46413"/>
    <w:rsid w:val="03F043C9"/>
    <w:rsid w:val="03F5560D"/>
    <w:rsid w:val="04EF3F11"/>
    <w:rsid w:val="05370DC3"/>
    <w:rsid w:val="05704583"/>
    <w:rsid w:val="05AE5131"/>
    <w:rsid w:val="05B41169"/>
    <w:rsid w:val="06E2185D"/>
    <w:rsid w:val="074574B7"/>
    <w:rsid w:val="077F711D"/>
    <w:rsid w:val="0815093A"/>
    <w:rsid w:val="08280844"/>
    <w:rsid w:val="08321414"/>
    <w:rsid w:val="08B54058"/>
    <w:rsid w:val="08CA0DBA"/>
    <w:rsid w:val="0AA10A64"/>
    <w:rsid w:val="0AAA2B3A"/>
    <w:rsid w:val="0BD10723"/>
    <w:rsid w:val="0C82214A"/>
    <w:rsid w:val="0CB33F28"/>
    <w:rsid w:val="0CC90B55"/>
    <w:rsid w:val="0D43335E"/>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3BF61F5"/>
    <w:rsid w:val="144B4CE8"/>
    <w:rsid w:val="14827494"/>
    <w:rsid w:val="14DA48CB"/>
    <w:rsid w:val="14DF3419"/>
    <w:rsid w:val="155B04E5"/>
    <w:rsid w:val="15762967"/>
    <w:rsid w:val="15C0420D"/>
    <w:rsid w:val="16310CFC"/>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486248"/>
    <w:rsid w:val="1BDF6BC8"/>
    <w:rsid w:val="1C2C3D72"/>
    <w:rsid w:val="1C535707"/>
    <w:rsid w:val="1C580E62"/>
    <w:rsid w:val="1C975E00"/>
    <w:rsid w:val="1D046172"/>
    <w:rsid w:val="1D4F18C5"/>
    <w:rsid w:val="1D9A1CE4"/>
    <w:rsid w:val="1DD67D6F"/>
    <w:rsid w:val="1ED16069"/>
    <w:rsid w:val="1ED24185"/>
    <w:rsid w:val="1ED35C04"/>
    <w:rsid w:val="1ED903FD"/>
    <w:rsid w:val="1EE16233"/>
    <w:rsid w:val="1EFB57A6"/>
    <w:rsid w:val="1F406C39"/>
    <w:rsid w:val="1FD20322"/>
    <w:rsid w:val="1FE92B41"/>
    <w:rsid w:val="1FF98ADA"/>
    <w:rsid w:val="1FFEDEEE"/>
    <w:rsid w:val="201E1FEE"/>
    <w:rsid w:val="202E7632"/>
    <w:rsid w:val="20533B33"/>
    <w:rsid w:val="207456E4"/>
    <w:rsid w:val="20CB7E98"/>
    <w:rsid w:val="21CC56B8"/>
    <w:rsid w:val="21F711A6"/>
    <w:rsid w:val="22460F43"/>
    <w:rsid w:val="22612BC4"/>
    <w:rsid w:val="2297354C"/>
    <w:rsid w:val="22F7E8FF"/>
    <w:rsid w:val="234C0C7F"/>
    <w:rsid w:val="23F46FD7"/>
    <w:rsid w:val="23F52C20"/>
    <w:rsid w:val="24283899"/>
    <w:rsid w:val="24436E8F"/>
    <w:rsid w:val="248C4080"/>
    <w:rsid w:val="248C5333"/>
    <w:rsid w:val="24C04FDC"/>
    <w:rsid w:val="25F533FB"/>
    <w:rsid w:val="26331263"/>
    <w:rsid w:val="263F3713"/>
    <w:rsid w:val="265058AE"/>
    <w:rsid w:val="265F3B15"/>
    <w:rsid w:val="269C2300"/>
    <w:rsid w:val="271534C4"/>
    <w:rsid w:val="271E56C4"/>
    <w:rsid w:val="27391076"/>
    <w:rsid w:val="273B0505"/>
    <w:rsid w:val="277338DD"/>
    <w:rsid w:val="27AAD4A3"/>
    <w:rsid w:val="27B8643F"/>
    <w:rsid w:val="27EBC72D"/>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5D6AC4"/>
    <w:rsid w:val="2B625A5F"/>
    <w:rsid w:val="2B9716ED"/>
    <w:rsid w:val="2BBE5215"/>
    <w:rsid w:val="2BD70482"/>
    <w:rsid w:val="2C2F0835"/>
    <w:rsid w:val="2CBB4441"/>
    <w:rsid w:val="2CC80ED2"/>
    <w:rsid w:val="2CD1263C"/>
    <w:rsid w:val="2CF37A27"/>
    <w:rsid w:val="2CF74E38"/>
    <w:rsid w:val="2D241E80"/>
    <w:rsid w:val="2D324D1A"/>
    <w:rsid w:val="2D525A3B"/>
    <w:rsid w:val="2D6319D3"/>
    <w:rsid w:val="2DE812E1"/>
    <w:rsid w:val="2E750BE6"/>
    <w:rsid w:val="2E7B50BC"/>
    <w:rsid w:val="2EAE40F8"/>
    <w:rsid w:val="2EB37A05"/>
    <w:rsid w:val="2ED1320F"/>
    <w:rsid w:val="2F040BD9"/>
    <w:rsid w:val="2F3274A5"/>
    <w:rsid w:val="2FBBA5AB"/>
    <w:rsid w:val="2FEF2A5C"/>
    <w:rsid w:val="3052247A"/>
    <w:rsid w:val="3090670D"/>
    <w:rsid w:val="310A02EF"/>
    <w:rsid w:val="312B48AF"/>
    <w:rsid w:val="32A47AB4"/>
    <w:rsid w:val="32CB27BC"/>
    <w:rsid w:val="33105381"/>
    <w:rsid w:val="336B6A5B"/>
    <w:rsid w:val="337B49B9"/>
    <w:rsid w:val="33EB569F"/>
    <w:rsid w:val="33FA0C54"/>
    <w:rsid w:val="34113BD6"/>
    <w:rsid w:val="34140406"/>
    <w:rsid w:val="342C7375"/>
    <w:rsid w:val="34B42BB5"/>
    <w:rsid w:val="34C73C1C"/>
    <w:rsid w:val="350D6544"/>
    <w:rsid w:val="36001598"/>
    <w:rsid w:val="360308FA"/>
    <w:rsid w:val="36870F62"/>
    <w:rsid w:val="369B1CB2"/>
    <w:rsid w:val="36BF54EC"/>
    <w:rsid w:val="36C17759"/>
    <w:rsid w:val="36DC449D"/>
    <w:rsid w:val="36F56951"/>
    <w:rsid w:val="37D16B8B"/>
    <w:rsid w:val="37E36263"/>
    <w:rsid w:val="37EE368E"/>
    <w:rsid w:val="38C96200"/>
    <w:rsid w:val="38D85C62"/>
    <w:rsid w:val="390E6F8C"/>
    <w:rsid w:val="39374DDA"/>
    <w:rsid w:val="393C614A"/>
    <w:rsid w:val="39411EEC"/>
    <w:rsid w:val="39935632"/>
    <w:rsid w:val="3A3949DD"/>
    <w:rsid w:val="3A4A7C37"/>
    <w:rsid w:val="3A7649A2"/>
    <w:rsid w:val="3A81279A"/>
    <w:rsid w:val="3AE5274E"/>
    <w:rsid w:val="3B072D35"/>
    <w:rsid w:val="3B3301C2"/>
    <w:rsid w:val="3B626037"/>
    <w:rsid w:val="3BD70C1C"/>
    <w:rsid w:val="3C4B567C"/>
    <w:rsid w:val="3C837FE5"/>
    <w:rsid w:val="3CB15DE8"/>
    <w:rsid w:val="3D1F22E5"/>
    <w:rsid w:val="3D3960CA"/>
    <w:rsid w:val="3D997564"/>
    <w:rsid w:val="3DB744C0"/>
    <w:rsid w:val="3DFC2E05"/>
    <w:rsid w:val="3E432DCF"/>
    <w:rsid w:val="3E8E1632"/>
    <w:rsid w:val="3EE0645B"/>
    <w:rsid w:val="3F5605BF"/>
    <w:rsid w:val="3F7B5870"/>
    <w:rsid w:val="3FAD280D"/>
    <w:rsid w:val="3FAFC9F3"/>
    <w:rsid w:val="3FBD0AA0"/>
    <w:rsid w:val="3FBFE8A3"/>
    <w:rsid w:val="3FBFF11E"/>
    <w:rsid w:val="3FC78042"/>
    <w:rsid w:val="3FCF6EEE"/>
    <w:rsid w:val="3FD523C9"/>
    <w:rsid w:val="3FDFF9A1"/>
    <w:rsid w:val="3FFA9567"/>
    <w:rsid w:val="3FFBC9EC"/>
    <w:rsid w:val="3FFDEF72"/>
    <w:rsid w:val="3FFFEA14"/>
    <w:rsid w:val="400D7690"/>
    <w:rsid w:val="4069560F"/>
    <w:rsid w:val="412070D7"/>
    <w:rsid w:val="41320BB8"/>
    <w:rsid w:val="41DC7289"/>
    <w:rsid w:val="41FD2ABB"/>
    <w:rsid w:val="421C165C"/>
    <w:rsid w:val="428B71EF"/>
    <w:rsid w:val="42A2347D"/>
    <w:rsid w:val="43251644"/>
    <w:rsid w:val="43802285"/>
    <w:rsid w:val="43A7F1A6"/>
    <w:rsid w:val="43D2284D"/>
    <w:rsid w:val="43ED42A2"/>
    <w:rsid w:val="44865DC2"/>
    <w:rsid w:val="44986F84"/>
    <w:rsid w:val="44A86EA6"/>
    <w:rsid w:val="44B03869"/>
    <w:rsid w:val="44FE2B7A"/>
    <w:rsid w:val="45221C05"/>
    <w:rsid w:val="455812EC"/>
    <w:rsid w:val="456F5F37"/>
    <w:rsid w:val="45761D23"/>
    <w:rsid w:val="45822CF4"/>
    <w:rsid w:val="45834321"/>
    <w:rsid w:val="4593493B"/>
    <w:rsid w:val="459B16D3"/>
    <w:rsid w:val="459E4A6E"/>
    <w:rsid w:val="45F31D67"/>
    <w:rsid w:val="45FF29D4"/>
    <w:rsid w:val="462A15BD"/>
    <w:rsid w:val="4633306D"/>
    <w:rsid w:val="46625636"/>
    <w:rsid w:val="46E2098A"/>
    <w:rsid w:val="4712301E"/>
    <w:rsid w:val="47970F04"/>
    <w:rsid w:val="48D56225"/>
    <w:rsid w:val="497E4558"/>
    <w:rsid w:val="49D23684"/>
    <w:rsid w:val="49F243D5"/>
    <w:rsid w:val="4A3F0AC3"/>
    <w:rsid w:val="4AFA2C7B"/>
    <w:rsid w:val="4B0435C5"/>
    <w:rsid w:val="4B58271A"/>
    <w:rsid w:val="4B6B11A9"/>
    <w:rsid w:val="4B9C6B82"/>
    <w:rsid w:val="4BDE4024"/>
    <w:rsid w:val="4C1635B0"/>
    <w:rsid w:val="4C907F6D"/>
    <w:rsid w:val="4CAE35BE"/>
    <w:rsid w:val="4CFC2039"/>
    <w:rsid w:val="4D6E449B"/>
    <w:rsid w:val="4F0A34DF"/>
    <w:rsid w:val="4F5F5C7E"/>
    <w:rsid w:val="4F7241B1"/>
    <w:rsid w:val="4FCD04DF"/>
    <w:rsid w:val="4FF7181A"/>
    <w:rsid w:val="4FFBD132"/>
    <w:rsid w:val="4FFE309A"/>
    <w:rsid w:val="507D0BBC"/>
    <w:rsid w:val="507E6B2A"/>
    <w:rsid w:val="51290B58"/>
    <w:rsid w:val="51381763"/>
    <w:rsid w:val="51960840"/>
    <w:rsid w:val="51E2208C"/>
    <w:rsid w:val="52265F38"/>
    <w:rsid w:val="52EF2BDF"/>
    <w:rsid w:val="535B753F"/>
    <w:rsid w:val="53C41B44"/>
    <w:rsid w:val="543748C0"/>
    <w:rsid w:val="54B716A8"/>
    <w:rsid w:val="55516FE9"/>
    <w:rsid w:val="55681707"/>
    <w:rsid w:val="55AC2CD2"/>
    <w:rsid w:val="55B812E3"/>
    <w:rsid w:val="55D82153"/>
    <w:rsid w:val="561A2F05"/>
    <w:rsid w:val="56A7003A"/>
    <w:rsid w:val="575D29C4"/>
    <w:rsid w:val="57711EC4"/>
    <w:rsid w:val="577B4EF8"/>
    <w:rsid w:val="57950BEC"/>
    <w:rsid w:val="579A41D9"/>
    <w:rsid w:val="57BD01C5"/>
    <w:rsid w:val="57BE73BD"/>
    <w:rsid w:val="57C56C55"/>
    <w:rsid w:val="57E13BCA"/>
    <w:rsid w:val="57EAF5E5"/>
    <w:rsid w:val="58334AD1"/>
    <w:rsid w:val="5864421C"/>
    <w:rsid w:val="5901172B"/>
    <w:rsid w:val="594368CB"/>
    <w:rsid w:val="59561F19"/>
    <w:rsid w:val="596B1981"/>
    <w:rsid w:val="59821BED"/>
    <w:rsid w:val="59CF4D9E"/>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235B2D"/>
    <w:rsid w:val="5D3C5456"/>
    <w:rsid w:val="5D3E2967"/>
    <w:rsid w:val="5D7B4679"/>
    <w:rsid w:val="5D7C3989"/>
    <w:rsid w:val="5DCDBD87"/>
    <w:rsid w:val="5E705EAB"/>
    <w:rsid w:val="5E7317E1"/>
    <w:rsid w:val="5E7C5B9B"/>
    <w:rsid w:val="5EB1D3F4"/>
    <w:rsid w:val="5EDB5F93"/>
    <w:rsid w:val="5F246AEA"/>
    <w:rsid w:val="5F3B183F"/>
    <w:rsid w:val="5F562031"/>
    <w:rsid w:val="5F774ACC"/>
    <w:rsid w:val="5F9C373E"/>
    <w:rsid w:val="5FAE61AA"/>
    <w:rsid w:val="5FBF7263"/>
    <w:rsid w:val="5FCF84ED"/>
    <w:rsid w:val="5FDFC83C"/>
    <w:rsid w:val="5FF7A0DE"/>
    <w:rsid w:val="5FFB6F3A"/>
    <w:rsid w:val="60017C7C"/>
    <w:rsid w:val="6020741B"/>
    <w:rsid w:val="608914CC"/>
    <w:rsid w:val="6094289E"/>
    <w:rsid w:val="60F11867"/>
    <w:rsid w:val="615C16D6"/>
    <w:rsid w:val="618A3DC3"/>
    <w:rsid w:val="61C15430"/>
    <w:rsid w:val="62102CE3"/>
    <w:rsid w:val="62222B09"/>
    <w:rsid w:val="62311D7E"/>
    <w:rsid w:val="62350D51"/>
    <w:rsid w:val="627C5614"/>
    <w:rsid w:val="62BA758E"/>
    <w:rsid w:val="62BB6119"/>
    <w:rsid w:val="62BD6CEE"/>
    <w:rsid w:val="62D11B87"/>
    <w:rsid w:val="630D7F41"/>
    <w:rsid w:val="636C18B0"/>
    <w:rsid w:val="63A71F74"/>
    <w:rsid w:val="64FE5F84"/>
    <w:rsid w:val="652F1904"/>
    <w:rsid w:val="658FBDC6"/>
    <w:rsid w:val="65BF660F"/>
    <w:rsid w:val="65C7404D"/>
    <w:rsid w:val="65F17436"/>
    <w:rsid w:val="66C0483B"/>
    <w:rsid w:val="66CC410D"/>
    <w:rsid w:val="66EE54A9"/>
    <w:rsid w:val="67152FB8"/>
    <w:rsid w:val="67551304"/>
    <w:rsid w:val="676254A4"/>
    <w:rsid w:val="678D0D6C"/>
    <w:rsid w:val="67AB4C59"/>
    <w:rsid w:val="67D8ED11"/>
    <w:rsid w:val="684306E9"/>
    <w:rsid w:val="68723580"/>
    <w:rsid w:val="68994500"/>
    <w:rsid w:val="69172000"/>
    <w:rsid w:val="697F1380"/>
    <w:rsid w:val="699A1F8A"/>
    <w:rsid w:val="69A93917"/>
    <w:rsid w:val="6A4A3BFD"/>
    <w:rsid w:val="6A4D3763"/>
    <w:rsid w:val="6B43739A"/>
    <w:rsid w:val="6BBBEF49"/>
    <w:rsid w:val="6BFFA4D9"/>
    <w:rsid w:val="6C196A9A"/>
    <w:rsid w:val="6C75429C"/>
    <w:rsid w:val="6C7B36E5"/>
    <w:rsid w:val="6C7D23DE"/>
    <w:rsid w:val="6C862912"/>
    <w:rsid w:val="6CFA1652"/>
    <w:rsid w:val="6CFD7E08"/>
    <w:rsid w:val="6D0F4A6A"/>
    <w:rsid w:val="6D3D4391"/>
    <w:rsid w:val="6D8E68B6"/>
    <w:rsid w:val="6D97F2C7"/>
    <w:rsid w:val="6DB91B96"/>
    <w:rsid w:val="6DCD214C"/>
    <w:rsid w:val="6DE37723"/>
    <w:rsid w:val="6E3C3302"/>
    <w:rsid w:val="6E7E0482"/>
    <w:rsid w:val="6E7F1593"/>
    <w:rsid w:val="6EC3F98A"/>
    <w:rsid w:val="6EFE7E0F"/>
    <w:rsid w:val="6F5F3DDC"/>
    <w:rsid w:val="6FBF4705"/>
    <w:rsid w:val="6FC06BC3"/>
    <w:rsid w:val="6FC24E02"/>
    <w:rsid w:val="6FCD2B35"/>
    <w:rsid w:val="6FEFDAF3"/>
    <w:rsid w:val="6FF658FB"/>
    <w:rsid w:val="6FFB1FF0"/>
    <w:rsid w:val="6FFEF6BD"/>
    <w:rsid w:val="6FFF439D"/>
    <w:rsid w:val="70756248"/>
    <w:rsid w:val="70A03CC6"/>
    <w:rsid w:val="70E817A2"/>
    <w:rsid w:val="70EF71B7"/>
    <w:rsid w:val="70FAFB2A"/>
    <w:rsid w:val="716138A0"/>
    <w:rsid w:val="71753151"/>
    <w:rsid w:val="71A73D3E"/>
    <w:rsid w:val="71D4087A"/>
    <w:rsid w:val="71E34413"/>
    <w:rsid w:val="71FE401B"/>
    <w:rsid w:val="727D4F24"/>
    <w:rsid w:val="72822E9E"/>
    <w:rsid w:val="72A146DD"/>
    <w:rsid w:val="72A70FAA"/>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937428"/>
    <w:rsid w:val="76EEE66D"/>
    <w:rsid w:val="76EF82A2"/>
    <w:rsid w:val="76FBFBCD"/>
    <w:rsid w:val="76FE45DF"/>
    <w:rsid w:val="77245415"/>
    <w:rsid w:val="77503BA8"/>
    <w:rsid w:val="77BDFB3C"/>
    <w:rsid w:val="77BF2551"/>
    <w:rsid w:val="77CB4ADD"/>
    <w:rsid w:val="77EDAE60"/>
    <w:rsid w:val="77F50D0E"/>
    <w:rsid w:val="77FCCDF3"/>
    <w:rsid w:val="782E0A91"/>
    <w:rsid w:val="788E7EA5"/>
    <w:rsid w:val="78F74A7F"/>
    <w:rsid w:val="78FFB9FC"/>
    <w:rsid w:val="7922343B"/>
    <w:rsid w:val="7926388B"/>
    <w:rsid w:val="79521C10"/>
    <w:rsid w:val="795E17F1"/>
    <w:rsid w:val="795FF9E4"/>
    <w:rsid w:val="79D42C0A"/>
    <w:rsid w:val="79FFF26D"/>
    <w:rsid w:val="7A267238"/>
    <w:rsid w:val="7A30225F"/>
    <w:rsid w:val="7AD5E80B"/>
    <w:rsid w:val="7AE7FD2B"/>
    <w:rsid w:val="7AF3D7EA"/>
    <w:rsid w:val="7AFE7605"/>
    <w:rsid w:val="7AFE98C0"/>
    <w:rsid w:val="7B0A37F3"/>
    <w:rsid w:val="7B2EC99E"/>
    <w:rsid w:val="7B3E4BF5"/>
    <w:rsid w:val="7B676EB1"/>
    <w:rsid w:val="7B93031C"/>
    <w:rsid w:val="7BB3345A"/>
    <w:rsid w:val="7BBE09F0"/>
    <w:rsid w:val="7BCF7C7E"/>
    <w:rsid w:val="7BD61AD5"/>
    <w:rsid w:val="7BF9C739"/>
    <w:rsid w:val="7BFB259B"/>
    <w:rsid w:val="7BFF3B4A"/>
    <w:rsid w:val="7BFF440A"/>
    <w:rsid w:val="7BFF8FB5"/>
    <w:rsid w:val="7BFFA679"/>
    <w:rsid w:val="7C8549E9"/>
    <w:rsid w:val="7C9E2A4A"/>
    <w:rsid w:val="7CCD70F6"/>
    <w:rsid w:val="7CFC4664"/>
    <w:rsid w:val="7D4E5235"/>
    <w:rsid w:val="7D7B61FA"/>
    <w:rsid w:val="7D7D8DD1"/>
    <w:rsid w:val="7D9F8B72"/>
    <w:rsid w:val="7DBBA20B"/>
    <w:rsid w:val="7DC66335"/>
    <w:rsid w:val="7DCB0D60"/>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5DB861"/>
    <w:rsid w:val="7F7D7081"/>
    <w:rsid w:val="7F824F8C"/>
    <w:rsid w:val="7F9D850C"/>
    <w:rsid w:val="7FBF1A71"/>
    <w:rsid w:val="7FDFB4E3"/>
    <w:rsid w:val="7FDFE4A1"/>
    <w:rsid w:val="7FE7A296"/>
    <w:rsid w:val="7FEF3380"/>
    <w:rsid w:val="7FF91AE9"/>
    <w:rsid w:val="7FFF3A16"/>
    <w:rsid w:val="7FFF5A94"/>
    <w:rsid w:val="7FFFB13A"/>
    <w:rsid w:val="83FF91AF"/>
    <w:rsid w:val="8AF62299"/>
    <w:rsid w:val="8D9E5958"/>
    <w:rsid w:val="8FEBAE37"/>
    <w:rsid w:val="8FF55BDD"/>
    <w:rsid w:val="8FF8B082"/>
    <w:rsid w:val="9D777A88"/>
    <w:rsid w:val="9FFC6A98"/>
    <w:rsid w:val="9FFF4B72"/>
    <w:rsid w:val="9FFFED75"/>
    <w:rsid w:val="A4FE2DAB"/>
    <w:rsid w:val="AD3B6A3F"/>
    <w:rsid w:val="AFB7C169"/>
    <w:rsid w:val="AFE10A07"/>
    <w:rsid w:val="AFFE6005"/>
    <w:rsid w:val="B3D1EF1A"/>
    <w:rsid w:val="B6FC2E9B"/>
    <w:rsid w:val="B7E7B2A0"/>
    <w:rsid w:val="B7EB1F3F"/>
    <w:rsid w:val="B9EB0C7F"/>
    <w:rsid w:val="B9FBD9F7"/>
    <w:rsid w:val="BB7A0635"/>
    <w:rsid w:val="BBD563B5"/>
    <w:rsid w:val="BBFE7B1E"/>
    <w:rsid w:val="BBFF130D"/>
    <w:rsid w:val="BBFFDCD7"/>
    <w:rsid w:val="BCDCE214"/>
    <w:rsid w:val="BDAD1B8A"/>
    <w:rsid w:val="BDB9A1BB"/>
    <w:rsid w:val="BDDB841D"/>
    <w:rsid w:val="BDFFCF40"/>
    <w:rsid w:val="BE7D5B73"/>
    <w:rsid w:val="BEEC8E32"/>
    <w:rsid w:val="BF76E962"/>
    <w:rsid w:val="BF7E0626"/>
    <w:rsid w:val="C76803D6"/>
    <w:rsid w:val="C77B49A1"/>
    <w:rsid w:val="CB9B34A2"/>
    <w:rsid w:val="CBB3A44B"/>
    <w:rsid w:val="CFFECBF1"/>
    <w:rsid w:val="D1D7B40E"/>
    <w:rsid w:val="D267D29C"/>
    <w:rsid w:val="D3ECC95C"/>
    <w:rsid w:val="D3ED3C8A"/>
    <w:rsid w:val="D6C76697"/>
    <w:rsid w:val="D70AFC06"/>
    <w:rsid w:val="D763A4C3"/>
    <w:rsid w:val="D7DD1870"/>
    <w:rsid w:val="D7FFFE51"/>
    <w:rsid w:val="D9BFE668"/>
    <w:rsid w:val="D9F7E4F1"/>
    <w:rsid w:val="DA6CDFCE"/>
    <w:rsid w:val="DAFFE3D0"/>
    <w:rsid w:val="DB7F72A7"/>
    <w:rsid w:val="DBFF9A6B"/>
    <w:rsid w:val="DCDBFDC9"/>
    <w:rsid w:val="DD27FCAC"/>
    <w:rsid w:val="DD2D3FF7"/>
    <w:rsid w:val="DDCC86CA"/>
    <w:rsid w:val="DE5FCC40"/>
    <w:rsid w:val="DEFD6240"/>
    <w:rsid w:val="DEFF9AA2"/>
    <w:rsid w:val="DF5F6244"/>
    <w:rsid w:val="DFFE046B"/>
    <w:rsid w:val="E5B7349A"/>
    <w:rsid w:val="E5FFA019"/>
    <w:rsid w:val="E6DD0BF9"/>
    <w:rsid w:val="E7D6CC62"/>
    <w:rsid w:val="EBD71829"/>
    <w:rsid w:val="EBDE771E"/>
    <w:rsid w:val="EC6F8A7D"/>
    <w:rsid w:val="ED574481"/>
    <w:rsid w:val="EDBD7309"/>
    <w:rsid w:val="EDDFEE17"/>
    <w:rsid w:val="EDFDC52D"/>
    <w:rsid w:val="EEDBFCB9"/>
    <w:rsid w:val="EEDF5C73"/>
    <w:rsid w:val="EEE953BD"/>
    <w:rsid w:val="EFB7FA07"/>
    <w:rsid w:val="EFDD9E34"/>
    <w:rsid w:val="EFEC0D03"/>
    <w:rsid w:val="EFF9121F"/>
    <w:rsid w:val="F3ADDA25"/>
    <w:rsid w:val="F4FEB764"/>
    <w:rsid w:val="F5DCD828"/>
    <w:rsid w:val="F6FFEE89"/>
    <w:rsid w:val="F77F6848"/>
    <w:rsid w:val="F77FB31B"/>
    <w:rsid w:val="F79FF762"/>
    <w:rsid w:val="F7D8FE1B"/>
    <w:rsid w:val="F7F540A6"/>
    <w:rsid w:val="F7F99798"/>
    <w:rsid w:val="F7FF2F46"/>
    <w:rsid w:val="F7FF624F"/>
    <w:rsid w:val="F897D5FA"/>
    <w:rsid w:val="F8A20F1B"/>
    <w:rsid w:val="F8A3F081"/>
    <w:rsid w:val="F8DF9610"/>
    <w:rsid w:val="F8ED456B"/>
    <w:rsid w:val="F8FC959D"/>
    <w:rsid w:val="F9FE23CE"/>
    <w:rsid w:val="FB559FC3"/>
    <w:rsid w:val="FBED19C4"/>
    <w:rsid w:val="FBED27CB"/>
    <w:rsid w:val="FD77E073"/>
    <w:rsid w:val="FDA3C67D"/>
    <w:rsid w:val="FDBFCCB1"/>
    <w:rsid w:val="FDE76F5F"/>
    <w:rsid w:val="FDF70401"/>
    <w:rsid w:val="FDFBBA80"/>
    <w:rsid w:val="FE9A4642"/>
    <w:rsid w:val="FEAF7B3A"/>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Indent"/>
    <w:basedOn w:val="1"/>
    <w:link w:val="39"/>
    <w:semiHidden/>
    <w:unhideWhenUsed/>
    <w:qFormat/>
    <w:uiPriority w:val="99"/>
    <w:pPr>
      <w:ind w:firstLine="640"/>
    </w:pPr>
    <w:rPr>
      <w:rFonts w:ascii="Calibri" w:hAnsi="Calibri" w:eastAsia="宋体" w:cs="Times New Roman"/>
      <w:sz w:val="32"/>
      <w:szCs w:val="24"/>
    </w:rPr>
  </w:style>
  <w:style w:type="paragraph" w:styleId="8">
    <w:name w:val="toc 3"/>
    <w:basedOn w:val="1"/>
    <w:next w:val="1"/>
    <w:semiHidden/>
    <w:unhideWhenUsed/>
    <w:qFormat/>
    <w:uiPriority w:val="39"/>
    <w:pPr>
      <w:ind w:left="840" w:leftChars="400"/>
    </w:pPr>
  </w:style>
  <w:style w:type="paragraph" w:styleId="9">
    <w:name w:val="Body Text Indent 2"/>
    <w:basedOn w:val="1"/>
    <w:qFormat/>
    <w:uiPriority w:val="0"/>
    <w:pPr>
      <w:ind w:firstLine="645"/>
      <w:outlineLvl w:val="0"/>
    </w:pPr>
    <w:rPr>
      <w:rFonts w:ascii="仿宋_GB2312"/>
      <w:spacing w:val="-4"/>
      <w:sz w:val="32"/>
    </w:rPr>
  </w:style>
  <w:style w:type="paragraph" w:styleId="10">
    <w:name w:val="footer"/>
    <w:basedOn w:val="1"/>
    <w:link w:val="25"/>
    <w:unhideWhenUsed/>
    <w:qFormat/>
    <w:uiPriority w:val="99"/>
    <w:pPr>
      <w:tabs>
        <w:tab w:val="center" w:pos="4153"/>
        <w:tab w:val="right" w:pos="8306"/>
      </w:tabs>
      <w:snapToGrid w:val="0"/>
      <w:jc w:val="left"/>
    </w:pPr>
    <w:rPr>
      <w:sz w:val="18"/>
      <w:szCs w:val="18"/>
    </w:rPr>
  </w:style>
  <w:style w:type="paragraph" w:styleId="11">
    <w:name w:val="header"/>
    <w:basedOn w:val="1"/>
    <w:next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left" w:pos="709"/>
        <w:tab w:val="right" w:leader="dot" w:pos="8296"/>
      </w:tabs>
    </w:pPr>
  </w:style>
  <w:style w:type="paragraph" w:styleId="13">
    <w:name w:val="toc 2"/>
    <w:basedOn w:val="1"/>
    <w:next w:val="1"/>
    <w:unhideWhenUsed/>
    <w:qFormat/>
    <w:uiPriority w:val="39"/>
    <w:pPr>
      <w:ind w:left="420" w:leftChars="200"/>
    </w:pPr>
  </w:style>
  <w:style w:type="paragraph" w:styleId="14">
    <w:name w:val="Normal (Web)"/>
    <w:basedOn w:val="1"/>
    <w:unhideWhenUsed/>
    <w:qFormat/>
    <w:uiPriority w:val="99"/>
    <w:pPr>
      <w:spacing w:before="100" w:beforeAutospacing="1" w:after="100" w:afterAutospacing="1"/>
      <w:jc w:val="left"/>
    </w:pPr>
    <w:rPr>
      <w:rFonts w:cs="Times New Roman"/>
      <w:kern w:val="0"/>
      <w:sz w:val="24"/>
    </w:rPr>
  </w:style>
  <w:style w:type="paragraph" w:styleId="15">
    <w:name w:val="Title"/>
    <w:basedOn w:val="1"/>
    <w:link w:val="38"/>
    <w:qFormat/>
    <w:uiPriority w:val="10"/>
    <w:pPr>
      <w:spacing w:before="240" w:after="60"/>
      <w:jc w:val="center"/>
      <w:outlineLvl w:val="0"/>
    </w:pPr>
    <w:rPr>
      <w:rFonts w:ascii="Arial" w:hAnsi="Arial"/>
      <w:b/>
      <w:sz w:val="32"/>
    </w:rPr>
  </w:style>
  <w:style w:type="paragraph" w:styleId="16">
    <w:name w:val="Body Text First Indent 2"/>
    <w:basedOn w:val="2"/>
    <w:next w:val="1"/>
    <w:qFormat/>
    <w:uiPriority w:val="0"/>
    <w:pPr>
      <w:ind w:firstLine="420"/>
    </w:p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rPr>
  </w:style>
  <w:style w:type="character" w:styleId="21">
    <w:name w:val="Hyperlink"/>
    <w:unhideWhenUsed/>
    <w:qFormat/>
    <w:uiPriority w:val="99"/>
    <w:rPr>
      <w:color w:val="4D4D4D"/>
      <w:u w:val="none"/>
    </w:rPr>
  </w:style>
  <w:style w:type="character" w:styleId="22">
    <w:name w:val="annotation reference"/>
    <w:basedOn w:val="19"/>
    <w:semiHidden/>
    <w:unhideWhenUsed/>
    <w:qFormat/>
    <w:uiPriority w:val="99"/>
    <w:rPr>
      <w:sz w:val="21"/>
      <w:szCs w:val="21"/>
    </w:rPr>
  </w:style>
  <w:style w:type="paragraph" w:customStyle="1" w:styleId="23">
    <w:name w:val="常用样式（方正仿宋简）"/>
    <w:basedOn w:val="1"/>
    <w:qFormat/>
    <w:uiPriority w:val="0"/>
    <w:pPr>
      <w:spacing w:line="560" w:lineRule="exact"/>
      <w:ind w:firstLine="640"/>
    </w:pPr>
    <w:rPr>
      <w:rFonts w:eastAsia="方正仿宋简体"/>
      <w:sz w:val="32"/>
    </w:rPr>
  </w:style>
  <w:style w:type="character" w:customStyle="1" w:styleId="24">
    <w:name w:val="页眉 字符"/>
    <w:basedOn w:val="19"/>
    <w:link w:val="11"/>
    <w:qFormat/>
    <w:uiPriority w:val="99"/>
    <w:rPr>
      <w:sz w:val="18"/>
      <w:szCs w:val="18"/>
    </w:rPr>
  </w:style>
  <w:style w:type="character" w:customStyle="1" w:styleId="25">
    <w:name w:val="页脚 字符"/>
    <w:basedOn w:val="19"/>
    <w:link w:val="10"/>
    <w:qFormat/>
    <w:uiPriority w:val="99"/>
    <w:rPr>
      <w:sz w:val="18"/>
      <w:szCs w:val="18"/>
    </w:rPr>
  </w:style>
  <w:style w:type="character" w:customStyle="1" w:styleId="26">
    <w:name w:val="font11"/>
    <w:basedOn w:val="19"/>
    <w:qFormat/>
    <w:uiPriority w:val="0"/>
    <w:rPr>
      <w:rFonts w:hint="eastAsia" w:ascii="宋体" w:hAnsi="宋体" w:eastAsia="宋体" w:cs="宋体"/>
      <w:color w:val="000000"/>
      <w:sz w:val="21"/>
      <w:szCs w:val="21"/>
      <w:u w:val="none"/>
    </w:rPr>
  </w:style>
  <w:style w:type="character" w:customStyle="1" w:styleId="27">
    <w:name w:val="font01"/>
    <w:basedOn w:val="19"/>
    <w:qFormat/>
    <w:uiPriority w:val="0"/>
    <w:rPr>
      <w:rFonts w:hint="default" w:ascii="Calibri" w:hAnsi="Calibri" w:cs="Calibri"/>
      <w:color w:val="000000"/>
      <w:sz w:val="21"/>
      <w:szCs w:val="21"/>
      <w:u w:val="none"/>
    </w:rPr>
  </w:style>
  <w:style w:type="character" w:customStyle="1" w:styleId="28">
    <w:name w:val="font71"/>
    <w:basedOn w:val="19"/>
    <w:qFormat/>
    <w:uiPriority w:val="0"/>
    <w:rPr>
      <w:rFonts w:hint="eastAsia" w:ascii="仿宋" w:hAnsi="仿宋" w:eastAsia="仿宋" w:cs="仿宋"/>
      <w:b/>
      <w:color w:val="000000"/>
      <w:sz w:val="24"/>
      <w:szCs w:val="24"/>
      <w:u w:val="none"/>
    </w:rPr>
  </w:style>
  <w:style w:type="character" w:customStyle="1" w:styleId="29">
    <w:name w:val="font51"/>
    <w:basedOn w:val="19"/>
    <w:qFormat/>
    <w:uiPriority w:val="0"/>
    <w:rPr>
      <w:rFonts w:hint="eastAsia" w:ascii="仿宋" w:hAnsi="仿宋" w:eastAsia="仿宋" w:cs="仿宋"/>
      <w:color w:val="000000"/>
      <w:sz w:val="24"/>
      <w:szCs w:val="24"/>
      <w:u w:val="none"/>
    </w:rPr>
  </w:style>
  <w:style w:type="character" w:customStyle="1" w:styleId="30">
    <w:name w:val="font31"/>
    <w:basedOn w:val="19"/>
    <w:qFormat/>
    <w:uiPriority w:val="0"/>
    <w:rPr>
      <w:rFonts w:hint="eastAsia" w:ascii="宋体" w:hAnsi="宋体" w:eastAsia="宋体" w:cs="宋体"/>
      <w:b/>
      <w:color w:val="000000"/>
      <w:sz w:val="22"/>
      <w:szCs w:val="22"/>
      <w:u w:val="none"/>
    </w:rPr>
  </w:style>
  <w:style w:type="character" w:customStyle="1" w:styleId="31">
    <w:name w:val="font21"/>
    <w:basedOn w:val="19"/>
    <w:qFormat/>
    <w:uiPriority w:val="0"/>
    <w:rPr>
      <w:rFonts w:hint="eastAsia" w:ascii="宋体" w:hAnsi="宋体" w:eastAsia="宋体" w:cs="宋体"/>
      <w:color w:val="000000"/>
      <w:sz w:val="20"/>
      <w:szCs w:val="20"/>
      <w:u w:val="none"/>
    </w:rPr>
  </w:style>
  <w:style w:type="character" w:customStyle="1" w:styleId="32">
    <w:name w:val="font41"/>
    <w:basedOn w:val="19"/>
    <w:qFormat/>
    <w:uiPriority w:val="0"/>
    <w:rPr>
      <w:rFonts w:hint="default" w:ascii="Times New Roman" w:hAnsi="Times New Roman" w:cs="Times New Roman"/>
      <w:b/>
      <w:color w:val="000000"/>
      <w:sz w:val="20"/>
      <w:szCs w:val="20"/>
      <w:u w:val="none"/>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
    <w:name w:val="表格"/>
    <w:basedOn w:val="1"/>
    <w:qFormat/>
    <w:uiPriority w:val="0"/>
    <w:rPr>
      <w:rFonts w:hint="eastAsia"/>
      <w:kern w:val="0"/>
      <w:sz w:val="24"/>
      <w:szCs w:val="20"/>
    </w:rPr>
  </w:style>
  <w:style w:type="paragraph" w:customStyle="1" w:styleId="3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7">
    <w:name w:val="页眉或页脚 (2)"/>
    <w:basedOn w:val="1"/>
    <w:qFormat/>
    <w:uiPriority w:val="0"/>
    <w:rPr>
      <w:rFonts w:eastAsia="Times New Roman" w:cs="Times New Roman"/>
      <w:sz w:val="20"/>
      <w:szCs w:val="20"/>
      <w:lang w:val="zh-CN" w:bidi="zh-CN"/>
    </w:rPr>
  </w:style>
  <w:style w:type="character" w:customStyle="1" w:styleId="38">
    <w:name w:val="标题 字符"/>
    <w:basedOn w:val="19"/>
    <w:link w:val="15"/>
    <w:qFormat/>
    <w:uiPriority w:val="0"/>
    <w:rPr>
      <w:rFonts w:ascii="等线 Light" w:hAnsi="等线 Light" w:eastAsia="等线 Light" w:cs="Times New Roman"/>
      <w:b/>
      <w:bCs/>
      <w:kern w:val="2"/>
      <w:sz w:val="32"/>
      <w:szCs w:val="32"/>
    </w:rPr>
  </w:style>
  <w:style w:type="character" w:customStyle="1" w:styleId="39">
    <w:name w:val="正文文本缩进 字符"/>
    <w:basedOn w:val="19"/>
    <w:link w:val="7"/>
    <w:qFormat/>
    <w:uiPriority w:val="0"/>
    <w:rPr>
      <w:kern w:val="2"/>
      <w:sz w:val="32"/>
      <w:szCs w:val="24"/>
    </w:rPr>
  </w:style>
  <w:style w:type="paragraph" w:customStyle="1" w:styleId="40">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1">
    <w:name w:val="修订2"/>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2">
    <w:name w:val="15"/>
    <w:basedOn w:val="1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3065</Words>
  <Characters>3246</Characters>
  <Lines>54</Lines>
  <Paragraphs>15</Paragraphs>
  <TotalTime>0</TotalTime>
  <ScaleCrop>false</ScaleCrop>
  <LinksUpToDate>false</LinksUpToDate>
  <CharactersWithSpaces>3254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2024-11-08T06:18:00Z</cp:lastPrinted>
  <dcterms:modified xsi:type="dcterms:W3CDTF">2025-01-08T01:19:15Z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