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9524"/>
      <w:bookmarkStart w:id="1" w:name="_Toc27398"/>
      <w:bookmarkStart w:id="2" w:name="_Toc22314"/>
      <w:bookmarkStart w:id="3"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7253805">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被评价单位名称：泸定县人力资源和社会保障局</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04E4E330">
      <w:pPr>
        <w:pStyle w:val="2"/>
        <w:rPr>
          <w:rFonts w:hint="eastAsia" w:ascii="方正仿宋简体" w:hAnsi="方正仿宋简体" w:eastAsia="方正仿宋简体" w:cs="方正仿宋简体"/>
          <w:color w:val="333333"/>
          <w:kern w:val="0"/>
          <w:sz w:val="32"/>
          <w:szCs w:val="32"/>
          <w:highlight w:val="none"/>
        </w:rPr>
      </w:pPr>
    </w:p>
    <w:p w14:paraId="1A02351D">
      <w:pPr>
        <w:rPr>
          <w:rFonts w:hint="eastAsia" w:ascii="方正仿宋简体" w:hAnsi="方正仿宋简体" w:eastAsia="方正仿宋简体" w:cs="方正仿宋简体"/>
          <w:color w:val="333333"/>
          <w:kern w:val="0"/>
          <w:sz w:val="32"/>
          <w:szCs w:val="32"/>
          <w:highlight w:val="none"/>
        </w:rPr>
      </w:pPr>
    </w:p>
    <w:p w14:paraId="3DCFE882">
      <w:pPr>
        <w:pStyle w:val="2"/>
        <w:rPr>
          <w:rFonts w:hint="eastAsia" w:ascii="方正仿宋简体" w:hAnsi="方正仿宋简体" w:eastAsia="方正仿宋简体" w:cs="方正仿宋简体"/>
          <w:color w:val="333333"/>
          <w:kern w:val="0"/>
          <w:sz w:val="32"/>
          <w:szCs w:val="32"/>
          <w:highlight w:val="none"/>
        </w:rPr>
      </w:pPr>
    </w:p>
    <w:p w14:paraId="0AB2A493">
      <w:pPr>
        <w:rPr>
          <w:rFonts w:hint="eastAsia"/>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027EE14">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r>
        <w:rPr>
          <w:rFonts w:hint="eastAsia" w:ascii="方正小标宋简体" w:hAnsi="方正小标宋简体" w:eastAsia="方正小标宋简体" w:cs="方正小标宋简体"/>
          <w:color w:val="auto"/>
          <w:sz w:val="44"/>
          <w:szCs w:val="44"/>
          <w:highlight w:val="none"/>
          <w:lang w:eastAsia="zh-CN"/>
        </w:rPr>
        <w:t>泸定县人力资源和社会保障局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default" w:ascii="Times New Roman" w:hAnsi="Times New Roman" w:eastAsia="方正小标宋简体" w:cs="Times New Roman"/>
          <w:color w:val="auto"/>
          <w:sz w:val="44"/>
          <w:szCs w:val="44"/>
          <w:highlight w:val="none"/>
          <w:lang w:eastAsia="zh"/>
        </w:rPr>
        <w:t>2023</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2"/>
    </w:p>
    <w:p w14:paraId="394EE5A3">
      <w:pPr>
        <w:pStyle w:val="17"/>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lang w:val="fr-FR"/>
        </w:rPr>
      </w:pPr>
    </w:p>
    <w:p w14:paraId="30521E6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4" w:name="_Toc26210"/>
      <w:bookmarkStart w:id="5" w:name="_Toc8938"/>
      <w:bookmarkStart w:id="6" w:name="_Toc6252"/>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auto"/>
          <w:sz w:val="32"/>
          <w:szCs w:val="32"/>
          <w:highlight w:val="none"/>
          <w:lang w:val="fr-FR"/>
        </w:rPr>
        <w:t>对</w:t>
      </w:r>
      <w:r>
        <w:rPr>
          <w:rFonts w:hint="eastAsia" w:ascii="方正仿宋简体" w:hAnsi="方正仿宋简体" w:eastAsia="方正仿宋简体" w:cs="方正仿宋简体"/>
          <w:color w:val="auto"/>
          <w:sz w:val="32"/>
          <w:szCs w:val="32"/>
          <w:highlight w:val="none"/>
          <w:lang w:val="fr-FR" w:eastAsia="zh-CN"/>
        </w:rPr>
        <w:t>泸定县人力资源和社会保障局</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年部门整体支出进行</w:t>
      </w:r>
      <w:r>
        <w:rPr>
          <w:rFonts w:hint="eastAsia" w:ascii="方正仿宋简体" w:hAnsi="方正仿宋简体" w:eastAsia="方正仿宋简体" w:cs="方正仿宋简体"/>
          <w:color w:val="auto"/>
          <w:sz w:val="32"/>
          <w:szCs w:val="32"/>
          <w:highlight w:val="none"/>
          <w:lang w:val="fr-FR"/>
        </w:rPr>
        <w:t>绩效评价。</w:t>
      </w:r>
      <w:r>
        <w:rPr>
          <w:rFonts w:hint="eastAsia" w:ascii="方正仿宋简体" w:hAnsi="方正仿宋简体" w:eastAsia="方正仿宋简体" w:cs="方正仿宋简体"/>
          <w:color w:val="auto"/>
          <w:sz w:val="32"/>
          <w:szCs w:val="32"/>
          <w:highlight w:val="none"/>
          <w:lang w:val="fr-FR" w:eastAsia="zh-CN"/>
        </w:rPr>
        <w:t>泸定县人力资源和社会保障局</w:t>
      </w:r>
      <w:r>
        <w:rPr>
          <w:rFonts w:hint="eastAsia" w:ascii="方正仿宋简体" w:hAnsi="方正仿宋简体" w:eastAsia="方正仿宋简体" w:cs="方正仿宋简体"/>
          <w:color w:val="auto"/>
          <w:sz w:val="32"/>
          <w:szCs w:val="32"/>
          <w:highlight w:val="none"/>
          <w:lang w:val="fr-FR"/>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 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lang w:val="en-US" w:eastAsia="zh-CN"/>
        </w:rPr>
        <w:t>文件的</w:t>
      </w:r>
      <w:r>
        <w:rPr>
          <w:rFonts w:hint="eastAsia" w:ascii="方正仿宋简体" w:hAnsi="方正仿宋简体" w:eastAsia="方正仿宋简体" w:cs="方正仿宋简体"/>
          <w:color w:val="auto"/>
          <w:sz w:val="32"/>
          <w:szCs w:val="32"/>
          <w:highlight w:val="none"/>
          <w:lang w:val="fr-FR"/>
        </w:rPr>
        <w:t>要求，结合</w:t>
      </w:r>
      <w:r>
        <w:rPr>
          <w:rFonts w:hint="eastAsia" w:ascii="方正仿宋简体" w:hAnsi="方正仿宋简体" w:eastAsia="方正仿宋简体" w:cs="方正仿宋简体"/>
          <w:color w:val="auto"/>
          <w:sz w:val="32"/>
          <w:szCs w:val="32"/>
          <w:highlight w:val="none"/>
          <w:lang w:val="fr-FR" w:eastAsia="zh-CN"/>
        </w:rPr>
        <w:t>泸定县人力资源和社会保障局</w:t>
      </w:r>
      <w:r>
        <w:rPr>
          <w:rFonts w:hint="eastAsia" w:ascii="方正仿宋简体" w:hAnsi="方正仿宋简体" w:eastAsia="方正仿宋简体" w:cs="方正仿宋简体"/>
          <w:color w:val="auto"/>
          <w:sz w:val="32"/>
          <w:szCs w:val="32"/>
          <w:highlight w:val="none"/>
          <w:lang w:val="fr-FR"/>
        </w:rPr>
        <w:t>的实际情况，对</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w:t>
      </w:r>
      <w:r>
        <w:rPr>
          <w:rFonts w:hint="eastAsia" w:ascii="方正仿宋简体" w:hAnsi="方正仿宋简体" w:eastAsia="方正仿宋简体" w:cs="方正仿宋简体"/>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eastAsia="zh-CN"/>
        </w:rPr>
      </w:pPr>
      <w:bookmarkStart w:id="10" w:name="_Toc799907804"/>
      <w:bookmarkStart w:id="11" w:name="_Toc26009"/>
      <w:bookmarkStart w:id="12" w:name="_Toc12546"/>
      <w:bookmarkStart w:id="13" w:name="_Toc10147"/>
      <w:bookmarkStart w:id="14" w:name="_Toc18579"/>
      <w:bookmarkStart w:id="15" w:name="_Toc5633"/>
      <w:bookmarkStart w:id="16" w:name="_Toc12971"/>
      <w:r>
        <w:rPr>
          <w:rFonts w:hint="eastAsia" w:ascii="方正黑体简体" w:hAnsi="方正黑体简体" w:eastAsia="方正黑体简体" w:cs="方正黑体简体"/>
          <w:color w:val="auto"/>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auto"/>
          <w:kern w:val="0"/>
          <w:sz w:val="32"/>
          <w:szCs w:val="32"/>
          <w:highlight w:val="none"/>
          <w:shd w:val="clear" w:color="auto" w:fill="FFFFFF"/>
        </w:rPr>
        <w:t>部门</w:t>
      </w:r>
      <w:bookmarkEnd w:id="9"/>
      <w:bookmarkEnd w:id="10"/>
      <w:bookmarkEnd w:id="11"/>
      <w:bookmarkStart w:id="17" w:name="_Toc109483834"/>
      <w:bookmarkStart w:id="18" w:name="_Toc16549"/>
      <w:bookmarkStart w:id="19" w:name="_Toc30550"/>
      <w:r>
        <w:rPr>
          <w:rFonts w:hint="eastAsia" w:ascii="方正黑体简体" w:hAnsi="方正黑体简体" w:eastAsia="方正黑体简体" w:cs="方正黑体简体"/>
          <w:color w:val="auto"/>
          <w:kern w:val="0"/>
          <w:sz w:val="32"/>
          <w:szCs w:val="32"/>
          <w:highlight w:val="none"/>
          <w:shd w:val="clear" w:color="auto" w:fill="FFFFFF"/>
          <w:lang w:val="en-US" w:eastAsia="zh-CN"/>
        </w:rPr>
        <w:t>概况</w:t>
      </w:r>
      <w:bookmarkEnd w:id="12"/>
      <w:bookmarkEnd w:id="13"/>
      <w:bookmarkEnd w:id="14"/>
      <w:bookmarkEnd w:id="15"/>
      <w:bookmarkEnd w:id="16"/>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20" w:name="_Toc419097264"/>
      <w:bookmarkStart w:id="21" w:name="_Toc7513"/>
      <w:bookmarkStart w:id="22" w:name="_Toc24161"/>
      <w:bookmarkStart w:id="23" w:name="_Toc2337"/>
      <w:bookmarkStart w:id="24" w:name="_Toc20865"/>
      <w:bookmarkStart w:id="25" w:name="_Toc14834"/>
      <w:bookmarkStart w:id="26" w:name="_Toc7675"/>
      <w:r>
        <w:rPr>
          <w:rFonts w:hint="eastAsia" w:ascii="方正楷体简体" w:hAnsi="方正楷体简体" w:eastAsia="方正楷体简体" w:cs="方正楷体简体"/>
          <w:color w:val="auto"/>
          <w:kern w:val="2"/>
          <w:sz w:val="32"/>
          <w:szCs w:val="32"/>
          <w:highlight w:val="none"/>
          <w:shd w:val="clear"/>
          <w:lang w:val="zh-CN"/>
        </w:rPr>
        <w:t>（一）</w:t>
      </w:r>
      <w:bookmarkEnd w:id="17"/>
      <w:bookmarkEnd w:id="18"/>
      <w:bookmarkEnd w:id="19"/>
      <w:bookmarkEnd w:id="20"/>
      <w:bookmarkEnd w:id="21"/>
      <w:r>
        <w:rPr>
          <w:rFonts w:hint="eastAsia" w:ascii="方正楷体简体" w:hAnsi="方正楷体简体" w:eastAsia="方正楷体简体" w:cs="方正楷体简体"/>
          <w:color w:val="auto"/>
          <w:kern w:val="2"/>
          <w:sz w:val="32"/>
          <w:szCs w:val="32"/>
          <w:highlight w:val="none"/>
          <w:shd w:val="clear"/>
          <w:lang w:val="zh-CN" w:eastAsia="zh-CN"/>
        </w:rPr>
        <w:t>部门基本情况</w:t>
      </w:r>
      <w:bookmarkEnd w:id="22"/>
      <w:bookmarkEnd w:id="23"/>
      <w:bookmarkEnd w:id="24"/>
      <w:bookmarkEnd w:id="25"/>
      <w:bookmarkEnd w:id="26"/>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27" w:name="_Toc109483835"/>
      <w:r>
        <w:rPr>
          <w:rFonts w:hint="eastAsia" w:ascii="方正仿宋简体" w:hAnsi="方正仿宋简体" w:eastAsia="方正仿宋简体" w:cs="方正仿宋简体"/>
          <w:color w:val="auto"/>
          <w:sz w:val="32"/>
          <w:szCs w:val="32"/>
          <w:highlight w:val="none"/>
          <w:lang w:val="fr-FR"/>
        </w:rPr>
        <w:t>泸定县人力资源和社会保障局，属财政补助的一级预算单位，机构性质：公益一类；单位负责人：向阳牧；统一社会信用代码：</w:t>
      </w:r>
      <w:r>
        <w:rPr>
          <w:rFonts w:hint="default" w:ascii="Times New Roman" w:hAnsi="Times New Roman" w:eastAsia="方正仿宋简体" w:cs="Times New Roman"/>
          <w:color w:val="auto"/>
          <w:sz w:val="32"/>
          <w:szCs w:val="32"/>
          <w:highlight w:val="none"/>
          <w:lang w:val="fr-FR"/>
        </w:rPr>
        <w:t>115133220089782309</w:t>
      </w:r>
      <w:r>
        <w:rPr>
          <w:rFonts w:hint="eastAsia" w:ascii="方正仿宋简体" w:hAnsi="方正仿宋简体" w:eastAsia="方正仿宋简体" w:cs="方正仿宋简体"/>
          <w:color w:val="auto"/>
          <w:sz w:val="32"/>
          <w:szCs w:val="32"/>
          <w:highlight w:val="none"/>
          <w:lang w:val="fr-FR"/>
        </w:rPr>
        <w:t>；单位所在地：泸定县田坝新城政务中心</w:t>
      </w:r>
      <w:r>
        <w:rPr>
          <w:rFonts w:hint="default" w:ascii="Times New Roman" w:hAnsi="Times New Roman" w:eastAsia="方正仿宋简体" w:cs="Times New Roman"/>
          <w:color w:val="auto"/>
          <w:sz w:val="32"/>
          <w:szCs w:val="32"/>
          <w:highlight w:val="none"/>
          <w:lang w:val="fr-FR"/>
        </w:rPr>
        <w:t>2</w:t>
      </w:r>
      <w:r>
        <w:rPr>
          <w:rFonts w:hint="eastAsia" w:ascii="方正仿宋简体" w:hAnsi="方正仿宋简体" w:eastAsia="方正仿宋简体" w:cs="方正仿宋简体"/>
          <w:color w:val="auto"/>
          <w:sz w:val="32"/>
          <w:szCs w:val="32"/>
          <w:highlight w:val="none"/>
          <w:lang w:val="fr-FR"/>
        </w:rPr>
        <w:t>楼</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 xml:space="preserve">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
        </w:rPr>
      </w:pPr>
      <w:bookmarkStart w:id="28" w:name="_Toc31223"/>
      <w:bookmarkStart w:id="29" w:name="_Toc17750"/>
      <w:bookmarkStart w:id="30" w:name="_Toc1278"/>
      <w:bookmarkStart w:id="31" w:name="_Toc5813"/>
      <w:bookmarkStart w:id="32" w:name="_Toc31409"/>
      <w:r>
        <w:rPr>
          <w:rFonts w:hint="eastAsia" w:ascii="方正楷体简体" w:hAnsi="方正楷体简体" w:eastAsia="方正楷体简体" w:cs="方正楷体简体"/>
          <w:color w:val="auto"/>
          <w:kern w:val="2"/>
          <w:sz w:val="32"/>
          <w:szCs w:val="32"/>
          <w:highlight w:val="none"/>
          <w:shd w:val="clear"/>
          <w:lang w:val="zh-CN" w:eastAsia="zh-CN"/>
        </w:rPr>
        <w:t>（二）部门</w:t>
      </w:r>
      <w:bookmarkEnd w:id="28"/>
      <w:bookmarkEnd w:id="29"/>
      <w:bookmarkEnd w:id="30"/>
      <w:r>
        <w:rPr>
          <w:rFonts w:hint="eastAsia" w:ascii="方正楷体简体" w:hAnsi="方正楷体简体" w:eastAsia="方正楷体简体" w:cs="方正楷体简体"/>
          <w:color w:val="auto"/>
          <w:kern w:val="2"/>
          <w:sz w:val="32"/>
          <w:szCs w:val="32"/>
          <w:highlight w:val="none"/>
          <w:shd w:val="clear"/>
          <w:lang w:val="zh-CN" w:eastAsia="zh"/>
        </w:rPr>
        <w:t>内设机构及人员概况</w:t>
      </w:r>
      <w:bookmarkEnd w:id="31"/>
      <w:bookmarkEnd w:id="32"/>
    </w:p>
    <w:p w14:paraId="0C9E2B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3" w:name="_Toc23186"/>
      <w:bookmarkStart w:id="34" w:name="_Toc9559"/>
      <w:bookmarkStart w:id="35" w:name="_Toc568184988"/>
      <w:bookmarkStart w:id="36" w:name="_Toc16978"/>
      <w:bookmarkStart w:id="37" w:name="_Toc22604"/>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根据</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2019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日中共泸定县委办公室、泸定县人民政府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办公室</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关于印发《泸定县人力资源和社会保障局职能配置、内设机构和人员编制规定》的通知，核定泸定县人力资源和社会保障局行政编制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名，其中：局长</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名，副局长</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名，股长（室主任）</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名，机关工勤人员控制数</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w:t>
      </w:r>
      <w:bookmarkEnd w:id="33"/>
      <w:bookmarkEnd w:id="34"/>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38" w:name="_Toc21666"/>
      <w:bookmarkStart w:id="39" w:name="_Toc7446"/>
      <w:r>
        <w:rPr>
          <w:rFonts w:hint="eastAsia" w:ascii="方正楷体简体" w:hAnsi="方正楷体简体" w:eastAsia="方正楷体简体" w:cs="方正楷体简体"/>
          <w:color w:val="auto"/>
          <w:kern w:val="2"/>
          <w:sz w:val="32"/>
          <w:szCs w:val="32"/>
          <w:highlight w:val="none"/>
          <w:shd w:val="clear"/>
          <w:lang w:val="zh-CN" w:eastAsia="zh-CN"/>
        </w:rPr>
        <w:t>（三）</w:t>
      </w:r>
      <w:bookmarkEnd w:id="27"/>
      <w:bookmarkEnd w:id="35"/>
      <w:bookmarkEnd w:id="36"/>
      <w:r>
        <w:rPr>
          <w:rFonts w:hint="eastAsia" w:ascii="方正楷体简体" w:hAnsi="方正楷体简体" w:eastAsia="方正楷体简体" w:cs="方正楷体简体"/>
          <w:color w:val="auto"/>
          <w:kern w:val="2"/>
          <w:sz w:val="32"/>
          <w:szCs w:val="32"/>
          <w:highlight w:val="none"/>
          <w:shd w:val="clear"/>
          <w:lang w:val="zh-CN" w:eastAsia="zh-CN"/>
        </w:rPr>
        <w:t>部门职能职责</w:t>
      </w:r>
      <w:bookmarkEnd w:id="37"/>
      <w:bookmarkEnd w:id="38"/>
      <w:bookmarkEnd w:id="39"/>
    </w:p>
    <w:p w14:paraId="4FC7EC8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40" w:name="_Toc33"/>
      <w:bookmarkStart w:id="41" w:name="_Toc109483836"/>
      <w:r>
        <w:rPr>
          <w:rFonts w:hint="eastAsia" w:ascii="方正仿宋简体" w:hAnsi="方正仿宋简体" w:eastAsia="方正仿宋简体" w:cs="方正仿宋简体"/>
          <w:color w:val="auto"/>
          <w:sz w:val="32"/>
          <w:szCs w:val="32"/>
          <w:highlight w:val="none"/>
          <w:lang w:val="fr-FR"/>
        </w:rPr>
        <w:t>泸定县人力资源和社会保障局的主要职责是</w:t>
      </w:r>
      <w:r>
        <w:rPr>
          <w:rFonts w:hint="eastAsia" w:ascii="方正仿宋简体" w:hAnsi="方正仿宋简体" w:eastAsia="方正仿宋简体" w:cs="方正仿宋简体"/>
          <w:color w:val="auto"/>
          <w:sz w:val="32"/>
          <w:szCs w:val="32"/>
          <w:highlight w:val="none"/>
          <w:lang w:val="fr-FR"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拟订人力资源和社会保障事业发展政策、规划，贯彻执行相关地方性法规、规章。</w:t>
      </w:r>
      <w:r>
        <w:rPr>
          <w:rFonts w:hint="eastAsia" w:ascii="方正仿宋简体" w:hAnsi="方正仿宋简体" w:eastAsia="方正仿宋简体" w:cs="方正仿宋简体"/>
          <w:color w:val="auto"/>
          <w:sz w:val="32"/>
          <w:szCs w:val="32"/>
          <w:highlight w:val="none"/>
          <w:lang w:val="fr-FR"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拟订并组织实施人力资源市场发展规划和人力资源服务业发展、人力资源流动政策，促进人力资源合理流动、有效配置。</w:t>
      </w:r>
      <w:r>
        <w:rPr>
          <w:rFonts w:hint="eastAsia" w:ascii="方正仿宋简体" w:hAnsi="方正仿宋简体" w:eastAsia="方正仿宋简体" w:cs="方正仿宋简体"/>
          <w:color w:val="auto"/>
          <w:sz w:val="32"/>
          <w:szCs w:val="32"/>
          <w:highlight w:val="none"/>
          <w:lang w:val="fr-FR" w:eastAsia="zh-CN"/>
        </w:rPr>
        <w:t>（</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负责促进就业工作。拟订统筹城乡的就业发展规划和政策，完善公共就业服务体系，统筹建立面向城乡劳动者的职业培训制度，组织落实创业、就业援助制度，牵头拟订高校毕业生就业政策。</w:t>
      </w:r>
      <w:r>
        <w:rPr>
          <w:rFonts w:hint="eastAsia" w:ascii="方正仿宋简体" w:hAnsi="方正仿宋简体" w:eastAsia="方正仿宋简体" w:cs="方正仿宋简体"/>
          <w:color w:val="auto"/>
          <w:sz w:val="32"/>
          <w:szCs w:val="32"/>
          <w:highlight w:val="none"/>
          <w:lang w:val="fr-FR" w:eastAsia="zh-CN"/>
        </w:rPr>
        <w:t>（</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统筹推进建立覆盖城乡的多层次社会保障体系。贯彻执行城乡养老、工伤、失业等社会保险及其补充保险政策和标准。</w:t>
      </w:r>
      <w:r>
        <w:rPr>
          <w:rFonts w:hint="eastAsia" w:ascii="方正仿宋简体" w:hAnsi="方正仿宋简体" w:eastAsia="方正仿宋简体" w:cs="方正仿宋简体"/>
          <w:color w:val="auto"/>
          <w:sz w:val="32"/>
          <w:szCs w:val="32"/>
          <w:highlight w:val="none"/>
          <w:lang w:val="fr-FR" w:eastAsia="zh-CN"/>
        </w:rPr>
        <w:t>（</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贯彻落实养老保险全国统筹办法和全国统一的养老、失业、工伤保险关系转续办法</w:t>
      </w:r>
      <w:r>
        <w:rPr>
          <w:rFonts w:hint="eastAsia" w:ascii="方正仿宋简体" w:hAnsi="方正仿宋简体" w:eastAsia="方正仿宋简体" w:cs="方正仿宋简体"/>
          <w:color w:val="auto"/>
          <w:sz w:val="32"/>
          <w:szCs w:val="32"/>
          <w:highlight w:val="none"/>
          <w:lang w:val="en-US" w:eastAsia="zh-CN"/>
        </w:rPr>
        <w:t>等</w:t>
      </w:r>
      <w:r>
        <w:rPr>
          <w:rFonts w:hint="eastAsia" w:ascii="方正仿宋简体" w:hAnsi="方正仿宋简体" w:eastAsia="方正仿宋简体" w:cs="方正仿宋简体"/>
          <w:color w:val="auto"/>
          <w:sz w:val="32"/>
          <w:szCs w:val="32"/>
          <w:highlight w:val="none"/>
          <w:lang w:val="fr-FR"/>
        </w:rPr>
        <w:t>。</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zh-CN"/>
        </w:rPr>
      </w:pPr>
      <w:bookmarkStart w:id="42" w:name="_Toc14896"/>
      <w:bookmarkStart w:id="43" w:name="_Toc13707"/>
      <w:bookmarkStart w:id="44" w:name="_Toc16871"/>
      <w:bookmarkStart w:id="45" w:name="_Toc5978"/>
      <w:bookmarkStart w:id="46" w:name="_Toc1218480988"/>
      <w:bookmarkStart w:id="47" w:name="_Toc22594"/>
      <w:bookmarkStart w:id="48" w:name="_Toc8839"/>
      <w:r>
        <w:rPr>
          <w:rFonts w:hint="eastAsia" w:ascii="方正黑体简体" w:hAnsi="方正黑体简体" w:eastAsia="方正黑体简体" w:cs="方正黑体简体"/>
          <w:color w:val="auto"/>
          <w:kern w:val="0"/>
          <w:sz w:val="32"/>
          <w:szCs w:val="32"/>
          <w:highlight w:val="none"/>
          <w:shd w:val="clear" w:color="auto" w:fill="FFFFFF"/>
          <w:lang w:val="zh-CN"/>
        </w:rPr>
        <w:t>二、资金来源及使用情况</w:t>
      </w:r>
      <w:bookmarkEnd w:id="40"/>
      <w:bookmarkEnd w:id="41"/>
      <w:bookmarkEnd w:id="42"/>
      <w:bookmarkEnd w:id="43"/>
      <w:bookmarkEnd w:id="44"/>
      <w:bookmarkEnd w:id="45"/>
      <w:bookmarkEnd w:id="46"/>
      <w:bookmarkEnd w:id="47"/>
      <w:bookmarkEnd w:id="48"/>
      <w:bookmarkStart w:id="49" w:name="_Toc109483837"/>
      <w:bookmarkStart w:id="50" w:name="_Toc2659"/>
    </w:p>
    <w:bookmarkEnd w:id="49"/>
    <w:bookmarkEnd w:id="50"/>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rPr>
      </w:pPr>
      <w:bookmarkStart w:id="51" w:name="_Toc30428"/>
      <w:bookmarkStart w:id="52" w:name="_Toc25866"/>
      <w:bookmarkStart w:id="53" w:name="_Toc2374"/>
      <w:bookmarkStart w:id="54" w:name="_Toc1949541301"/>
      <w:bookmarkStart w:id="55" w:name="_Toc4329"/>
      <w:bookmarkStart w:id="56" w:name="_Toc15898"/>
      <w:bookmarkStart w:id="57" w:name="_Toc29180"/>
      <w:r>
        <w:rPr>
          <w:rFonts w:hint="eastAsia" w:ascii="方正楷体简体" w:hAnsi="方正楷体简体" w:eastAsia="方正楷体简体" w:cs="方正楷体简体"/>
          <w:color w:val="auto"/>
          <w:kern w:val="2"/>
          <w:sz w:val="32"/>
          <w:szCs w:val="32"/>
          <w:highlight w:val="none"/>
          <w:shd w:val="clear"/>
          <w:lang w:val="zh-CN"/>
        </w:rPr>
        <w:t>（</w:t>
      </w:r>
      <w:r>
        <w:rPr>
          <w:rFonts w:hint="eastAsia" w:ascii="方正楷体简体" w:hAnsi="方正楷体简体" w:eastAsia="方正楷体简体" w:cs="方正楷体简体"/>
          <w:color w:val="auto"/>
          <w:kern w:val="2"/>
          <w:sz w:val="32"/>
          <w:szCs w:val="32"/>
          <w:highlight w:val="none"/>
          <w:shd w:val="clear"/>
          <w:lang w:val="fr-FR"/>
        </w:rPr>
        <w:t>一</w:t>
      </w:r>
      <w:r>
        <w:rPr>
          <w:rFonts w:hint="eastAsia" w:ascii="方正楷体简体" w:hAnsi="方正楷体简体" w:eastAsia="方正楷体简体" w:cs="方正楷体简体"/>
          <w:color w:val="auto"/>
          <w:kern w:val="2"/>
          <w:sz w:val="32"/>
          <w:szCs w:val="32"/>
          <w:highlight w:val="none"/>
          <w:shd w:val="clear"/>
          <w:lang w:val="zh-CN"/>
        </w:rPr>
        <w:t>）部门资金收入</w:t>
      </w:r>
      <w:r>
        <w:rPr>
          <w:rFonts w:hint="eastAsia" w:ascii="方正楷体简体" w:hAnsi="方正楷体简体" w:eastAsia="方正楷体简体" w:cs="方正楷体简体"/>
          <w:color w:val="auto"/>
          <w:kern w:val="2"/>
          <w:sz w:val="32"/>
          <w:szCs w:val="32"/>
          <w:highlight w:val="none"/>
          <w:shd w:val="clear"/>
          <w:lang w:val="fr-FR"/>
        </w:rPr>
        <w:t>决算</w:t>
      </w:r>
      <w:r>
        <w:rPr>
          <w:rFonts w:hint="eastAsia" w:ascii="方正楷体简体" w:hAnsi="方正楷体简体" w:eastAsia="方正楷体简体" w:cs="方正楷体简体"/>
          <w:color w:val="auto"/>
          <w:kern w:val="2"/>
          <w:sz w:val="32"/>
          <w:szCs w:val="32"/>
          <w:highlight w:val="none"/>
          <w:shd w:val="clear"/>
          <w:lang w:val="zh-CN"/>
        </w:rPr>
        <w:t>情况</w:t>
      </w:r>
      <w:bookmarkEnd w:id="51"/>
      <w:bookmarkEnd w:id="52"/>
      <w:bookmarkEnd w:id="53"/>
      <w:bookmarkEnd w:id="54"/>
      <w:bookmarkEnd w:id="55"/>
      <w:bookmarkEnd w:id="56"/>
      <w:bookmarkEnd w:id="57"/>
      <w:bookmarkStart w:id="58" w:name="_Toc19132"/>
    </w:p>
    <w:bookmarkEnd w:id="58"/>
    <w:p w14:paraId="001FEF0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
        </w:rPr>
      </w:pPr>
      <w:bookmarkStart w:id="59" w:name="_Toc19326"/>
      <w:bookmarkStart w:id="60" w:name="_Toc349786989"/>
      <w:bookmarkStart w:id="61" w:name="_Toc109483838"/>
      <w:bookmarkStart w:id="62" w:name="_Toc27782"/>
      <w:bookmarkStart w:id="63" w:name="_Toc21171"/>
      <w:bookmarkStart w:id="64" w:name="_Toc17751"/>
      <w:bookmarkStart w:id="65" w:name="_Toc27073"/>
      <w:r>
        <w:rPr>
          <w:rFonts w:hint="default" w:ascii="Times New Roman" w:hAnsi="Times New Roman" w:eastAsia="方正仿宋简体" w:cs="Times New Roman"/>
          <w:color w:val="auto"/>
          <w:sz w:val="32"/>
          <w:szCs w:val="32"/>
          <w:highlight w:val="none"/>
          <w:lang w:val="zh-CN" w:eastAsia="zh"/>
        </w:rPr>
        <w:t>2023</w:t>
      </w:r>
      <w:r>
        <w:rPr>
          <w:rFonts w:hint="eastAsia" w:ascii="方正仿宋简体" w:hAnsi="方正仿宋简体" w:eastAsia="方正仿宋简体" w:cs="方正仿宋简体"/>
          <w:color w:val="auto"/>
          <w:sz w:val="32"/>
          <w:szCs w:val="32"/>
          <w:highlight w:val="none"/>
          <w:lang w:val="zh-CN" w:eastAsia="zh"/>
        </w:rPr>
        <w:t>年</w:t>
      </w:r>
      <w:r>
        <w:rPr>
          <w:rFonts w:hint="eastAsia" w:ascii="方正仿宋简体" w:hAnsi="方正仿宋简体" w:eastAsia="方正仿宋简体" w:cs="方正仿宋简体"/>
          <w:color w:val="auto"/>
          <w:sz w:val="32"/>
          <w:szCs w:val="32"/>
          <w:highlight w:val="none"/>
          <w:lang w:val="en-US" w:eastAsia="zh-CN"/>
        </w:rPr>
        <w:t>泸定县人力资源和社会保障局收入总计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049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37</w:t>
      </w:r>
      <w:r>
        <w:rPr>
          <w:rFonts w:hint="eastAsia" w:ascii="方正仿宋简体" w:hAnsi="方正仿宋简体" w:eastAsia="方正仿宋简体" w:cs="方正仿宋简体"/>
          <w:color w:val="auto"/>
          <w:sz w:val="32"/>
          <w:szCs w:val="32"/>
          <w:highlight w:val="none"/>
          <w:lang w:val="zh-CN" w:eastAsia="zh"/>
        </w:rPr>
        <w:t>万元，其中：一般公共预算财政拨款收入</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049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37</w:t>
      </w:r>
      <w:r>
        <w:rPr>
          <w:rFonts w:hint="eastAsia" w:ascii="方正仿宋简体" w:hAnsi="方正仿宋简体" w:eastAsia="方正仿宋简体" w:cs="方正仿宋简体"/>
          <w:color w:val="auto"/>
          <w:sz w:val="32"/>
          <w:szCs w:val="32"/>
          <w:highlight w:val="none"/>
          <w:lang w:val="zh-CN" w:eastAsia="zh"/>
        </w:rPr>
        <w:t>万元、其他收入</w:t>
      </w:r>
      <w:r>
        <w:rPr>
          <w:rFonts w:hint="default" w:ascii="Times New Roman" w:hAnsi="Times New Roman" w:eastAsia="方正仿宋简体" w:cs="Times New Roman"/>
          <w:color w:val="auto"/>
          <w:sz w:val="32"/>
          <w:szCs w:val="32"/>
          <w:highlight w:val="none"/>
          <w:lang w:val="zh-CN" w:eastAsia="zh"/>
        </w:rPr>
        <w:t>0</w:t>
      </w:r>
      <w:r>
        <w:rPr>
          <w:rFonts w:hint="eastAsia" w:ascii="方正仿宋简体" w:hAnsi="方正仿宋简体" w:eastAsia="方正仿宋简体" w:cs="方正仿宋简体"/>
          <w:color w:val="auto"/>
          <w:sz w:val="32"/>
          <w:szCs w:val="32"/>
          <w:highlight w:val="none"/>
          <w:lang w:val="zh-CN" w:eastAsia="zh"/>
        </w:rPr>
        <w:t>.</w:t>
      </w:r>
      <w:r>
        <w:rPr>
          <w:rFonts w:hint="default" w:ascii="Times New Roman" w:hAnsi="Times New Roman" w:eastAsia="方正仿宋简体" w:cs="Times New Roman"/>
          <w:color w:val="auto"/>
          <w:sz w:val="32"/>
          <w:szCs w:val="32"/>
          <w:highlight w:val="none"/>
          <w:lang w:val="zh-CN" w:eastAsia="zh"/>
        </w:rPr>
        <w:t>00</w:t>
      </w:r>
      <w:r>
        <w:rPr>
          <w:rFonts w:hint="eastAsia" w:ascii="方正仿宋简体" w:hAnsi="方正仿宋简体" w:eastAsia="方正仿宋简体" w:cs="方正仿宋简体"/>
          <w:color w:val="auto"/>
          <w:sz w:val="32"/>
          <w:szCs w:val="32"/>
          <w:highlight w:val="none"/>
          <w:lang w:val="zh-CN" w:eastAsia="zh"/>
        </w:rPr>
        <w:t>万元。</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rPr>
      </w:pPr>
      <w:bookmarkStart w:id="66" w:name="_Toc21770"/>
      <w:bookmarkStart w:id="67" w:name="_Toc22672"/>
      <w:r>
        <w:rPr>
          <w:rFonts w:hint="eastAsia" w:ascii="方正楷体简体" w:hAnsi="方正楷体简体" w:eastAsia="方正楷体简体" w:cs="方正楷体简体"/>
          <w:color w:val="auto"/>
          <w:kern w:val="2"/>
          <w:sz w:val="32"/>
          <w:szCs w:val="32"/>
          <w:highlight w:val="none"/>
          <w:shd w:val="clear"/>
          <w:lang w:val="zh-CN"/>
        </w:rPr>
        <w:t>（二）部门资金支出决算情况</w:t>
      </w:r>
      <w:bookmarkEnd w:id="59"/>
      <w:bookmarkEnd w:id="60"/>
      <w:bookmarkEnd w:id="61"/>
      <w:bookmarkEnd w:id="62"/>
      <w:bookmarkEnd w:id="63"/>
      <w:bookmarkEnd w:id="64"/>
      <w:bookmarkEnd w:id="65"/>
      <w:bookmarkEnd w:id="66"/>
      <w:bookmarkEnd w:id="67"/>
    </w:p>
    <w:p w14:paraId="1FF614A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68" w:name="_Toc24721"/>
      <w:bookmarkStart w:id="69" w:name="_Toc18390"/>
      <w:bookmarkStart w:id="70" w:name="_Toc10837"/>
      <w:bookmarkStart w:id="71" w:name="_Toc809"/>
      <w:bookmarkStart w:id="72" w:name="_Toc13841"/>
      <w:bookmarkStart w:id="73" w:name="_Toc109483839"/>
      <w:bookmarkStart w:id="74" w:name="_Toc1457008154"/>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w:t>
      </w:r>
      <w:r>
        <w:rPr>
          <w:rFonts w:hint="eastAsia" w:ascii="方正仿宋简体" w:hAnsi="方正仿宋简体" w:eastAsia="方正仿宋简体" w:cs="方正仿宋简体"/>
          <w:color w:val="auto"/>
          <w:sz w:val="32"/>
          <w:szCs w:val="32"/>
          <w:highlight w:val="none"/>
          <w:lang w:val="en-US" w:eastAsia="zh-CN"/>
        </w:rPr>
        <w:t>泸定县人力资源和社会保障局支出总计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049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37</w:t>
      </w:r>
      <w:r>
        <w:rPr>
          <w:rFonts w:hint="eastAsia" w:ascii="方正仿宋简体" w:hAnsi="方正仿宋简体" w:eastAsia="方正仿宋简体" w:cs="方正仿宋简体"/>
          <w:color w:val="auto"/>
          <w:sz w:val="32"/>
          <w:szCs w:val="32"/>
          <w:highlight w:val="none"/>
          <w:lang w:val="en-US" w:eastAsia="zh"/>
        </w:rPr>
        <w:t>万元，其中</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en-US" w:eastAsia="zh"/>
        </w:rPr>
        <w:t>基本支出</w:t>
      </w:r>
      <w:r>
        <w:rPr>
          <w:rFonts w:hint="default" w:ascii="Times New Roman" w:hAnsi="Times New Roman" w:eastAsia="方正仿宋简体" w:cs="Times New Roman"/>
          <w:color w:val="auto"/>
          <w:sz w:val="32"/>
          <w:szCs w:val="32"/>
          <w:highlight w:val="none"/>
          <w:lang w:val="en-US" w:eastAsia="zh-CN"/>
        </w:rPr>
        <w:t>824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92</w:t>
      </w:r>
      <w:r>
        <w:rPr>
          <w:rFonts w:hint="eastAsia" w:ascii="方正仿宋简体" w:hAnsi="方正仿宋简体" w:eastAsia="方正仿宋简体" w:cs="方正仿宋简体"/>
          <w:color w:val="auto"/>
          <w:sz w:val="32"/>
          <w:szCs w:val="32"/>
          <w:highlight w:val="none"/>
          <w:lang w:val="en-US" w:eastAsia="zh"/>
        </w:rPr>
        <w:t>万元（人员经费</w:t>
      </w:r>
      <w:r>
        <w:rPr>
          <w:rFonts w:hint="default" w:ascii="Times New Roman" w:hAnsi="Times New Roman" w:eastAsia="方正仿宋简体" w:cs="Times New Roman"/>
          <w:color w:val="auto"/>
          <w:sz w:val="32"/>
          <w:szCs w:val="32"/>
          <w:highlight w:val="none"/>
          <w:lang w:val="en-US" w:eastAsia="zh-CN"/>
        </w:rPr>
        <w:t>727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61</w:t>
      </w:r>
      <w:r>
        <w:rPr>
          <w:rFonts w:hint="eastAsia" w:ascii="方正仿宋简体" w:hAnsi="方正仿宋简体" w:eastAsia="方正仿宋简体" w:cs="方正仿宋简体"/>
          <w:color w:val="auto"/>
          <w:sz w:val="32"/>
          <w:szCs w:val="32"/>
          <w:highlight w:val="none"/>
          <w:lang w:val="en-US" w:eastAsia="zh"/>
        </w:rPr>
        <w:t>万元、日常公用经费</w:t>
      </w:r>
      <w:r>
        <w:rPr>
          <w:rFonts w:hint="default" w:ascii="Times New Roman" w:hAnsi="Times New Roman" w:eastAsia="方正仿宋简体" w:cs="Times New Roman"/>
          <w:color w:val="auto"/>
          <w:sz w:val="32"/>
          <w:szCs w:val="32"/>
          <w:highlight w:val="none"/>
          <w:lang w:val="en-US" w:eastAsia="zh-CN"/>
        </w:rPr>
        <w:t>97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31</w:t>
      </w:r>
      <w:r>
        <w:rPr>
          <w:rFonts w:hint="eastAsia" w:ascii="方正仿宋简体" w:hAnsi="方正仿宋简体" w:eastAsia="方正仿宋简体" w:cs="方正仿宋简体"/>
          <w:color w:val="auto"/>
          <w:sz w:val="32"/>
          <w:szCs w:val="32"/>
          <w:highlight w:val="none"/>
          <w:lang w:val="en-US" w:eastAsia="zh"/>
        </w:rPr>
        <w:t xml:space="preserve">万元），项目支出 </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224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45</w:t>
      </w:r>
      <w:r>
        <w:rPr>
          <w:rFonts w:hint="eastAsia" w:ascii="方正仿宋简体" w:hAnsi="方正仿宋简体" w:eastAsia="方正仿宋简体" w:cs="方正仿宋简体"/>
          <w:color w:val="auto"/>
          <w:sz w:val="32"/>
          <w:szCs w:val="32"/>
          <w:highlight w:val="none"/>
          <w:lang w:val="en-US" w:eastAsia="zh"/>
        </w:rPr>
        <w:t>万元。</w:t>
      </w:r>
      <w:r>
        <w:rPr>
          <w:rFonts w:hint="eastAsia" w:ascii="方正仿宋简体" w:hAnsi="方正仿宋简体" w:eastAsia="方正仿宋简体" w:cs="方正仿宋简体"/>
          <w:color w:val="auto"/>
          <w:sz w:val="32"/>
          <w:szCs w:val="32"/>
          <w:highlight w:val="none"/>
          <w:lang w:val="en-US" w:eastAsia="zh-CN"/>
        </w:rPr>
        <w:t>期末结余结转</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en-US" w:eastAsia="zh-CN"/>
        </w:rPr>
      </w:pPr>
      <w:bookmarkStart w:id="75" w:name="_Toc10579"/>
      <w:bookmarkStart w:id="76" w:name="_Toc23657"/>
      <w:r>
        <w:rPr>
          <w:rFonts w:hint="eastAsia" w:ascii="方正黑体简体" w:hAnsi="方正黑体简体" w:eastAsia="方正黑体简体" w:cs="方正黑体简体"/>
          <w:color w:val="auto"/>
          <w:kern w:val="0"/>
          <w:sz w:val="32"/>
          <w:szCs w:val="32"/>
          <w:highlight w:val="none"/>
          <w:shd w:val="clear" w:color="auto" w:fill="FFFFFF"/>
        </w:rPr>
        <w:t>三、</w:t>
      </w:r>
      <w:r>
        <w:rPr>
          <w:rFonts w:hint="eastAsia" w:ascii="方正黑体简体" w:hAnsi="方正黑体简体" w:eastAsia="方正黑体简体" w:cs="方正黑体简体"/>
          <w:color w:val="auto"/>
          <w:kern w:val="0"/>
          <w:sz w:val="32"/>
          <w:szCs w:val="32"/>
          <w:highlight w:val="none"/>
          <w:shd w:val="clear" w:color="auto" w:fill="FFFFFF"/>
          <w:lang w:val="en-US" w:eastAsia="zh-CN"/>
        </w:rPr>
        <w:t>部门目标实现情况</w:t>
      </w:r>
      <w:bookmarkEnd w:id="68"/>
      <w:bookmarkEnd w:id="69"/>
      <w:bookmarkEnd w:id="70"/>
      <w:bookmarkEnd w:id="75"/>
      <w:bookmarkEnd w:id="76"/>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77" w:name="_Toc1418"/>
      <w:bookmarkStart w:id="78" w:name="_Toc18146"/>
      <w:bookmarkStart w:id="79" w:name="_Toc28974"/>
      <w:bookmarkStart w:id="80" w:name="_Toc3573"/>
      <w:bookmarkStart w:id="81" w:name="_Toc28011"/>
      <w:r>
        <w:rPr>
          <w:rFonts w:hint="eastAsia" w:ascii="方正楷体简体" w:hAnsi="方正楷体简体" w:eastAsia="方正楷体简体" w:cs="方正楷体简体"/>
          <w:color w:val="auto"/>
          <w:kern w:val="2"/>
          <w:sz w:val="32"/>
          <w:szCs w:val="32"/>
          <w:highlight w:val="none"/>
          <w:shd w:val="clear"/>
          <w:lang w:val="zh-CN" w:eastAsia="zh-CN"/>
        </w:rPr>
        <w:t>（一）总体目标</w:t>
      </w:r>
      <w:bookmarkEnd w:id="77"/>
      <w:bookmarkEnd w:id="78"/>
      <w:bookmarkEnd w:id="79"/>
      <w:bookmarkEnd w:id="80"/>
      <w:bookmarkEnd w:id="81"/>
    </w:p>
    <w:p w14:paraId="3B7BFA3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2" w:name="_Toc11959"/>
      <w:bookmarkStart w:id="83" w:name="_Toc24652"/>
      <w:bookmarkStart w:id="84" w:name="_Toc132"/>
      <w:r>
        <w:rPr>
          <w:rFonts w:hint="eastAsia" w:ascii="方正仿宋简体" w:hAnsi="方正仿宋简体" w:eastAsia="方正仿宋简体" w:cs="方正仿宋简体"/>
          <w:color w:val="auto"/>
          <w:sz w:val="32"/>
          <w:szCs w:val="32"/>
          <w:highlight w:val="none"/>
          <w:lang w:val="en-US" w:eastAsia="zh-CN"/>
        </w:rPr>
        <w:t>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主要工作为群众提供就业服务、农民工工资清欠与维权工作服务、完成社会保险参保、开展劳动监察、及时支付社保待遇等服务。做好为民办实事、事业干部考核、招考及人才引进工作，受理劳动争议仲裁案件，规范流动人员档案管理，建立和谐劳动关系。</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85" w:name="_Toc22500"/>
      <w:bookmarkStart w:id="86" w:name="_Toc21022"/>
      <w:r>
        <w:rPr>
          <w:rFonts w:hint="eastAsia" w:ascii="方正楷体简体" w:hAnsi="方正楷体简体" w:eastAsia="方正楷体简体" w:cs="方正楷体简体"/>
          <w:color w:val="auto"/>
          <w:kern w:val="2"/>
          <w:sz w:val="32"/>
          <w:szCs w:val="32"/>
          <w:highlight w:val="none"/>
          <w:shd w:val="clear"/>
          <w:lang w:val="zh-CN" w:eastAsia="zh-CN"/>
        </w:rPr>
        <w:t>（二）具体目标</w:t>
      </w:r>
      <w:bookmarkEnd w:id="82"/>
      <w:bookmarkEnd w:id="83"/>
      <w:bookmarkEnd w:id="84"/>
      <w:bookmarkEnd w:id="85"/>
      <w:bookmarkEnd w:id="86"/>
    </w:p>
    <w:p w14:paraId="54A408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7" w:name="_Toc17536"/>
      <w:bookmarkStart w:id="88" w:name="_Toc6491"/>
      <w:bookmarkStart w:id="89" w:name="_Toc24081"/>
      <w:r>
        <w:rPr>
          <w:rFonts w:hint="eastAsia" w:ascii="方正仿宋简体" w:hAnsi="方正仿宋简体" w:eastAsia="方正仿宋简体" w:cs="方正仿宋简体"/>
          <w:color w:val="auto"/>
          <w:sz w:val="32"/>
          <w:szCs w:val="32"/>
          <w:highlight w:val="none"/>
          <w:lang w:val="en-US" w:eastAsia="zh-CN"/>
        </w:rPr>
        <w:t>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年认真落实中央、省、州纪委全会部署安排，完成了以下工作任务：</w:t>
      </w:r>
    </w:p>
    <w:p w14:paraId="0507A8C2">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.以建设学习型、服务型、创新型党组织为目标，严格落实学习制度，弘扬理论联系实际的学风，营造浓厚的学习氛围。</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年党组中心组专题学习</w:t>
      </w:r>
      <w:r>
        <w:rPr>
          <w:rFonts w:hint="default" w:ascii="Times New Roman" w:hAnsi="Times New Roman" w:eastAsia="方正仿宋简体" w:cs="Times New Roman"/>
          <w:color w:val="auto"/>
          <w:sz w:val="32"/>
          <w:szCs w:val="32"/>
          <w:highlight w:val="none"/>
          <w:lang w:val="en-US" w:eastAsia="zh-CN"/>
        </w:rPr>
        <w:t>22</w:t>
      </w:r>
      <w:r>
        <w:rPr>
          <w:rFonts w:hint="eastAsia" w:ascii="方正仿宋简体" w:hAnsi="方正仿宋简体" w:eastAsia="方正仿宋简体" w:cs="方正仿宋简体"/>
          <w:color w:val="auto"/>
          <w:sz w:val="32"/>
          <w:szCs w:val="32"/>
          <w:highlight w:val="none"/>
          <w:lang w:val="en-US" w:eastAsia="zh-CN"/>
        </w:rPr>
        <w:t>次，撰写调研报告</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篇，下乡调研</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余次。加强规范化支部建设。认真落实“三会一课”，召开学习会议</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次，开展主题党日活动</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次，实现</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名预备党员转正。抓实主题教育活动开展党组理论学习中心组学习</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次、专题研讨</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次，</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名领导干部讲授了专题党课，支部开展集中学习共计</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次，抓好专题研讨围绕“四下基层”“牢记嘱托 感恩奋进”等专题，通过个人自学、集中研读、交流研讨，深入开展理论学习。</w:t>
      </w:r>
    </w:p>
    <w:p w14:paraId="0D3FF960">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.全力推进省州民生实事，各项目标任务超额超序时完成。全年城镇新增就业</w:t>
      </w:r>
      <w:r>
        <w:rPr>
          <w:rFonts w:hint="default" w:ascii="Times New Roman" w:hAnsi="Times New Roman" w:eastAsia="方正仿宋简体" w:cs="Times New Roman"/>
          <w:color w:val="auto"/>
          <w:sz w:val="32"/>
          <w:szCs w:val="32"/>
          <w:highlight w:val="none"/>
          <w:lang w:val="en-US" w:eastAsia="zh-CN"/>
        </w:rPr>
        <w:t>648</w:t>
      </w:r>
      <w:r>
        <w:rPr>
          <w:rFonts w:hint="eastAsia" w:ascii="方正仿宋简体" w:hAnsi="方正仿宋简体" w:eastAsia="方正仿宋简体" w:cs="方正仿宋简体"/>
          <w:color w:val="auto"/>
          <w:sz w:val="32"/>
          <w:szCs w:val="32"/>
          <w:highlight w:val="none"/>
          <w:lang w:val="en-US" w:eastAsia="zh-CN"/>
        </w:rPr>
        <w:t>人，完成目标任务的</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47%</w:t>
      </w:r>
      <w:r>
        <w:rPr>
          <w:rFonts w:hint="eastAsia" w:ascii="方正仿宋简体" w:hAnsi="方正仿宋简体" w:eastAsia="方正仿宋简体" w:cs="方正仿宋简体"/>
          <w:color w:val="auto"/>
          <w:sz w:val="32"/>
          <w:szCs w:val="32"/>
          <w:highlight w:val="none"/>
          <w:lang w:val="en-US" w:eastAsia="zh-CN"/>
        </w:rPr>
        <w:t>；开发公益性岗位</w:t>
      </w:r>
      <w:r>
        <w:rPr>
          <w:rFonts w:hint="default" w:ascii="Times New Roman" w:hAnsi="Times New Roman" w:eastAsia="方正仿宋简体" w:cs="Times New Roman"/>
          <w:color w:val="auto"/>
          <w:sz w:val="32"/>
          <w:szCs w:val="32"/>
          <w:highlight w:val="none"/>
          <w:lang w:val="en-US" w:eastAsia="zh-CN"/>
        </w:rPr>
        <w:t>1292</w:t>
      </w:r>
      <w:r>
        <w:rPr>
          <w:rFonts w:hint="eastAsia" w:ascii="方正仿宋简体" w:hAnsi="方正仿宋简体" w:eastAsia="方正仿宋简体" w:cs="方正仿宋简体"/>
          <w:color w:val="auto"/>
          <w:sz w:val="32"/>
          <w:szCs w:val="32"/>
          <w:highlight w:val="none"/>
          <w:lang w:val="en-US" w:eastAsia="zh-CN"/>
        </w:rPr>
        <w:t>个，完成目标任务的</w:t>
      </w:r>
      <w:r>
        <w:rPr>
          <w:rFonts w:hint="default" w:ascii="Times New Roman" w:hAnsi="Times New Roman" w:eastAsia="方正仿宋简体" w:cs="Times New Roman"/>
          <w:color w:val="auto"/>
          <w:sz w:val="32"/>
          <w:szCs w:val="32"/>
          <w:highlight w:val="none"/>
          <w:lang w:val="en-US" w:eastAsia="zh-CN"/>
        </w:rPr>
        <w:t>202%</w:t>
      </w:r>
      <w:r>
        <w:rPr>
          <w:rFonts w:hint="eastAsia" w:ascii="方正仿宋简体" w:hAnsi="方正仿宋简体" w:eastAsia="方正仿宋简体" w:cs="方正仿宋简体"/>
          <w:color w:val="auto"/>
          <w:sz w:val="32"/>
          <w:szCs w:val="32"/>
          <w:highlight w:val="none"/>
          <w:lang w:val="en-US" w:eastAsia="zh-CN"/>
        </w:rPr>
        <w:t>；促进新能源用工</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人，完成目标任务</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人的</w:t>
      </w:r>
      <w:r>
        <w:rPr>
          <w:rFonts w:hint="default" w:ascii="Times New Roman" w:hAnsi="Times New Roman" w:eastAsia="方正仿宋简体" w:cs="Times New Roman"/>
          <w:color w:val="auto"/>
          <w:sz w:val="32"/>
          <w:szCs w:val="32"/>
          <w:highlight w:val="none"/>
          <w:lang w:val="en-US" w:eastAsia="zh-CN"/>
        </w:rPr>
        <w:t>120%</w:t>
      </w:r>
      <w:r>
        <w:rPr>
          <w:rFonts w:hint="eastAsia" w:ascii="方正仿宋简体" w:hAnsi="方正仿宋简体" w:eastAsia="方正仿宋简体" w:cs="方正仿宋简体"/>
          <w:color w:val="auto"/>
          <w:sz w:val="32"/>
          <w:szCs w:val="32"/>
          <w:highlight w:val="none"/>
          <w:lang w:val="en-US" w:eastAsia="zh-CN"/>
        </w:rPr>
        <w:t>，城镇登记失业率控制在</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 xml:space="preserve">以内。全力推进乡村振兴、巩固脱贫就业帮扶工作，高质高效超量完成既定目标任务。建成农民工党群服务站 </w:t>
      </w:r>
      <w:r>
        <w:rPr>
          <w:rFonts w:hint="default" w:ascii="Times New Roman" w:hAnsi="Times New Roman" w:eastAsia="方正仿宋简体" w:cs="Times New Roman"/>
          <w:color w:val="auto"/>
          <w:sz w:val="32"/>
          <w:szCs w:val="32"/>
          <w:highlight w:val="none"/>
          <w:lang w:val="en-US" w:eastAsia="zh-CN"/>
        </w:rPr>
        <w:t>32</w:t>
      </w:r>
      <w:r>
        <w:rPr>
          <w:rFonts w:hint="eastAsia" w:ascii="方正仿宋简体" w:hAnsi="方正仿宋简体" w:eastAsia="方正仿宋简体" w:cs="方正仿宋简体"/>
          <w:color w:val="auto"/>
          <w:sz w:val="32"/>
          <w:szCs w:val="32"/>
          <w:highlight w:val="none"/>
          <w:lang w:val="en-US" w:eastAsia="zh-CN"/>
        </w:rPr>
        <w:t>个，完成目标任务的</w:t>
      </w:r>
      <w:r>
        <w:rPr>
          <w:rFonts w:hint="default" w:ascii="Times New Roman" w:hAnsi="Times New Roman" w:eastAsia="方正仿宋简体" w:cs="Times New Roman"/>
          <w:color w:val="auto"/>
          <w:sz w:val="32"/>
          <w:szCs w:val="32"/>
          <w:highlight w:val="none"/>
          <w:lang w:val="en-US" w:eastAsia="zh-CN"/>
        </w:rPr>
        <w:t>110%</w:t>
      </w:r>
      <w:r>
        <w:rPr>
          <w:rFonts w:hint="eastAsia" w:ascii="方正仿宋简体" w:hAnsi="方正仿宋简体" w:eastAsia="方正仿宋简体" w:cs="方正仿宋简体"/>
          <w:color w:val="auto"/>
          <w:sz w:val="32"/>
          <w:szCs w:val="32"/>
          <w:highlight w:val="none"/>
          <w:lang w:val="en-US" w:eastAsia="zh-CN"/>
        </w:rPr>
        <w:t>；培育返乡创业明星</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个、企业</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个，打造县级劳务品牌</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个。</w:t>
      </w:r>
    </w:p>
    <w:p w14:paraId="32820B3C">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3</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帮助</w:t>
      </w:r>
      <w:r>
        <w:rPr>
          <w:rFonts w:hint="default" w:ascii="Times New Roman" w:hAnsi="Times New Roman" w:eastAsia="方正仿宋简体" w:cs="Times New Roman"/>
          <w:color w:val="auto"/>
          <w:sz w:val="32"/>
          <w:szCs w:val="32"/>
          <w:highlight w:val="none"/>
          <w:lang w:val="en-US" w:eastAsia="zh-CN"/>
        </w:rPr>
        <w:t>182</w:t>
      </w:r>
      <w:r>
        <w:rPr>
          <w:rFonts w:hint="eastAsia" w:ascii="方正仿宋简体" w:hAnsi="方正仿宋简体" w:eastAsia="方正仿宋简体" w:cs="方正仿宋简体"/>
          <w:color w:val="auto"/>
          <w:sz w:val="32"/>
          <w:szCs w:val="32"/>
          <w:highlight w:val="none"/>
          <w:lang w:val="en-US" w:eastAsia="zh-CN"/>
        </w:rPr>
        <w:t>家企业享受稳岗返还、扩岗补助</w:t>
      </w:r>
      <w:r>
        <w:rPr>
          <w:rFonts w:hint="default" w:ascii="Times New Roman" w:hAnsi="Times New Roman" w:eastAsia="方正仿宋简体" w:cs="Times New Roman"/>
          <w:color w:val="auto"/>
          <w:sz w:val="32"/>
          <w:szCs w:val="32"/>
          <w:highlight w:val="none"/>
          <w:lang w:val="en-US" w:eastAsia="zh-CN"/>
        </w:rPr>
        <w:t>73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52</w:t>
      </w:r>
      <w:r>
        <w:rPr>
          <w:rFonts w:hint="eastAsia" w:ascii="方正仿宋简体" w:hAnsi="方正仿宋简体" w:eastAsia="方正仿宋简体" w:cs="方正仿宋简体"/>
          <w:color w:val="auto"/>
          <w:sz w:val="32"/>
          <w:szCs w:val="32"/>
          <w:highlight w:val="none"/>
          <w:lang w:val="en-US" w:eastAsia="zh-CN"/>
        </w:rPr>
        <w:t>万元；帮助各类市场主体享受就业帮扶政策</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66</w:t>
      </w:r>
      <w:r>
        <w:rPr>
          <w:rFonts w:hint="eastAsia" w:ascii="方正仿宋简体" w:hAnsi="方正仿宋简体" w:eastAsia="方正仿宋简体" w:cs="方正仿宋简体"/>
          <w:color w:val="auto"/>
          <w:sz w:val="32"/>
          <w:szCs w:val="32"/>
          <w:highlight w:val="none"/>
          <w:lang w:val="en-US" w:eastAsia="zh-CN"/>
        </w:rPr>
        <w:t>万元；帮助小微企业和创业者享受创业担保贷款</w:t>
      </w:r>
      <w:r>
        <w:rPr>
          <w:rFonts w:hint="default" w:ascii="Times New Roman" w:hAnsi="Times New Roman" w:eastAsia="方正仿宋简体" w:cs="Times New Roman"/>
          <w:color w:val="auto"/>
          <w:sz w:val="32"/>
          <w:szCs w:val="32"/>
          <w:highlight w:val="none"/>
          <w:lang w:val="en-US" w:eastAsia="zh-CN"/>
        </w:rPr>
        <w:t>370</w:t>
      </w:r>
      <w:r>
        <w:rPr>
          <w:rFonts w:hint="eastAsia" w:ascii="方正仿宋简体" w:hAnsi="方正仿宋简体" w:eastAsia="方正仿宋简体" w:cs="方正仿宋简体"/>
          <w:color w:val="auto"/>
          <w:sz w:val="32"/>
          <w:szCs w:val="32"/>
          <w:highlight w:val="none"/>
          <w:lang w:val="en-US" w:eastAsia="zh-CN"/>
        </w:rPr>
        <w:t>万元；帮助</w:t>
      </w:r>
      <w:r>
        <w:rPr>
          <w:rFonts w:hint="default" w:ascii="Times New Roman" w:hAnsi="Times New Roman" w:eastAsia="方正仿宋简体" w:cs="Times New Roman"/>
          <w:color w:val="auto"/>
          <w:sz w:val="32"/>
          <w:szCs w:val="32"/>
          <w:highlight w:val="none"/>
          <w:lang w:val="en-US" w:eastAsia="zh-CN"/>
        </w:rPr>
        <w:t>44</w:t>
      </w:r>
      <w:r>
        <w:rPr>
          <w:rFonts w:hint="eastAsia" w:ascii="方正仿宋简体" w:hAnsi="方正仿宋简体" w:eastAsia="方正仿宋简体" w:cs="方正仿宋简体"/>
          <w:color w:val="auto"/>
          <w:sz w:val="32"/>
          <w:szCs w:val="32"/>
          <w:highlight w:val="none"/>
          <w:lang w:val="en-US" w:eastAsia="zh-CN"/>
        </w:rPr>
        <w:t>名创业者享受创业补贴</w:t>
      </w:r>
      <w:r>
        <w:rPr>
          <w:rFonts w:hint="default" w:ascii="Times New Roman" w:hAnsi="Times New Roman" w:eastAsia="方正仿宋简体" w:cs="Times New Roman"/>
          <w:color w:val="auto"/>
          <w:sz w:val="32"/>
          <w:szCs w:val="32"/>
          <w:highlight w:val="none"/>
          <w:lang w:val="en-US" w:eastAsia="zh-CN"/>
        </w:rPr>
        <w:t>44</w:t>
      </w:r>
      <w:r>
        <w:rPr>
          <w:rFonts w:hint="eastAsia" w:ascii="方正仿宋简体" w:hAnsi="方正仿宋简体" w:eastAsia="方正仿宋简体" w:cs="方正仿宋简体"/>
          <w:color w:val="auto"/>
          <w:sz w:val="32"/>
          <w:szCs w:val="32"/>
          <w:highlight w:val="none"/>
          <w:lang w:val="en-US" w:eastAsia="zh-CN"/>
        </w:rPr>
        <w:t>万元；帮助群众享受就业帮扶、技能提升等补贴</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35</w:t>
      </w:r>
      <w:r>
        <w:rPr>
          <w:rFonts w:hint="eastAsia" w:ascii="方正仿宋简体" w:hAnsi="方正仿宋简体" w:eastAsia="方正仿宋简体" w:cs="方正仿宋简体"/>
          <w:color w:val="auto"/>
          <w:sz w:val="32"/>
          <w:szCs w:val="32"/>
          <w:highlight w:val="none"/>
          <w:lang w:val="en-US" w:eastAsia="zh-CN"/>
        </w:rPr>
        <w:t>万元。</w:t>
      </w:r>
    </w:p>
    <w:p w14:paraId="45007041">
      <w:pPr>
        <w:keepNext w:val="0"/>
        <w:keepLines w:val="0"/>
        <w:pageBreakBefore w:val="0"/>
        <w:numPr>
          <w:ilvl w:val="0"/>
          <w:numId w:val="0"/>
        </w:numPr>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kern w:val="2"/>
          <w:sz w:val="32"/>
          <w:szCs w:val="32"/>
          <w:highlight w:val="none"/>
          <w:lang w:val="en-US" w:eastAsia="zh-CN" w:bidi="ar-SA"/>
        </w:rPr>
        <w:t>4</w:t>
      </w:r>
      <w:r>
        <w:rPr>
          <w:rFonts w:hint="eastAsia" w:ascii="方正仿宋简体" w:hAnsi="方正仿宋简体" w:eastAsia="方正仿宋简体" w:cs="方正仿宋简体"/>
          <w:color w:val="auto"/>
          <w:kern w:val="2"/>
          <w:sz w:val="32"/>
          <w:szCs w:val="32"/>
          <w:highlight w:val="none"/>
          <w:lang w:val="en-US" w:eastAsia="zh-CN" w:bidi="ar-SA"/>
        </w:rPr>
        <w:t>.</w:t>
      </w:r>
      <w:r>
        <w:rPr>
          <w:rFonts w:hint="eastAsia" w:ascii="方正仿宋简体" w:hAnsi="方正仿宋简体" w:eastAsia="方正仿宋简体" w:cs="方正仿宋简体"/>
          <w:color w:val="auto"/>
          <w:sz w:val="32"/>
          <w:szCs w:val="32"/>
          <w:highlight w:val="none"/>
          <w:lang w:val="en-US" w:eastAsia="zh-CN"/>
        </w:rPr>
        <w:t>开展失业保险待遇发放问题专项整治。排查违规领取待遇</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人并追回资金</w:t>
      </w:r>
      <w:r>
        <w:rPr>
          <w:rFonts w:hint="default" w:ascii="Times New Roman" w:hAnsi="Times New Roman" w:eastAsia="方正仿宋简体" w:cs="Times New Roman"/>
          <w:color w:val="auto"/>
          <w:sz w:val="32"/>
          <w:szCs w:val="32"/>
          <w:highlight w:val="none"/>
          <w:lang w:val="en-US" w:eastAsia="zh-CN"/>
        </w:rPr>
        <w:t>79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96</w:t>
      </w:r>
      <w:r>
        <w:rPr>
          <w:rFonts w:hint="eastAsia" w:ascii="方正仿宋简体" w:hAnsi="方正仿宋简体" w:eastAsia="方正仿宋简体" w:cs="方正仿宋简体"/>
          <w:color w:val="auto"/>
          <w:sz w:val="32"/>
          <w:szCs w:val="32"/>
          <w:highlight w:val="none"/>
          <w:lang w:val="en-US" w:eastAsia="zh-CN"/>
        </w:rPr>
        <w:t>元。开展低收入群体灵活就业社保补贴和公益性岗位开发管理问题专项治理工作。排查村（社区）干部领取就业困难人员灵活就业社保补贴</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人</w:t>
      </w:r>
      <w:r>
        <w:rPr>
          <w:rFonts w:hint="default" w:ascii="Times New Roman" w:hAnsi="Times New Roman" w:eastAsia="方正仿宋简体" w:cs="Times New Roman"/>
          <w:color w:val="auto"/>
          <w:sz w:val="32"/>
          <w:szCs w:val="32"/>
          <w:highlight w:val="none"/>
          <w:lang w:val="en-US" w:eastAsia="zh-CN"/>
        </w:rPr>
        <w:t>62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744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62</w:t>
      </w:r>
      <w:r>
        <w:rPr>
          <w:rFonts w:hint="eastAsia" w:ascii="方正仿宋简体" w:hAnsi="方正仿宋简体" w:eastAsia="方正仿宋简体" w:cs="方正仿宋简体"/>
          <w:color w:val="auto"/>
          <w:sz w:val="32"/>
          <w:szCs w:val="32"/>
          <w:highlight w:val="none"/>
          <w:lang w:val="en-US" w:eastAsia="zh-CN"/>
        </w:rPr>
        <w:t>元，村（社区）干部违规占用公益性岗位</w:t>
      </w:r>
      <w:r>
        <w:rPr>
          <w:rFonts w:hint="default" w:ascii="Times New Roman" w:hAnsi="Times New Roman" w:eastAsia="方正仿宋简体" w:cs="Times New Roman"/>
          <w:color w:val="auto"/>
          <w:sz w:val="32"/>
          <w:szCs w:val="32"/>
          <w:highlight w:val="none"/>
          <w:lang w:val="en-US" w:eastAsia="zh-CN"/>
        </w:rPr>
        <w:t>17</w:t>
      </w:r>
      <w:r>
        <w:rPr>
          <w:rFonts w:hint="eastAsia" w:ascii="方正仿宋简体" w:hAnsi="方正仿宋简体" w:eastAsia="方正仿宋简体" w:cs="方正仿宋简体"/>
          <w:color w:val="auto"/>
          <w:sz w:val="32"/>
          <w:szCs w:val="32"/>
          <w:highlight w:val="none"/>
          <w:lang w:val="en-US" w:eastAsia="zh-CN"/>
        </w:rPr>
        <w:t>人</w:t>
      </w:r>
      <w:r>
        <w:rPr>
          <w:rFonts w:hint="default" w:ascii="Times New Roman" w:hAnsi="Times New Roman" w:eastAsia="方正仿宋简体" w:cs="Times New Roman"/>
          <w:color w:val="auto"/>
          <w:sz w:val="32"/>
          <w:szCs w:val="32"/>
          <w:highlight w:val="none"/>
          <w:lang w:val="en-US" w:eastAsia="zh-CN"/>
        </w:rPr>
        <w:t>59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646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64</w:t>
      </w:r>
      <w:r>
        <w:rPr>
          <w:rFonts w:hint="eastAsia" w:ascii="方正仿宋简体" w:hAnsi="方正仿宋简体" w:eastAsia="方正仿宋简体" w:cs="方正仿宋简体"/>
          <w:color w:val="auto"/>
          <w:sz w:val="32"/>
          <w:szCs w:val="32"/>
          <w:highlight w:val="none"/>
          <w:lang w:val="en-US" w:eastAsia="zh-CN"/>
        </w:rPr>
        <w:t>元，并针对以上问题制定了一人一策整改清单，三是开展职业技能培训专项整治。全面覆盖排查五年内本县承训机构</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家，督导整改问题</w:t>
      </w:r>
      <w:r>
        <w:rPr>
          <w:rFonts w:hint="default" w:ascii="Times New Roman" w:hAnsi="Times New Roman" w:eastAsia="方正仿宋简体" w:cs="Times New Roman"/>
          <w:color w:val="auto"/>
          <w:sz w:val="32"/>
          <w:szCs w:val="32"/>
          <w:highlight w:val="none"/>
          <w:lang w:val="en-US" w:eastAsia="zh-CN"/>
        </w:rPr>
        <w:t>22</w:t>
      </w:r>
      <w:r>
        <w:rPr>
          <w:rFonts w:hint="eastAsia" w:ascii="方正仿宋简体" w:hAnsi="方正仿宋简体" w:eastAsia="方正仿宋简体" w:cs="方正仿宋简体"/>
          <w:color w:val="auto"/>
          <w:sz w:val="32"/>
          <w:szCs w:val="32"/>
          <w:highlight w:val="none"/>
          <w:lang w:val="en-US" w:eastAsia="zh-CN"/>
        </w:rPr>
        <w:t>个，追回创业就业培训补贴</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932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90" w:name="_Toc2664"/>
      <w:bookmarkStart w:id="91" w:name="_Toc927"/>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auto"/>
          <w:kern w:val="0"/>
          <w:sz w:val="32"/>
          <w:szCs w:val="32"/>
          <w:highlight w:val="none"/>
          <w:shd w:val="clear" w:color="auto" w:fill="FFFFFF"/>
        </w:rPr>
        <w:t>部门整体支出</w:t>
      </w:r>
      <w:r>
        <w:rPr>
          <w:rFonts w:hint="eastAsia" w:ascii="方正黑体简体" w:hAnsi="方正黑体简体" w:eastAsia="方正黑体简体" w:cs="方正黑体简体"/>
          <w:color w:val="auto"/>
          <w:kern w:val="0"/>
          <w:sz w:val="32"/>
          <w:szCs w:val="32"/>
          <w:highlight w:val="none"/>
          <w:shd w:val="clear" w:color="auto" w:fill="FFFFFF"/>
          <w:lang w:val="zh-CN"/>
        </w:rPr>
        <w:t>绩效评价</w:t>
      </w:r>
      <w:r>
        <w:rPr>
          <w:rFonts w:hint="eastAsia" w:ascii="方正黑体简体" w:hAnsi="方正黑体简体" w:eastAsia="方正黑体简体" w:cs="方正黑体简体"/>
          <w:color w:val="auto"/>
          <w:kern w:val="0"/>
          <w:sz w:val="32"/>
          <w:szCs w:val="32"/>
          <w:highlight w:val="none"/>
          <w:shd w:val="clear" w:color="auto" w:fill="FFFFFF"/>
        </w:rPr>
        <w:t>情况</w:t>
      </w:r>
      <w:bookmarkEnd w:id="71"/>
      <w:bookmarkEnd w:id="72"/>
      <w:bookmarkEnd w:id="73"/>
      <w:bookmarkEnd w:id="74"/>
      <w:bookmarkEnd w:id="87"/>
      <w:bookmarkEnd w:id="88"/>
      <w:bookmarkEnd w:id="89"/>
      <w:bookmarkEnd w:id="90"/>
      <w:bookmarkEnd w:id="91"/>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CN"/>
        </w:rPr>
      </w:pPr>
      <w:bookmarkStart w:id="92" w:name="_Toc26043"/>
      <w:bookmarkStart w:id="93" w:name="_Toc29571"/>
      <w:bookmarkStart w:id="94" w:name="_Toc20684"/>
      <w:bookmarkStart w:id="95" w:name="_Toc24977"/>
      <w:bookmarkStart w:id="96" w:name="_Toc11694"/>
      <w:bookmarkStart w:id="97" w:name="_Toc428273082"/>
      <w:bookmarkStart w:id="98" w:name="_Toc8903"/>
      <w:bookmarkStart w:id="99" w:name="_Toc109483840"/>
      <w:bookmarkStart w:id="100" w:name="_Toc4199"/>
      <w:bookmarkStart w:id="101" w:name="_Toc27305"/>
      <w:r>
        <w:rPr>
          <w:rFonts w:hint="eastAsia" w:ascii="方正楷体简体" w:hAnsi="方正楷体简体" w:eastAsia="方正楷体简体" w:cs="方正楷体简体"/>
          <w:color w:val="auto"/>
          <w:kern w:val="2"/>
          <w:sz w:val="32"/>
          <w:szCs w:val="32"/>
          <w:highlight w:val="none"/>
          <w:shd w:val="clear"/>
          <w:lang w:val="zh-CN"/>
        </w:rPr>
        <w:t>（一）</w:t>
      </w:r>
      <w:r>
        <w:rPr>
          <w:rFonts w:hint="eastAsia" w:ascii="方正楷体简体" w:hAnsi="方正楷体简体" w:eastAsia="方正楷体简体" w:cs="方正楷体简体"/>
          <w:color w:val="auto"/>
          <w:kern w:val="2"/>
          <w:sz w:val="32"/>
          <w:szCs w:val="32"/>
          <w:highlight w:val="none"/>
          <w:shd w:val="clear"/>
          <w:lang w:val="zh-CN" w:eastAsia="zh-CN"/>
        </w:rPr>
        <w:t>绩效评价实施过程</w:t>
      </w:r>
      <w:bookmarkEnd w:id="92"/>
      <w:bookmarkEnd w:id="93"/>
      <w:bookmarkEnd w:id="94"/>
      <w:bookmarkEnd w:id="95"/>
      <w:bookmarkEnd w:id="96"/>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eastAsia" w:ascii="方正仿宋简体" w:hAnsi="方正仿宋简体" w:eastAsia="方正仿宋简体" w:cs="方正仿宋简体"/>
          <w:color w:val="auto"/>
          <w:sz w:val="32"/>
          <w:szCs w:val="32"/>
          <w:highlight w:val="none"/>
          <w:lang w:val="zh-CN" w:eastAsia="zh-CN"/>
        </w:rPr>
        <w:t>评价小组按照评价日程安排，对</w:t>
      </w:r>
      <w:r>
        <w:rPr>
          <w:rFonts w:hint="eastAsia" w:ascii="方正仿宋简体" w:hAnsi="方正仿宋简体" w:eastAsia="方正仿宋简体" w:cs="方正仿宋简体"/>
          <w:color w:val="auto"/>
          <w:sz w:val="32"/>
          <w:szCs w:val="32"/>
          <w:highlight w:val="none"/>
          <w:lang w:val="en-US" w:eastAsia="zh-CN"/>
        </w:rPr>
        <w:t>泸定县人力资源和社会保障局</w:t>
      </w:r>
      <w:r>
        <w:rPr>
          <w:rFonts w:hint="eastAsia" w:ascii="方正仿宋简体" w:hAnsi="方正仿宋简体" w:eastAsia="方正仿宋简体" w:cs="方正仿宋简体"/>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1</w:t>
      </w:r>
      <w:r>
        <w:rPr>
          <w:rFonts w:hint="eastAsia" w:ascii="方正仿宋简体" w:hAnsi="方正仿宋简体" w:eastAsia="方正仿宋简体" w:cs="方正仿宋简体"/>
          <w:color w:val="auto"/>
          <w:sz w:val="32"/>
          <w:szCs w:val="32"/>
          <w:highlight w:val="none"/>
          <w:lang w:val="zh-CN" w:eastAsia="zh-CN"/>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2</w:t>
      </w:r>
      <w:r>
        <w:rPr>
          <w:rFonts w:hint="eastAsia" w:ascii="方正仿宋简体" w:hAnsi="方正仿宋简体" w:eastAsia="方正仿宋简体" w:cs="方正仿宋简体"/>
          <w:color w:val="auto"/>
          <w:sz w:val="32"/>
          <w:szCs w:val="32"/>
          <w:highlight w:val="none"/>
          <w:lang w:val="zh-CN" w:eastAsia="zh-CN"/>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3</w:t>
      </w:r>
      <w:r>
        <w:rPr>
          <w:rFonts w:hint="eastAsia" w:ascii="方正仿宋简体" w:hAnsi="方正仿宋简体" w:eastAsia="方正仿宋简体" w:cs="方正仿宋简体"/>
          <w:color w:val="auto"/>
          <w:sz w:val="32"/>
          <w:szCs w:val="32"/>
          <w:highlight w:val="none"/>
          <w:lang w:val="zh-CN" w:eastAsia="zh-CN"/>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eastAsia="zh-CN"/>
        </w:rPr>
      </w:pPr>
      <w:r>
        <w:rPr>
          <w:rFonts w:hint="default" w:ascii="Times New Roman" w:hAnsi="Times New Roman" w:eastAsia="方正仿宋简体" w:cs="Times New Roman"/>
          <w:color w:val="auto"/>
          <w:sz w:val="32"/>
          <w:szCs w:val="32"/>
          <w:highlight w:val="none"/>
          <w:lang w:val="zh-CN" w:eastAsia="zh-CN"/>
        </w:rPr>
        <w:t>4</w:t>
      </w:r>
      <w:r>
        <w:rPr>
          <w:rFonts w:hint="eastAsia" w:ascii="方正仿宋简体" w:hAnsi="方正仿宋简体" w:eastAsia="方正仿宋简体" w:cs="方正仿宋简体"/>
          <w:color w:val="auto"/>
          <w:sz w:val="32"/>
          <w:szCs w:val="32"/>
          <w:highlight w:val="none"/>
          <w:lang w:val="zh-CN" w:eastAsia="zh-CN"/>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val="zh-CN" w:bidi="ar"/>
        </w:rPr>
      </w:pPr>
      <w:r>
        <w:rPr>
          <w:rFonts w:hint="default" w:ascii="Times New Roman" w:hAnsi="Times New Roman" w:eastAsia="方正仿宋简体" w:cs="Times New Roman"/>
          <w:color w:val="auto"/>
          <w:sz w:val="32"/>
          <w:szCs w:val="32"/>
          <w:highlight w:val="none"/>
          <w:lang w:val="zh-CN" w:eastAsia="zh-CN"/>
        </w:rPr>
        <w:t>5</w:t>
      </w:r>
      <w:r>
        <w:rPr>
          <w:rFonts w:hint="eastAsia" w:ascii="方正仿宋简体" w:hAnsi="方正仿宋简体" w:eastAsia="方正仿宋简体" w:cs="方正仿宋简体"/>
          <w:color w:val="auto"/>
          <w:sz w:val="32"/>
          <w:szCs w:val="32"/>
          <w:highlight w:val="none"/>
          <w:lang w:val="zh-CN" w:eastAsia="zh-CN"/>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02" w:name="_Toc30977"/>
      <w:bookmarkStart w:id="103" w:name="_Toc23900"/>
      <w:bookmarkStart w:id="104" w:name="_Toc20632"/>
      <w:bookmarkStart w:id="105" w:name="_Toc26714"/>
      <w:bookmarkStart w:id="106" w:name="_Toc16416"/>
      <w:r>
        <w:rPr>
          <w:rFonts w:hint="eastAsia" w:ascii="方正楷体简体" w:hAnsi="方正楷体简体" w:eastAsia="方正楷体简体" w:cs="方正楷体简体"/>
          <w:color w:val="auto"/>
          <w:kern w:val="2"/>
          <w:sz w:val="32"/>
          <w:szCs w:val="32"/>
          <w:highlight w:val="none"/>
          <w:shd w:val="clear"/>
          <w:lang w:val="zh-CN" w:eastAsia="zh-CN"/>
        </w:rPr>
        <w:t>（</w:t>
      </w:r>
      <w:r>
        <w:rPr>
          <w:rFonts w:hint="eastAsia" w:ascii="方正楷体简体" w:hAnsi="方正楷体简体" w:eastAsia="方正楷体简体" w:cs="方正楷体简体"/>
          <w:color w:val="auto"/>
          <w:kern w:val="2"/>
          <w:sz w:val="32"/>
          <w:szCs w:val="32"/>
          <w:highlight w:val="none"/>
          <w:shd w:val="clear"/>
          <w:lang w:val="en-US" w:eastAsia="zh-CN"/>
        </w:rPr>
        <w:t>二）</w:t>
      </w:r>
      <w:bookmarkEnd w:id="97"/>
      <w:bookmarkEnd w:id="98"/>
      <w:r>
        <w:rPr>
          <w:rFonts w:hint="eastAsia" w:ascii="方正楷体简体" w:hAnsi="方正楷体简体" w:eastAsia="方正楷体简体" w:cs="方正楷体简体"/>
          <w:color w:val="auto"/>
          <w:kern w:val="2"/>
          <w:sz w:val="32"/>
          <w:szCs w:val="32"/>
          <w:highlight w:val="none"/>
          <w:shd w:val="clear"/>
          <w:lang w:val="en-US" w:eastAsia="zh-CN"/>
        </w:rPr>
        <w:t>评价结论</w:t>
      </w:r>
      <w:bookmarkEnd w:id="102"/>
      <w:bookmarkEnd w:id="103"/>
      <w:bookmarkEnd w:id="104"/>
      <w:bookmarkEnd w:id="105"/>
      <w:bookmarkEnd w:id="106"/>
    </w:p>
    <w:bookmarkEnd w:id="99"/>
    <w:bookmarkEnd w:id="100"/>
    <w:bookmarkEnd w:id="101"/>
    <w:p w14:paraId="4E44AA5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泸定县人力资源和社会保障局根据单位职能职责和年度工作任务目标，深入贯彻落实以习近平新时代中国特色社会主义思想为指引，紧紧围绕“把灾区建设成为新时代民族地区高质量发展的典范”这一重要目标以党建为引领，全面完成了就业创业、社会保险、劳动关系、人事人才、灾后重建项目等重要任务，坚持稳中求进、进中求好，补齐短板工作总基调，统筹推进各项工作，为继续建设红色宜居、美丽幸福社会主义现代化新泸定贡献了人社力量。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按照设定的评价指标体系，通过对泸定县人力资源和社会保障局</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年度部门整体支出情况在预算编制、预算执行、完成结果、信息公开、整改反馈、自评质量方面进行综合评价，</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年度泸定县人力资源和社会保障局部门整体支出绩效评价指标分值</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w:t>
      </w:r>
      <w:r>
        <w:rPr>
          <w:rFonts w:hint="default" w:ascii="Times New Roman" w:hAnsi="Times New Roman" w:eastAsia="方正仿宋简体" w:cs="Times New Roman"/>
          <w:color w:val="auto"/>
          <w:sz w:val="32"/>
          <w:szCs w:val="32"/>
          <w:highlight w:val="none"/>
          <w:lang w:val="en-US" w:eastAsia="zh-CN"/>
        </w:rPr>
        <w:t>89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泸定县人力资源和社会保障局</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年部门整体支出绩效评价评分表</w:t>
      </w:r>
    </w:p>
    <w:tbl>
      <w:tblPr>
        <w:tblStyle w:val="18"/>
        <w:tblW w:w="5045" w:type="pct"/>
        <w:jc w:val="center"/>
        <w:tblLayout w:type="fixed"/>
        <w:tblCellMar>
          <w:top w:w="0" w:type="dxa"/>
          <w:left w:w="108" w:type="dxa"/>
          <w:bottom w:w="0" w:type="dxa"/>
          <w:right w:w="108" w:type="dxa"/>
        </w:tblCellMar>
      </w:tblPr>
      <w:tblGrid>
        <w:gridCol w:w="1005"/>
        <w:gridCol w:w="1845"/>
        <w:gridCol w:w="3057"/>
        <w:gridCol w:w="1210"/>
        <w:gridCol w:w="1010"/>
        <w:gridCol w:w="1016"/>
      </w:tblGrid>
      <w:tr w14:paraId="067C3E46">
        <w:tblPrEx>
          <w:tblCellMar>
            <w:top w:w="0" w:type="dxa"/>
            <w:left w:w="108" w:type="dxa"/>
            <w:bottom w:w="0" w:type="dxa"/>
            <w:right w:w="108" w:type="dxa"/>
          </w:tblCellMar>
        </w:tblPrEx>
        <w:trPr>
          <w:trHeight w:val="680" w:hRule="atLeast"/>
          <w:jc w:val="center"/>
        </w:trPr>
        <w:tc>
          <w:tcPr>
            <w:tcW w:w="5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一级指标</w:t>
            </w:r>
          </w:p>
        </w:tc>
        <w:tc>
          <w:tcPr>
            <w:tcW w:w="10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二级指标</w:t>
            </w:r>
          </w:p>
        </w:tc>
        <w:tc>
          <w:tcPr>
            <w:tcW w:w="16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三级指标</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分值</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扣分</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得分</w:t>
            </w:r>
          </w:p>
        </w:tc>
      </w:tr>
      <w:tr w14:paraId="1D8435F3">
        <w:tblPrEx>
          <w:tblCellMar>
            <w:top w:w="0" w:type="dxa"/>
            <w:left w:w="108" w:type="dxa"/>
            <w:bottom w:w="0" w:type="dxa"/>
            <w:right w:w="108" w:type="dxa"/>
          </w:tblCellMar>
        </w:tblPrEx>
        <w:trPr>
          <w:trHeight w:val="680" w:hRule="atLeast"/>
          <w:jc w:val="center"/>
        </w:trPr>
        <w:tc>
          <w:tcPr>
            <w:tcW w:w="5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部门预算管理（</w:t>
            </w:r>
            <w:r>
              <w:rPr>
                <w:rFonts w:hint="default" w:ascii="Times New Roman" w:hAnsi="Times New Roman" w:eastAsia="方正仿宋简体" w:cs="Times New Roman"/>
                <w:color w:val="auto"/>
                <w:kern w:val="0"/>
                <w:sz w:val="32"/>
                <w:szCs w:val="32"/>
                <w:highlight w:val="none"/>
                <w:lang w:val="en-US" w:eastAsia="zh-CN"/>
              </w:rPr>
              <w:t>60</w:t>
            </w:r>
            <w:r>
              <w:rPr>
                <w:rFonts w:hint="eastAsia" w:ascii="方正仿宋简体" w:hAnsi="方正仿宋简体" w:eastAsia="方正仿宋简体" w:cs="方正仿宋简体"/>
                <w:color w:val="auto"/>
                <w:kern w:val="0"/>
                <w:sz w:val="32"/>
                <w:szCs w:val="32"/>
                <w:highlight w:val="none"/>
              </w:rPr>
              <w:t>分）</w:t>
            </w:r>
          </w:p>
        </w:tc>
        <w:tc>
          <w:tcPr>
            <w:tcW w:w="10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lang w:val="en-US" w:eastAsia="zh-CN"/>
              </w:rPr>
              <w:t>24</w:t>
            </w:r>
            <w:r>
              <w:rPr>
                <w:rFonts w:hint="eastAsia" w:ascii="方正仿宋简体" w:hAnsi="方正仿宋简体" w:eastAsia="方正仿宋简体" w:cs="方正仿宋简体"/>
                <w:color w:val="auto"/>
                <w:kern w:val="0"/>
                <w:sz w:val="32"/>
                <w:szCs w:val="32"/>
                <w:highlight w:val="none"/>
              </w:rPr>
              <w:t>分）</w:t>
            </w: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E7C6D54">
        <w:tblPrEx>
          <w:tblCellMar>
            <w:top w:w="0" w:type="dxa"/>
            <w:left w:w="108" w:type="dxa"/>
            <w:bottom w:w="0" w:type="dxa"/>
            <w:right w:w="108" w:type="dxa"/>
          </w:tblCellMar>
        </w:tblPrEx>
        <w:trPr>
          <w:trHeight w:val="680" w:hRule="atLeast"/>
          <w:jc w:val="center"/>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目标实现</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12</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7</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88</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B95C501">
        <w:tblPrEx>
          <w:tblCellMar>
            <w:top w:w="0" w:type="dxa"/>
            <w:left w:w="108" w:type="dxa"/>
            <w:bottom w:w="0" w:type="dxa"/>
            <w:right w:w="108" w:type="dxa"/>
          </w:tblCellMar>
        </w:tblPrEx>
        <w:trPr>
          <w:trHeight w:val="680" w:hRule="atLeast"/>
          <w:jc w:val="center"/>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编制准确</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38</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7</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62</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021FD26">
        <w:tblPrEx>
          <w:tblCellMar>
            <w:top w:w="0" w:type="dxa"/>
            <w:left w:w="108" w:type="dxa"/>
            <w:bottom w:w="0" w:type="dxa"/>
            <w:right w:w="108" w:type="dxa"/>
          </w:tblCellMar>
        </w:tblPrEx>
        <w:trPr>
          <w:trHeight w:val="680" w:hRule="atLeast"/>
          <w:jc w:val="center"/>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预算执行</w:t>
            </w:r>
          </w:p>
          <w:p w14:paraId="15EAE39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rPr>
              <w:t>分）</w:t>
            </w: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支出控制</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39BDCC">
        <w:tblPrEx>
          <w:tblCellMar>
            <w:top w:w="0" w:type="dxa"/>
            <w:left w:w="108" w:type="dxa"/>
            <w:bottom w:w="0" w:type="dxa"/>
            <w:right w:w="108" w:type="dxa"/>
          </w:tblCellMar>
        </w:tblPrEx>
        <w:trPr>
          <w:trHeight w:val="680" w:hRule="atLeast"/>
          <w:jc w:val="center"/>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动态调整</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614AAF5">
        <w:tblPrEx>
          <w:tblCellMar>
            <w:top w:w="0" w:type="dxa"/>
            <w:left w:w="108" w:type="dxa"/>
            <w:bottom w:w="0" w:type="dxa"/>
            <w:right w:w="108" w:type="dxa"/>
          </w:tblCellMar>
        </w:tblPrEx>
        <w:trPr>
          <w:trHeight w:val="680" w:hRule="atLeast"/>
          <w:jc w:val="center"/>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执行进度</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DABA564">
        <w:tblPrEx>
          <w:tblCellMar>
            <w:top w:w="0" w:type="dxa"/>
            <w:left w:w="108" w:type="dxa"/>
            <w:bottom w:w="0" w:type="dxa"/>
            <w:right w:w="108" w:type="dxa"/>
          </w:tblCellMar>
        </w:tblPrEx>
        <w:trPr>
          <w:trHeight w:val="680" w:hRule="atLeast"/>
          <w:jc w:val="center"/>
        </w:trPr>
        <w:tc>
          <w:tcPr>
            <w:tcW w:w="5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74BFB09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rPr>
              <w:t>）</w:t>
            </w: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预算完成</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A6E2A1C">
        <w:tblPrEx>
          <w:tblCellMar>
            <w:top w:w="0" w:type="dxa"/>
            <w:left w:w="108" w:type="dxa"/>
            <w:bottom w:w="0" w:type="dxa"/>
            <w:right w:w="108" w:type="dxa"/>
          </w:tblCellMar>
        </w:tblPrEx>
        <w:trPr>
          <w:trHeight w:val="680" w:hRule="atLeast"/>
          <w:jc w:val="center"/>
        </w:trPr>
        <w:tc>
          <w:tcPr>
            <w:tcW w:w="549"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违规记录</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both"/>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eastAsia" w:ascii="方正仿宋简体" w:hAnsi="方正仿宋简体" w:eastAsia="方正仿宋简体" w:cs="方正仿宋简体"/>
                <w:color w:val="auto"/>
                <w:kern w:val="0"/>
                <w:sz w:val="32"/>
                <w:szCs w:val="32"/>
                <w:highlight w:val="none"/>
                <w:lang w:val="en-US" w:eastAsia="zh-CN"/>
              </w:rPr>
              <w:t xml:space="preserve"> </w:t>
            </w: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40A1358">
        <w:tblPrEx>
          <w:tblCellMar>
            <w:top w:w="0" w:type="dxa"/>
            <w:left w:w="108" w:type="dxa"/>
            <w:bottom w:w="0" w:type="dxa"/>
            <w:right w:w="108" w:type="dxa"/>
          </w:tblCellMar>
        </w:tblPrEx>
        <w:trPr>
          <w:trHeight w:val="680" w:hRule="atLeast"/>
          <w:jc w:val="center"/>
        </w:trPr>
        <w:tc>
          <w:tcPr>
            <w:tcW w:w="549" w:type="pct"/>
            <w:vMerge w:val="restart"/>
            <w:tcBorders>
              <w:top w:val="single" w:color="000000" w:sz="4" w:space="0"/>
              <w:left w:val="single" w:color="000000" w:sz="4" w:space="0"/>
              <w:right w:val="single" w:color="000000" w:sz="4" w:space="0"/>
            </w:tcBorders>
            <w:shd w:val="clear" w:color="auto" w:fill="auto"/>
            <w:vAlign w:val="center"/>
          </w:tcPr>
          <w:p w14:paraId="254FA815">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专项预算管理（</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分）</w:t>
            </w:r>
          </w:p>
        </w:tc>
        <w:tc>
          <w:tcPr>
            <w:tcW w:w="1008" w:type="pct"/>
            <w:vMerge w:val="restart"/>
            <w:tcBorders>
              <w:top w:val="single" w:color="000000" w:sz="4" w:space="0"/>
              <w:left w:val="single" w:color="000000" w:sz="4" w:space="0"/>
              <w:right w:val="single" w:color="000000" w:sz="4" w:space="0"/>
            </w:tcBorders>
            <w:shd w:val="clear" w:color="auto" w:fill="auto"/>
            <w:noWrap/>
            <w:vAlign w:val="center"/>
          </w:tcPr>
          <w:p w14:paraId="51C3A39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both"/>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eastAsia" w:ascii="方正仿宋简体" w:hAnsi="方正仿宋简体" w:eastAsia="方正仿宋简体" w:cs="方正仿宋简体"/>
                <w:color w:val="auto"/>
                <w:kern w:val="0"/>
                <w:sz w:val="32"/>
                <w:szCs w:val="32"/>
                <w:highlight w:val="none"/>
                <w:lang w:val="en-US" w:eastAsia="zh-CN" w:bidi="ar-SA"/>
              </w:rPr>
              <w:t>项目自评报告编制（</w:t>
            </w:r>
            <w:r>
              <w:rPr>
                <w:rFonts w:hint="default" w:ascii="Times New Roman" w:hAnsi="Times New Roman" w:eastAsia="方正仿宋简体" w:cs="Times New Roman"/>
                <w:color w:val="auto"/>
                <w:kern w:val="0"/>
                <w:sz w:val="32"/>
                <w:szCs w:val="32"/>
                <w:highlight w:val="none"/>
                <w:lang w:val="en-US" w:eastAsia="zh-CN" w:bidi="ar-SA"/>
              </w:rPr>
              <w:t>20</w:t>
            </w:r>
            <w:r>
              <w:rPr>
                <w:rFonts w:hint="eastAsia" w:ascii="方正仿宋简体" w:hAnsi="方正仿宋简体" w:eastAsia="方正仿宋简体" w:cs="方正仿宋简体"/>
                <w:color w:val="auto"/>
                <w:kern w:val="0"/>
                <w:sz w:val="32"/>
                <w:szCs w:val="32"/>
                <w:highlight w:val="none"/>
                <w:lang w:val="en-US" w:eastAsia="zh-CN" w:bidi="ar-SA"/>
              </w:rPr>
              <w:t>分）</w:t>
            </w: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A209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both"/>
              <w:textAlignment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kern w:val="0"/>
                <w:sz w:val="32"/>
                <w:szCs w:val="32"/>
                <w:highlight w:val="none"/>
                <w:lang w:val="en-US" w:eastAsia="zh-CN" w:bidi="ar-SA"/>
              </w:rPr>
              <w:t>项目自评报告编制完整性</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D237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88BC7">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405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10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r>
      <w:tr w14:paraId="04E55ABA">
        <w:tblPrEx>
          <w:tblCellMar>
            <w:top w:w="0" w:type="dxa"/>
            <w:left w:w="108" w:type="dxa"/>
            <w:bottom w:w="0" w:type="dxa"/>
            <w:right w:w="108" w:type="dxa"/>
          </w:tblCellMar>
        </w:tblPrEx>
        <w:trPr>
          <w:trHeight w:val="680" w:hRule="atLeast"/>
          <w:jc w:val="center"/>
        </w:trPr>
        <w:tc>
          <w:tcPr>
            <w:tcW w:w="549" w:type="pct"/>
            <w:vMerge w:val="continue"/>
            <w:tcBorders>
              <w:left w:val="single" w:color="000000" w:sz="4" w:space="0"/>
              <w:bottom w:val="single" w:color="auto" w:sz="4" w:space="0"/>
              <w:right w:val="single" w:color="000000" w:sz="4" w:space="0"/>
            </w:tcBorders>
            <w:shd w:val="clear" w:color="auto" w:fill="auto"/>
            <w:vAlign w:val="center"/>
          </w:tcPr>
          <w:p w14:paraId="0626041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continue"/>
            <w:tcBorders>
              <w:left w:val="single" w:color="000000" w:sz="4" w:space="0"/>
              <w:bottom w:val="single" w:color="000000" w:sz="4" w:space="0"/>
              <w:right w:val="single" w:color="000000" w:sz="4" w:space="0"/>
            </w:tcBorders>
            <w:shd w:val="clear" w:color="auto" w:fill="auto"/>
            <w:noWrap/>
            <w:vAlign w:val="center"/>
          </w:tcPr>
          <w:p w14:paraId="0AF54B2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both"/>
              <w:textAlignment w:val="center"/>
              <w:rPr>
                <w:rFonts w:hint="eastAsia" w:ascii="方正仿宋简体" w:hAnsi="方正仿宋简体" w:eastAsia="方正仿宋简体" w:cs="方正仿宋简体"/>
                <w:color w:val="auto"/>
                <w:kern w:val="0"/>
                <w:sz w:val="32"/>
                <w:szCs w:val="32"/>
                <w:highlight w:val="none"/>
                <w:lang w:val="en-US" w:eastAsia="zh-CN" w:bidi="ar-SA"/>
              </w:rPr>
            </w:pPr>
          </w:p>
        </w:tc>
        <w:tc>
          <w:tcPr>
            <w:tcW w:w="16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2E74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both"/>
              <w:textAlignment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kern w:val="0"/>
                <w:sz w:val="32"/>
                <w:szCs w:val="32"/>
                <w:highlight w:val="none"/>
                <w:lang w:val="en-US" w:eastAsia="zh-CN" w:bidi="ar-SA"/>
              </w:rPr>
              <w:t>项目自评报告编制质量</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3190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5D0C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507A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10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r>
      <w:tr w14:paraId="66D40231">
        <w:tblPrEx>
          <w:tblCellMar>
            <w:top w:w="0" w:type="dxa"/>
            <w:left w:w="108" w:type="dxa"/>
            <w:bottom w:w="0" w:type="dxa"/>
            <w:right w:w="108" w:type="dxa"/>
          </w:tblCellMar>
        </w:tblPrEx>
        <w:trPr>
          <w:trHeight w:val="680" w:hRule="atLeast"/>
          <w:jc w:val="center"/>
        </w:trPr>
        <w:tc>
          <w:tcPr>
            <w:tcW w:w="5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绩效结果应用（</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00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2</w:t>
            </w:r>
            <w:r>
              <w:rPr>
                <w:rFonts w:hint="eastAsia" w:ascii="方正仿宋简体" w:hAnsi="方正仿宋简体" w:eastAsia="方正仿宋简体" w:cs="方正仿宋简体"/>
                <w:color w:val="auto"/>
                <w:kern w:val="0"/>
                <w:sz w:val="32"/>
                <w:szCs w:val="32"/>
                <w:highlight w:val="none"/>
              </w:rPr>
              <w:t>分）</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自评公开</w:t>
            </w:r>
          </w:p>
        </w:tc>
        <w:tc>
          <w:tcPr>
            <w:tcW w:w="66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2</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r>
      <w:tr w14:paraId="7F66AD10">
        <w:tblPrEx>
          <w:tblCellMar>
            <w:top w:w="0" w:type="dxa"/>
            <w:left w:w="108" w:type="dxa"/>
            <w:bottom w:w="0" w:type="dxa"/>
            <w:right w:w="108" w:type="dxa"/>
          </w:tblCellMar>
        </w:tblPrEx>
        <w:trPr>
          <w:trHeight w:val="680" w:hRule="atLeast"/>
          <w:jc w:val="center"/>
        </w:trPr>
        <w:tc>
          <w:tcPr>
            <w:tcW w:w="54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整改反馈</w:t>
            </w:r>
          </w:p>
          <w:p w14:paraId="75905C80">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分）</w:t>
            </w: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结果整改</w:t>
            </w:r>
          </w:p>
        </w:tc>
        <w:tc>
          <w:tcPr>
            <w:tcW w:w="66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4</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r>
      <w:tr w14:paraId="0D29CB6E">
        <w:tblPrEx>
          <w:tblCellMar>
            <w:top w:w="0" w:type="dxa"/>
            <w:left w:w="108" w:type="dxa"/>
            <w:bottom w:w="0" w:type="dxa"/>
            <w:right w:w="108" w:type="dxa"/>
          </w:tblCellMar>
        </w:tblPrEx>
        <w:trPr>
          <w:trHeight w:val="680" w:hRule="atLeast"/>
          <w:jc w:val="center"/>
        </w:trPr>
        <w:tc>
          <w:tcPr>
            <w:tcW w:w="549"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008"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671"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应用反馈</w:t>
            </w:r>
          </w:p>
        </w:tc>
        <w:tc>
          <w:tcPr>
            <w:tcW w:w="661"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4</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r>
      <w:tr w14:paraId="18A120D9">
        <w:tblPrEx>
          <w:tblCellMar>
            <w:top w:w="0" w:type="dxa"/>
            <w:left w:w="108" w:type="dxa"/>
            <w:bottom w:w="0" w:type="dxa"/>
            <w:right w:w="108" w:type="dxa"/>
          </w:tblCellMar>
        </w:tblPrEx>
        <w:trPr>
          <w:trHeight w:val="680" w:hRule="atLeast"/>
          <w:jc w:val="center"/>
        </w:trPr>
        <w:tc>
          <w:tcPr>
            <w:tcW w:w="549"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008"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671" w:type="pct"/>
            <w:tcBorders>
              <w:top w:val="single" w:color="auto" w:sz="4" w:space="0"/>
              <w:left w:val="nil"/>
              <w:bottom w:val="single" w:color="000000" w:sz="4" w:space="0"/>
              <w:right w:val="single" w:color="000000" w:sz="4" w:space="0"/>
            </w:tcBorders>
            <w:shd w:val="clear" w:color="auto" w:fill="auto"/>
            <w:vAlign w:val="center"/>
          </w:tcPr>
          <w:p w14:paraId="2FE8F724">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自评准确</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4</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both"/>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eastAsia" w:ascii="方正仿宋简体" w:hAnsi="方正仿宋简体" w:eastAsia="方正仿宋简体" w:cs="方正仿宋简体"/>
                <w:color w:val="auto"/>
                <w:kern w:val="0"/>
                <w:sz w:val="32"/>
                <w:szCs w:val="32"/>
                <w:highlight w:val="none"/>
                <w:lang w:val="en-US" w:eastAsia="zh-CN" w:bidi="ar-SA"/>
              </w:rPr>
              <w:t xml:space="preserve"> </w:t>
            </w:r>
            <w:r>
              <w:rPr>
                <w:rFonts w:hint="default" w:ascii="Times New Roman" w:hAnsi="Times New Roman" w:eastAsia="方正仿宋简体" w:cs="Times New Roman"/>
                <w:color w:val="auto"/>
                <w:kern w:val="0"/>
                <w:sz w:val="32"/>
                <w:szCs w:val="32"/>
                <w:highlight w:val="none"/>
                <w:lang w:val="en-US" w:eastAsia="zh-CN" w:bidi="ar-SA"/>
              </w:rPr>
              <w:t>6</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00</w:t>
            </w:r>
            <w:r>
              <w:rPr>
                <w:rFonts w:hint="eastAsia" w:ascii="方正仿宋简体" w:hAnsi="方正仿宋简体" w:eastAsia="方正仿宋简体" w:cs="方正仿宋简体"/>
                <w:color w:val="auto"/>
                <w:kern w:val="0"/>
                <w:sz w:val="32"/>
                <w:szCs w:val="32"/>
                <w:highlight w:val="none"/>
                <w:lang w:val="en-US" w:eastAsia="zh-CN" w:bidi="ar-SA"/>
              </w:rPr>
              <w:t xml:space="preserve"> </w:t>
            </w:r>
          </w:p>
        </w:tc>
      </w:tr>
      <w:tr w14:paraId="7A4D91B7">
        <w:tblPrEx>
          <w:tblCellMar>
            <w:top w:w="0" w:type="dxa"/>
            <w:left w:w="108" w:type="dxa"/>
            <w:bottom w:w="0" w:type="dxa"/>
            <w:right w:w="108" w:type="dxa"/>
          </w:tblCellMar>
        </w:tblPrEx>
        <w:trPr>
          <w:trHeight w:val="680" w:hRule="atLeast"/>
          <w:jc w:val="center"/>
        </w:trPr>
        <w:tc>
          <w:tcPr>
            <w:tcW w:w="323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8"/>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合计</w:t>
            </w:r>
          </w:p>
        </w:tc>
        <w:tc>
          <w:tcPr>
            <w:tcW w:w="6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rPr>
              <w:t>100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5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10</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50</w:t>
            </w:r>
          </w:p>
        </w:tc>
        <w:tc>
          <w:tcPr>
            <w:tcW w:w="5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both"/>
              <w:textAlignment w:val="center"/>
              <w:rPr>
                <w:rFonts w:hint="eastAsia" w:ascii="方正仿宋简体" w:hAnsi="方正仿宋简体" w:eastAsia="方正仿宋简体" w:cs="方正仿宋简体"/>
                <w:color w:val="auto"/>
                <w:kern w:val="0"/>
                <w:sz w:val="32"/>
                <w:szCs w:val="32"/>
                <w:highlight w:val="none"/>
                <w:lang w:val="en-US" w:eastAsia="zh-CN" w:bidi="ar-SA"/>
              </w:rPr>
            </w:pPr>
            <w:r>
              <w:rPr>
                <w:rFonts w:hint="default" w:ascii="Times New Roman" w:hAnsi="Times New Roman" w:eastAsia="方正仿宋简体" w:cs="Times New Roman"/>
                <w:color w:val="auto"/>
                <w:kern w:val="0"/>
                <w:sz w:val="32"/>
                <w:szCs w:val="32"/>
                <w:highlight w:val="none"/>
                <w:lang w:val="en-US" w:eastAsia="zh-CN" w:bidi="ar-SA"/>
              </w:rPr>
              <w:t>89</w:t>
            </w:r>
            <w:r>
              <w:rPr>
                <w:rFonts w:hint="eastAsia" w:ascii="方正仿宋简体" w:hAnsi="方正仿宋简体" w:eastAsia="方正仿宋简体" w:cs="方正仿宋简体"/>
                <w:color w:val="auto"/>
                <w:kern w:val="0"/>
                <w:sz w:val="32"/>
                <w:szCs w:val="32"/>
                <w:highlight w:val="none"/>
                <w:lang w:val="en-US" w:eastAsia="zh-CN" w:bidi="ar-SA"/>
              </w:rPr>
              <w:t>.</w:t>
            </w:r>
            <w:r>
              <w:rPr>
                <w:rFonts w:hint="default" w:ascii="Times New Roman" w:hAnsi="Times New Roman" w:eastAsia="方正仿宋简体" w:cs="Times New Roman"/>
                <w:color w:val="auto"/>
                <w:kern w:val="0"/>
                <w:sz w:val="32"/>
                <w:szCs w:val="32"/>
                <w:highlight w:val="none"/>
                <w:lang w:val="en-US" w:eastAsia="zh-CN" w:bidi="ar-SA"/>
              </w:rPr>
              <w:t>50</w:t>
            </w:r>
            <w:r>
              <w:rPr>
                <w:rFonts w:hint="eastAsia" w:ascii="方正仿宋简体" w:hAnsi="方正仿宋简体" w:eastAsia="方正仿宋简体" w:cs="方正仿宋简体"/>
                <w:color w:val="auto"/>
                <w:kern w:val="0"/>
                <w:sz w:val="32"/>
                <w:szCs w:val="32"/>
                <w:highlight w:val="none"/>
                <w:lang w:val="en-US" w:eastAsia="zh-CN" w:bidi="ar-SA"/>
              </w:rPr>
              <w:t xml:space="preserve"> </w:t>
            </w:r>
          </w:p>
        </w:tc>
      </w:tr>
    </w:tbl>
    <w:p w14:paraId="7CAEDB5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07" w:name="_Toc15667"/>
      <w:bookmarkStart w:id="108" w:name="_Toc5089"/>
      <w:bookmarkStart w:id="109" w:name="_Toc1687911260"/>
      <w:bookmarkStart w:id="110" w:name="_Toc26985"/>
      <w:bookmarkStart w:id="111" w:name="_Toc109483841"/>
      <w:bookmarkStart w:id="112" w:name="_Toc16394"/>
      <w:bookmarkStart w:id="113" w:name="_Toc24818"/>
      <w:bookmarkStart w:id="114" w:name="_Toc28266"/>
      <w:bookmarkStart w:id="115" w:name="_Toc31945"/>
      <w:r>
        <w:rPr>
          <w:rFonts w:hint="eastAsia" w:ascii="方正楷体简体" w:hAnsi="方正楷体简体" w:eastAsia="方正楷体简体" w:cs="方正楷体简体"/>
          <w:color w:val="auto"/>
          <w:kern w:val="2"/>
          <w:sz w:val="32"/>
          <w:szCs w:val="32"/>
          <w:highlight w:val="none"/>
          <w:shd w:val="clear"/>
          <w:lang w:val="en-US" w:eastAsia="zh-CN"/>
        </w:rPr>
        <w:t>（三）绩效结果应用</w:t>
      </w:r>
      <w:bookmarkEnd w:id="107"/>
      <w:bookmarkEnd w:id="108"/>
    </w:p>
    <w:p w14:paraId="3974C46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泸定县人力资源和社会保障局</w:t>
      </w:r>
      <w:r>
        <w:rPr>
          <w:rFonts w:hint="eastAsia" w:ascii="方正仿宋简体" w:hAnsi="方正仿宋简体" w:eastAsia="方正仿宋简体" w:cs="方正仿宋简体"/>
          <w:color w:val="auto"/>
          <w:sz w:val="32"/>
          <w:szCs w:val="32"/>
          <w:highlight w:val="none"/>
          <w:lang w:val="en-US" w:eastAsia="zh"/>
        </w:rPr>
        <w:t>认真落实中央、省、州纪委全会部署安排，积极主动围绕中心服务大局，坚定不移正风肃纪反腐，扎实推进主题教育和教育整顿</w:t>
      </w:r>
      <w:r>
        <w:rPr>
          <w:rFonts w:hint="eastAsia" w:ascii="方正仿宋简体" w:hAnsi="方正仿宋简体" w:eastAsia="方正仿宋简体" w:cs="方正仿宋简体"/>
          <w:color w:val="auto"/>
          <w:sz w:val="32"/>
          <w:szCs w:val="32"/>
          <w:highlight w:val="none"/>
          <w:lang w:val="en-US" w:eastAsia="zh-CN"/>
        </w:rPr>
        <w:t>。通过对泸定县人力资源和社会保障局进行事后评价，泸定县人力资源和社会保障局绩效评价等级为“良”。秉承科学公正、统筹兼顾、激励约束和公开透明财政绩效原则。我单位建议泸定县财政局针对部门预算绩效管理，进一步要求泸定县人力资源和社会保障局完善绩效目标编制、提高绩效自评质量、加强年初预算编制准确性。</w:t>
      </w:r>
    </w:p>
    <w:p w14:paraId="0651BF79">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CN"/>
        </w:rPr>
      </w:pPr>
      <w:bookmarkStart w:id="116" w:name="_Toc17599"/>
      <w:bookmarkStart w:id="117" w:name="_Toc11368"/>
      <w:r>
        <w:rPr>
          <w:rFonts w:hint="eastAsia" w:ascii="方正楷体简体" w:hAnsi="方正楷体简体" w:eastAsia="方正楷体简体" w:cs="方正楷体简体"/>
          <w:color w:val="auto"/>
          <w:kern w:val="2"/>
          <w:sz w:val="32"/>
          <w:szCs w:val="32"/>
          <w:highlight w:val="none"/>
          <w:shd w:val="clear"/>
          <w:lang w:val="en-US" w:eastAsia="zh-CN"/>
        </w:rPr>
        <w:t>（四）</w:t>
      </w:r>
      <w:bookmarkEnd w:id="109"/>
      <w:bookmarkEnd w:id="110"/>
      <w:bookmarkEnd w:id="111"/>
      <w:bookmarkEnd w:id="112"/>
      <w:r>
        <w:rPr>
          <w:rFonts w:hint="eastAsia" w:ascii="方正楷体简体" w:hAnsi="方正楷体简体" w:eastAsia="方正楷体简体" w:cs="方正楷体简体"/>
          <w:color w:val="auto"/>
          <w:kern w:val="2"/>
          <w:sz w:val="32"/>
          <w:szCs w:val="32"/>
          <w:highlight w:val="none"/>
          <w:shd w:val="clear"/>
          <w:lang w:val="en-US" w:eastAsia="zh-CN"/>
        </w:rPr>
        <w:t>评价分析</w:t>
      </w:r>
      <w:bookmarkEnd w:id="113"/>
      <w:bookmarkEnd w:id="114"/>
      <w:bookmarkEnd w:id="115"/>
      <w:bookmarkEnd w:id="116"/>
      <w:bookmarkEnd w:id="117"/>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.预算编制</w:t>
      </w:r>
    </w:p>
    <w:p w14:paraId="14F83E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二级指标“预算编制”下设三个三级指标分别为：目标制定、目标实现、编制准确。</w:t>
      </w:r>
    </w:p>
    <w:p w14:paraId="5852C13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方正仿宋简体" w:hAnsi="方正仿宋简体" w:eastAsia="方正仿宋简体" w:cs="方正仿宋简体"/>
          <w:color w:val="auto"/>
          <w:sz w:val="32"/>
          <w:szCs w:val="32"/>
          <w:highlight w:val="none"/>
        </w:rPr>
        <w:t>目标制定</w:t>
      </w:r>
    </w:p>
    <w:p w14:paraId="4059A89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年度部门绩效目标以及项目绩效目标，目标设置数量、质量、时效、效益等指标，指标设置基本完整。但个别指标设置不合理，如“</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年春节退休人员慰问金”项目，编制社会效益指标“社会稳定发展提升</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”，无具体衡量标准，指标设置不明确。</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）目标实现</w:t>
      </w:r>
    </w:p>
    <w:p w14:paraId="692F37B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根据泸定县人力资源和社会保障局提供的</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年度年初预算项目绩效目标申报表及项目完成资料，年初预算项目</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个，涉及数量指标共计</w:t>
      </w:r>
      <w:r>
        <w:rPr>
          <w:rFonts w:hint="default" w:ascii="Times New Roman" w:hAnsi="Times New Roman" w:eastAsia="方正仿宋简体" w:cs="Times New Roman"/>
          <w:color w:val="auto"/>
          <w:sz w:val="32"/>
          <w:szCs w:val="32"/>
          <w:highlight w:val="none"/>
          <w:lang w:val="en-US" w:eastAsia="zh-CN"/>
        </w:rPr>
        <w:t>66</w:t>
      </w:r>
      <w:r>
        <w:rPr>
          <w:rFonts w:hint="eastAsia" w:ascii="方正仿宋简体" w:hAnsi="方正仿宋简体" w:eastAsia="方正仿宋简体" w:cs="方正仿宋简体"/>
          <w:color w:val="auto"/>
          <w:sz w:val="32"/>
          <w:szCs w:val="32"/>
          <w:highlight w:val="none"/>
          <w:lang w:val="en-US" w:eastAsia="zh-CN"/>
        </w:rPr>
        <w:t>个，实际完成指标</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个，未完成指标</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个，其中偏离度在</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以内的指标有</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个，偏离度超过</w:t>
      </w:r>
      <w:r>
        <w:rPr>
          <w:rFonts w:hint="default" w:ascii="Times New Roman" w:hAnsi="Times New Roman" w:eastAsia="方正仿宋简体" w:cs="Times New Roman"/>
          <w:color w:val="auto"/>
          <w:sz w:val="32"/>
          <w:szCs w:val="32"/>
          <w:highlight w:val="none"/>
          <w:lang w:val="en-US" w:eastAsia="zh-CN"/>
        </w:rPr>
        <w:t>30%</w:t>
      </w:r>
      <w:r>
        <w:rPr>
          <w:rFonts w:hint="eastAsia" w:ascii="方正仿宋简体" w:hAnsi="方正仿宋简体" w:eastAsia="方正仿宋简体" w:cs="方正仿宋简体"/>
          <w:color w:val="auto"/>
          <w:sz w:val="32"/>
          <w:szCs w:val="32"/>
          <w:highlight w:val="none"/>
          <w:lang w:val="en-US" w:eastAsia="zh-CN"/>
        </w:rPr>
        <w:t>指标</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个。</w:t>
      </w:r>
    </w:p>
    <w:p w14:paraId="35DC9D7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88</w:t>
      </w:r>
      <w:r>
        <w:rPr>
          <w:rFonts w:hint="eastAsia" w:ascii="方正仿宋简体" w:hAnsi="方正仿宋简体" w:eastAsia="方正仿宋简体" w:cs="方正仿宋简体"/>
          <w:color w:val="auto"/>
          <w:sz w:val="32"/>
          <w:szCs w:val="32"/>
          <w:highlight w:val="none"/>
          <w:lang w:val="en-US" w:eastAsia="zh-CN"/>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）编制准确</w:t>
      </w:r>
    </w:p>
    <w:p w14:paraId="4F1D52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根据可执行指标执行情况表显示：泸定县人力资源和社会保障局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年部门全年预算调剂金额为</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71</w:t>
      </w:r>
      <w:r>
        <w:rPr>
          <w:rFonts w:hint="eastAsia" w:ascii="方正仿宋简体" w:hAnsi="方正仿宋简体" w:eastAsia="方正仿宋简体" w:cs="方正仿宋简体"/>
          <w:color w:val="auto"/>
          <w:sz w:val="32"/>
          <w:szCs w:val="32"/>
          <w:highlight w:val="none"/>
          <w:lang w:val="en-US" w:eastAsia="zh-CN"/>
        </w:rPr>
        <w:t>万元，年初部门预算数为</w:t>
      </w:r>
      <w:r>
        <w:rPr>
          <w:rFonts w:hint="default" w:ascii="Times New Roman" w:hAnsi="Times New Roman" w:eastAsia="方正仿宋简体" w:cs="Times New Roman"/>
          <w:color w:val="auto"/>
          <w:sz w:val="32"/>
          <w:szCs w:val="32"/>
          <w:highlight w:val="none"/>
          <w:lang w:val="en-US" w:eastAsia="zh-CN"/>
        </w:rPr>
        <w:t>978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万元，预算调剂率为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48%</w:t>
      </w:r>
      <w:r>
        <w:rPr>
          <w:rFonts w:hint="eastAsia" w:ascii="方正仿宋简体" w:hAnsi="方正仿宋简体" w:eastAsia="方正仿宋简体" w:cs="方正仿宋简体"/>
          <w:color w:val="auto"/>
          <w:sz w:val="32"/>
          <w:szCs w:val="32"/>
          <w:highlight w:val="none"/>
          <w:lang w:val="en-US" w:eastAsia="zh-CN"/>
        </w:rPr>
        <w:t>。</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38</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62</w:t>
      </w:r>
      <w:r>
        <w:rPr>
          <w:rFonts w:hint="eastAsia" w:ascii="方正仿宋简体" w:hAnsi="方正仿宋简体" w:eastAsia="方正仿宋简体" w:cs="方正仿宋简体"/>
          <w:color w:val="auto"/>
          <w:sz w:val="32"/>
          <w:szCs w:val="32"/>
          <w:highlight w:val="none"/>
          <w:lang w:val="en-US" w:eastAsia="zh-CN"/>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二级指标“预算编制”指标分共计</w:t>
      </w:r>
      <w:r>
        <w:rPr>
          <w:rFonts w:hint="default" w:ascii="Times New Roman" w:hAnsi="Times New Roman" w:eastAsia="方正仿宋简体" w:cs="Times New Roman"/>
          <w:color w:val="auto"/>
          <w:sz w:val="32"/>
          <w:szCs w:val="32"/>
          <w:highlight w:val="none"/>
          <w:lang w:val="en-US" w:eastAsia="zh-CN"/>
        </w:rPr>
        <w:t>24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21</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）支出控制</w:t>
      </w:r>
    </w:p>
    <w:p w14:paraId="453EC0F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根据泸定县人力资源和社会保障局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年泸定县人力资源和社会保障局日常公用经费、项目支出中“办公费、印刷费、劳务费、差旅费”等</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CN"/>
        </w:rPr>
        <w:t>个科目，年初预算数合计</w:t>
      </w:r>
      <w:r>
        <w:rPr>
          <w:rFonts w:hint="default" w:ascii="Times New Roman" w:hAnsi="Times New Roman" w:eastAsia="方正仿宋简体" w:cs="Times New Roman"/>
          <w:color w:val="auto"/>
          <w:sz w:val="32"/>
          <w:szCs w:val="32"/>
          <w:highlight w:val="none"/>
          <w:lang w:val="en-US" w:eastAsia="zh-CN"/>
        </w:rPr>
        <w:t>127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17</w:t>
      </w:r>
      <w:r>
        <w:rPr>
          <w:rFonts w:hint="eastAsia" w:ascii="方正仿宋简体" w:hAnsi="方正仿宋简体" w:eastAsia="方正仿宋简体" w:cs="方正仿宋简体"/>
          <w:color w:val="auto"/>
          <w:sz w:val="32"/>
          <w:szCs w:val="32"/>
          <w:highlight w:val="none"/>
          <w:lang w:val="en-US" w:eastAsia="zh-CN"/>
        </w:rPr>
        <w:t>万元，决算数合计</w:t>
      </w:r>
      <w:r>
        <w:rPr>
          <w:rFonts w:hint="default" w:ascii="Times New Roman" w:hAnsi="Times New Roman" w:eastAsia="方正仿宋简体" w:cs="Times New Roman"/>
          <w:color w:val="auto"/>
          <w:sz w:val="32"/>
          <w:szCs w:val="32"/>
          <w:highlight w:val="none"/>
          <w:lang w:val="en-US" w:eastAsia="zh-CN"/>
        </w:rPr>
        <w:t>691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05</w:t>
      </w:r>
      <w:r>
        <w:rPr>
          <w:rFonts w:hint="eastAsia" w:ascii="方正仿宋简体" w:hAnsi="方正仿宋简体" w:eastAsia="方正仿宋简体" w:cs="方正仿宋简体"/>
          <w:color w:val="auto"/>
          <w:sz w:val="32"/>
          <w:szCs w:val="32"/>
          <w:highlight w:val="none"/>
          <w:lang w:val="en-US" w:eastAsia="zh-CN"/>
        </w:rPr>
        <w:t>万元，总体预决算偏差率</w:t>
      </w:r>
      <w:r>
        <w:rPr>
          <w:rFonts w:hint="default" w:ascii="Times New Roman" w:hAnsi="Times New Roman" w:eastAsia="方正仿宋简体" w:cs="Times New Roman"/>
          <w:color w:val="auto"/>
          <w:sz w:val="32"/>
          <w:szCs w:val="32"/>
          <w:highlight w:val="none"/>
          <w:lang w:val="en-US" w:eastAsia="zh-CN"/>
        </w:rPr>
        <w:t>443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41%</w:t>
      </w:r>
      <w:r>
        <w:rPr>
          <w:rFonts w:hint="eastAsia" w:ascii="方正仿宋简体" w:hAnsi="方正仿宋简体" w:eastAsia="方正仿宋简体" w:cs="方正仿宋简体"/>
          <w:color w:val="auto"/>
          <w:sz w:val="32"/>
          <w:szCs w:val="32"/>
          <w:highlight w:val="none"/>
          <w:lang w:val="en-US" w:eastAsia="zh-CN"/>
        </w:rPr>
        <w:t>。其中：培训费年初预算</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85</w:t>
      </w:r>
      <w:r>
        <w:rPr>
          <w:rFonts w:hint="eastAsia" w:ascii="方正仿宋简体" w:hAnsi="方正仿宋简体" w:eastAsia="方正仿宋简体" w:cs="方正仿宋简体"/>
          <w:color w:val="auto"/>
          <w:sz w:val="32"/>
          <w:szCs w:val="32"/>
          <w:highlight w:val="none"/>
          <w:lang w:val="en-US" w:eastAsia="zh-CN"/>
        </w:rPr>
        <w:t>万元，年末决算</w:t>
      </w:r>
      <w:r>
        <w:rPr>
          <w:rFonts w:hint="default" w:ascii="Times New Roman" w:hAnsi="Times New Roman" w:eastAsia="方正仿宋简体" w:cs="Times New Roman"/>
          <w:color w:val="auto"/>
          <w:sz w:val="32"/>
          <w:szCs w:val="32"/>
          <w:highlight w:val="none"/>
          <w:lang w:val="en-US" w:eastAsia="zh-CN"/>
        </w:rPr>
        <w:t>142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73</w:t>
      </w:r>
      <w:r>
        <w:rPr>
          <w:rFonts w:hint="eastAsia" w:ascii="方正仿宋简体" w:hAnsi="方正仿宋简体" w:eastAsia="方正仿宋简体" w:cs="方正仿宋简体"/>
          <w:color w:val="auto"/>
          <w:sz w:val="32"/>
          <w:szCs w:val="32"/>
          <w:highlight w:val="none"/>
          <w:lang w:val="en-US" w:eastAsia="zh-CN"/>
        </w:rPr>
        <w:t>万元，偏差率</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691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76%</w:t>
      </w:r>
      <w:r>
        <w:rPr>
          <w:rFonts w:hint="eastAsia" w:ascii="方正仿宋简体" w:hAnsi="方正仿宋简体" w:eastAsia="方正仿宋简体" w:cs="方正仿宋简体"/>
          <w:color w:val="auto"/>
          <w:sz w:val="32"/>
          <w:szCs w:val="32"/>
          <w:highlight w:val="none"/>
          <w:lang w:val="en-US" w:eastAsia="zh-CN"/>
        </w:rPr>
        <w:t>；劳务费年初预算</w:t>
      </w:r>
      <w:r>
        <w:rPr>
          <w:rFonts w:hint="default" w:ascii="Times New Roman" w:hAnsi="Times New Roman" w:eastAsia="方正仿宋简体" w:cs="Times New Roman"/>
          <w:color w:val="auto"/>
          <w:sz w:val="32"/>
          <w:szCs w:val="32"/>
          <w:highlight w:val="none"/>
          <w:lang w:val="en-US" w:eastAsia="zh-CN"/>
        </w:rPr>
        <w:t>14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万元，年末决算</w:t>
      </w:r>
      <w:r>
        <w:rPr>
          <w:rFonts w:hint="default" w:ascii="Times New Roman" w:hAnsi="Times New Roman" w:eastAsia="方正仿宋简体" w:cs="Times New Roman"/>
          <w:color w:val="auto"/>
          <w:sz w:val="32"/>
          <w:szCs w:val="32"/>
          <w:highlight w:val="none"/>
          <w:lang w:val="en-US" w:eastAsia="zh-CN"/>
        </w:rPr>
        <w:t>435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78</w:t>
      </w:r>
      <w:r>
        <w:rPr>
          <w:rFonts w:hint="eastAsia" w:ascii="方正仿宋简体" w:hAnsi="方正仿宋简体" w:eastAsia="方正仿宋简体" w:cs="方正仿宋简体"/>
          <w:color w:val="auto"/>
          <w:sz w:val="32"/>
          <w:szCs w:val="32"/>
          <w:highlight w:val="none"/>
          <w:lang w:val="en-US" w:eastAsia="zh-CN"/>
        </w:rPr>
        <w:t>万元，偏差率</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968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87%</w:t>
      </w:r>
      <w:r>
        <w:rPr>
          <w:rFonts w:hint="eastAsia" w:ascii="方正仿宋简体" w:hAnsi="方正仿宋简体" w:eastAsia="方正仿宋简体" w:cs="方正仿宋简体"/>
          <w:color w:val="auto"/>
          <w:sz w:val="32"/>
          <w:szCs w:val="32"/>
          <w:highlight w:val="none"/>
          <w:lang w:val="en-US" w:eastAsia="zh-CN"/>
        </w:rPr>
        <w:t>。</w:t>
      </w:r>
    </w:p>
    <w:p w14:paraId="51F3DF05">
      <w:pPr>
        <w:keepNext w:val="0"/>
        <w:keepLines w:val="0"/>
        <w:pageBreakBefore w:val="0"/>
        <w:kinsoku/>
        <w:wordWrap/>
        <w:overflowPunct/>
        <w:topLinePunct w:val="0"/>
        <w:autoSpaceDE/>
        <w:autoSpaceDN/>
        <w:bidi w:val="0"/>
        <w:spacing w:line="600" w:lineRule="exact"/>
        <w:ind w:left="0" w:leftChars="0" w:right="0" w:rightChars="0" w:firstLine="6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2956C49">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）动态调整</w:t>
      </w:r>
    </w:p>
    <w:p w14:paraId="6C6EEC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年部门绩效监控调整取消额为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，根据可执行指标执行情况表显示当年年度预算总额为</w:t>
      </w:r>
      <w:r>
        <w:rPr>
          <w:rFonts w:hint="default" w:ascii="Times New Roman" w:hAnsi="Times New Roman" w:eastAsia="方正仿宋简体" w:cs="Times New Roman"/>
          <w:color w:val="auto"/>
          <w:sz w:val="32"/>
          <w:szCs w:val="32"/>
          <w:highlight w:val="none"/>
          <w:lang w:val="en-US" w:eastAsia="zh-CN"/>
        </w:rPr>
        <w:t>978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万元，年末结余注销金额（县级预算）为</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万元。</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kern w:val="0"/>
          <w:sz w:val="32"/>
          <w:szCs w:val="32"/>
          <w:highlight w:val="none"/>
          <w:lang w:bidi="ar"/>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）执行进度</w:t>
      </w:r>
    </w:p>
    <w:p w14:paraId="6AE6CFE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年度预算、决算报表以及</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年一体化平台“可执行指标执行情况表”，相关月份预算执行进度如下：</w:t>
      </w:r>
    </w:p>
    <w:p w14:paraId="2BFC62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558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69</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978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57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p>
    <w:p w14:paraId="1D2194D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月末累计实现预算支出</w:t>
      </w:r>
      <w:r>
        <w:rPr>
          <w:rFonts w:hint="default" w:ascii="Times New Roman" w:hAnsi="Times New Roman" w:eastAsia="方正仿宋简体" w:cs="Times New Roman"/>
          <w:color w:val="auto"/>
          <w:sz w:val="32"/>
          <w:szCs w:val="32"/>
          <w:highlight w:val="none"/>
          <w:lang w:val="en-US" w:eastAsia="zh-CN"/>
        </w:rPr>
        <w:t>774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97</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978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79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p>
    <w:p w14:paraId="33DE762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截至</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月末实现累计预算支出</w:t>
      </w:r>
      <w:r>
        <w:rPr>
          <w:rFonts w:hint="default" w:ascii="Times New Roman" w:hAnsi="Times New Roman" w:eastAsia="方正仿宋简体" w:cs="Times New Roman"/>
          <w:color w:val="auto"/>
          <w:sz w:val="32"/>
          <w:szCs w:val="32"/>
          <w:highlight w:val="none"/>
          <w:lang w:val="en-US" w:eastAsia="zh-CN"/>
        </w:rPr>
        <w:t>948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15</w:t>
      </w:r>
      <w:r>
        <w:rPr>
          <w:rFonts w:hint="eastAsia" w:ascii="方正仿宋简体" w:hAnsi="方正仿宋简体" w:eastAsia="方正仿宋简体" w:cs="方正仿宋简体"/>
          <w:color w:val="auto"/>
          <w:sz w:val="32"/>
          <w:szCs w:val="32"/>
          <w:highlight w:val="none"/>
          <w:lang w:val="en-US" w:eastAsia="zh-CN"/>
        </w:rPr>
        <w:t>万元，占全年预算总额</w:t>
      </w:r>
      <w:r>
        <w:rPr>
          <w:rFonts w:hint="default" w:ascii="Times New Roman" w:hAnsi="Times New Roman" w:eastAsia="方正仿宋简体" w:cs="Times New Roman"/>
          <w:color w:val="auto"/>
          <w:sz w:val="32"/>
          <w:szCs w:val="32"/>
          <w:highlight w:val="none"/>
          <w:lang w:val="en-US" w:eastAsia="zh-CN"/>
        </w:rPr>
        <w:t>978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49</w:t>
      </w:r>
      <w:r>
        <w:rPr>
          <w:rFonts w:hint="eastAsia" w:ascii="方正仿宋简体" w:hAnsi="方正仿宋简体" w:eastAsia="方正仿宋简体" w:cs="方正仿宋简体"/>
          <w:color w:val="auto"/>
          <w:sz w:val="32"/>
          <w:szCs w:val="32"/>
          <w:highlight w:val="none"/>
          <w:lang w:val="en-US" w:eastAsia="zh-CN"/>
        </w:rPr>
        <w:t>万元的</w:t>
      </w:r>
      <w:r>
        <w:rPr>
          <w:rFonts w:hint="default" w:ascii="Times New Roman" w:hAnsi="Times New Roman" w:eastAsia="方正仿宋简体" w:cs="Times New Roman"/>
          <w:color w:val="auto"/>
          <w:sz w:val="32"/>
          <w:szCs w:val="32"/>
          <w:highlight w:val="none"/>
          <w:lang w:val="en-US" w:eastAsia="zh-CN"/>
        </w:rPr>
        <w:t>96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90%</w:t>
      </w:r>
      <w:r>
        <w:rPr>
          <w:rFonts w:hint="eastAsia" w:ascii="方正仿宋简体" w:hAnsi="方正仿宋简体" w:eastAsia="方正仿宋简体" w:cs="方正仿宋简体"/>
          <w:color w:val="auto"/>
          <w:sz w:val="32"/>
          <w:szCs w:val="32"/>
          <w:highlight w:val="none"/>
          <w:lang w:val="en-US" w:eastAsia="zh-CN"/>
        </w:rPr>
        <w:t xml:space="preserve">。  </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 xml:space="preserve">综上，以上三个阶段执行进度均已达到目标进度。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二级指标“预算执行”指标分共计</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28F3F602">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6AD9472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）预算完成</w:t>
      </w:r>
    </w:p>
    <w:p w14:paraId="73B5FAF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年决算报表及“可执行指标执行情况表”，泸定县人力资源和社会保障局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月实现预算支出</w:t>
      </w:r>
      <w:r>
        <w:rPr>
          <w:rFonts w:hint="default" w:ascii="Times New Roman" w:hAnsi="Times New Roman" w:eastAsia="方正仿宋简体" w:cs="Times New Roman"/>
          <w:color w:val="auto"/>
          <w:sz w:val="32"/>
          <w:szCs w:val="32"/>
          <w:highlight w:val="none"/>
          <w:lang w:val="en-US" w:eastAsia="zh-CN"/>
        </w:rPr>
        <w:t>186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en-US" w:eastAsia="zh-CN"/>
        </w:rPr>
        <w:t>万元，全年预算总额</w:t>
      </w:r>
      <w:r>
        <w:rPr>
          <w:rFonts w:hint="default" w:ascii="Times New Roman" w:hAnsi="Times New Roman" w:eastAsia="方正仿宋简体" w:cs="Times New Roman"/>
          <w:color w:val="auto"/>
          <w:sz w:val="32"/>
          <w:szCs w:val="32"/>
          <w:highlight w:val="none"/>
          <w:lang w:val="en-US" w:eastAsia="zh-CN"/>
        </w:rPr>
        <w:t>186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en-US" w:eastAsia="zh-CN"/>
        </w:rPr>
        <w:t>万元，全年预算完成率为</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）违规记录</w:t>
      </w:r>
    </w:p>
    <w:p w14:paraId="3B5BD69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根据泸定县人力资源和社会保障局提供相关资料及现场了解，</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年度未接受相关审计监督或财政检查。</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二级指标“完成结果”指标分共计</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CN"/>
        </w:rPr>
        <w:t>分，此处得分为</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CN"/>
        </w:rPr>
        <w:t>分。</w:t>
      </w:r>
    </w:p>
    <w:p w14:paraId="66F6C83F">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项目自评报告编制</w:t>
      </w:r>
    </w:p>
    <w:p w14:paraId="33E525C0">
      <w:pPr>
        <w:keepNext w:val="0"/>
        <w:keepLines w:val="0"/>
        <w:pageBreakBefore w:val="0"/>
        <w:numPr>
          <w:ilvl w:val="0"/>
          <w:numId w:val="3"/>
        </w:numPr>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项目自评报告编制完整性</w:t>
      </w:r>
    </w:p>
    <w:p w14:paraId="6FD49103">
      <w:pPr>
        <w:keepNext w:val="0"/>
        <w:keepLines w:val="0"/>
        <w:pageBreakBefore w:val="0"/>
        <w:numPr>
          <w:ilvl w:val="0"/>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经检查，泸定县人力资源和社会保障局共计</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个项目类支出（其中专项项目</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个），均按要求编制了自评表、自评报告及自评打分表</w:t>
      </w:r>
    </w:p>
    <w:p w14:paraId="09DA5952">
      <w:pPr>
        <w:keepNext w:val="0"/>
        <w:keepLines w:val="0"/>
        <w:pageBreakBefore w:val="0"/>
        <w:numPr>
          <w:ilvl w:val="0"/>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3E1A5EB3">
      <w:pPr>
        <w:keepNext w:val="0"/>
        <w:keepLines w:val="0"/>
        <w:pageBreakBefore w:val="0"/>
        <w:numPr>
          <w:ilvl w:val="0"/>
          <w:numId w:val="3"/>
        </w:numPr>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项目自评报告编制质量</w:t>
      </w:r>
    </w:p>
    <w:p w14:paraId="3DB22635">
      <w:pPr>
        <w:keepNext w:val="0"/>
        <w:keepLines w:val="0"/>
        <w:pageBreakBefore w:val="0"/>
        <w:numPr>
          <w:ilvl w:val="0"/>
          <w:numId w:val="0"/>
        </w:numPr>
        <w:kinsoku/>
        <w:wordWrap/>
        <w:overflowPunct/>
        <w:topLinePunct w:val="0"/>
        <w:autoSpaceDE/>
        <w:autoSpaceDN/>
        <w:bidi w:val="0"/>
        <w:spacing w:line="600" w:lineRule="exact"/>
        <w:ind w:left="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 xml:space="preserve">   泸定县人力资源和社会保障局共计</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个项目类支出（其中专项项目</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个），相关自评报告编制结构完整、资金计划、到位、使用、项目财务管理、项目组织实施、项目完成、项目效益、存在的问题、相关建议等各项目要素完整。</w:t>
      </w:r>
    </w:p>
    <w:p w14:paraId="22F90BD5">
      <w:pPr>
        <w:keepNext w:val="0"/>
        <w:keepLines w:val="0"/>
        <w:pageBreakBefore w:val="0"/>
        <w:numPr>
          <w:ilvl w:val="0"/>
          <w:numId w:val="0"/>
        </w:numPr>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本项分值为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7EC3D803">
      <w:pPr>
        <w:keepNext w:val="0"/>
        <w:keepLines w:val="0"/>
        <w:pageBreakBefore w:val="0"/>
        <w:numPr>
          <w:ilvl w:val="0"/>
          <w:numId w:val="0"/>
        </w:numPr>
        <w:kinsoku/>
        <w:wordWrap/>
        <w:overflowPunct/>
        <w:topLinePunct w:val="0"/>
        <w:autoSpaceDE/>
        <w:autoSpaceDN/>
        <w:bidi w:val="0"/>
        <w:spacing w:line="600" w:lineRule="exact"/>
        <w:ind w:left="0" w:firstLine="640" w:firstLineChars="2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二级指标“项目自评报告编制”指标分共计</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00</w:t>
      </w:r>
      <w:r>
        <w:rPr>
          <w:rFonts w:hint="eastAsia" w:ascii="方正仿宋简体" w:hAnsi="方正仿宋简体" w:eastAsia="方正仿宋简体" w:cs="方正仿宋简体"/>
          <w:color w:val="auto"/>
          <w:sz w:val="32"/>
          <w:szCs w:val="32"/>
          <w:highlight w:val="none"/>
          <w:lang w:val="en-US" w:eastAsia="zh-CN"/>
        </w:rPr>
        <w:t>分，此处得分为</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69CC418E">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二级指标“信息公开”下设一个三级指标为自评公开。</w:t>
      </w:r>
    </w:p>
    <w:p w14:paraId="09CC68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泸定县人力资源和社会保障局已自行组织编制</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年部门整体支出绩效自评报告，因</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年决算尚未批复，待决算批复后公开时随同决算报告一并公开。</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二级指标“信息公开”指标分共计</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19A5BE0D">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二级指标“整改反馈”下设两个三级指标为：结果整改和应用反馈。</w:t>
      </w:r>
    </w:p>
    <w:p w14:paraId="75EBD0E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）结果整改</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年度，泸定县人力资源和社会保障局未收到绩效目标核查、绩效重点监控和重点绩效评价等方面整改意见，无需整改。</w:t>
      </w:r>
    </w:p>
    <w:p w14:paraId="412D057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年度，泸定县人力资源和社会保障局已按照财政部门的要求，反馈了绩效</w:t>
      </w:r>
      <w:r>
        <w:rPr>
          <w:rFonts w:hint="eastAsia" w:ascii="方正仿宋简体" w:hAnsi="方正仿宋简体" w:eastAsia="方正仿宋简体" w:cs="方正仿宋简体"/>
          <w:color w:val="auto"/>
          <w:sz w:val="32"/>
          <w:szCs w:val="32"/>
          <w:highlight w:val="none"/>
        </w:rPr>
        <w:t>结果应用方面的相关资料。</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二级指标“整改反馈”指标分共计</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分，此项得分为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BFE4BCB">
      <w:pPr>
        <w:keepNext w:val="0"/>
        <w:keepLines w:val="0"/>
        <w:pageBreakBefore w:val="0"/>
        <w:numPr>
          <w:ilvl w:val="0"/>
          <w:numId w:val="2"/>
        </w:numPr>
        <w:kinsoku/>
        <w:wordWrap/>
        <w:overflowPunct/>
        <w:topLinePunct w:val="0"/>
        <w:autoSpaceDE/>
        <w:autoSpaceDN/>
        <w:bidi w:val="0"/>
        <w:spacing w:line="600" w:lineRule="exact"/>
        <w:ind w:left="0" w:leftChars="0" w:firstLine="640"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二级指标“自评质量”下设一个三级指标为：自评准确。</w:t>
      </w:r>
    </w:p>
    <w:p w14:paraId="4050D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泸定县人力资源和社会保障局</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年部门整体支出自评得分为</w:t>
      </w:r>
      <w:r>
        <w:rPr>
          <w:rFonts w:hint="default" w:ascii="Times New Roman" w:hAnsi="Times New Roman" w:eastAsia="方正仿宋简体" w:cs="Times New Roman"/>
          <w:color w:val="auto"/>
          <w:sz w:val="32"/>
          <w:szCs w:val="32"/>
          <w:highlight w:val="none"/>
          <w:lang w:val="en-US" w:eastAsia="zh-CN"/>
        </w:rPr>
        <w:t>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分（不含自评准确分数），评价组抽查得分为</w:t>
      </w:r>
      <w:r>
        <w:rPr>
          <w:rFonts w:hint="default" w:ascii="Times New Roman" w:hAnsi="Times New Roman" w:eastAsia="方正仿宋简体" w:cs="Times New Roman"/>
          <w:color w:val="auto"/>
          <w:sz w:val="32"/>
          <w:szCs w:val="32"/>
          <w:highlight w:val="none"/>
          <w:lang w:val="en-US" w:eastAsia="zh-CN"/>
        </w:rPr>
        <w:t>80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06</w:t>
      </w:r>
      <w:r>
        <w:rPr>
          <w:rFonts w:hint="eastAsia" w:ascii="方正仿宋简体" w:hAnsi="方正仿宋简体" w:eastAsia="方正仿宋简体" w:cs="方正仿宋简体"/>
          <w:color w:val="auto"/>
          <w:sz w:val="32"/>
          <w:szCs w:val="32"/>
          <w:highlight w:val="none"/>
          <w:lang w:val="en-US" w:eastAsia="zh-CN"/>
        </w:rPr>
        <w:t>分（不含自评准确分数），与评价组评价得分差异率为(</w:t>
      </w:r>
      <w:r>
        <w:rPr>
          <w:rFonts w:hint="default" w:ascii="Times New Roman" w:hAnsi="Times New Roman" w:eastAsia="方正仿宋简体" w:cs="Times New Roman"/>
          <w:color w:val="auto"/>
          <w:sz w:val="32"/>
          <w:szCs w:val="32"/>
          <w:highlight w:val="none"/>
          <w:lang w:val="en-US" w:eastAsia="zh-CN"/>
        </w:rPr>
        <w:t>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91%</w:t>
      </w:r>
      <w:r>
        <w:rPr>
          <w:rFonts w:hint="eastAsia" w:ascii="方正仿宋简体" w:hAnsi="方正仿宋简体" w:eastAsia="方正仿宋简体" w:cs="方正仿宋简体"/>
          <w:color w:val="auto"/>
          <w:sz w:val="32"/>
          <w:szCs w:val="32"/>
          <w:highlight w:val="none"/>
          <w:lang w:val="en-US" w:eastAsia="zh-CN"/>
        </w:rPr>
        <w:t>，扣除</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二级指标“自评质量”指标分共计</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分，扣除</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分，得分为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bookmarkEnd w:id="3"/>
    <w:p w14:paraId="6478B652">
      <w:pPr>
        <w:keepNext w:val="0"/>
        <w:keepLines w:val="0"/>
        <w:pageBreakBefore w:val="0"/>
        <w:kinsoku/>
        <w:wordWrap/>
        <w:overflowPunct/>
        <w:topLinePunct w:val="0"/>
        <w:autoSpaceDE/>
        <w:autoSpaceDN/>
        <w:bidi w:val="0"/>
        <w:adjustRightInd w:val="0"/>
        <w:snapToGrid w:val="0"/>
        <w:spacing w:line="600" w:lineRule="exact"/>
        <w:ind w:left="0" w:firstLine="560"/>
        <w:outlineLvl w:val="0"/>
        <w:rPr>
          <w:rFonts w:hint="eastAsia" w:ascii="方正黑体简体" w:hAnsi="方正黑体简体" w:eastAsia="方正黑体简体" w:cs="方正黑体简体"/>
          <w:color w:val="auto"/>
          <w:sz w:val="32"/>
          <w:szCs w:val="32"/>
          <w:highlight w:val="none"/>
        </w:rPr>
      </w:pPr>
      <w:bookmarkStart w:id="118" w:name="_Toc248033833"/>
      <w:bookmarkStart w:id="119" w:name="_Toc31851"/>
      <w:bookmarkStart w:id="120" w:name="_Toc4350"/>
      <w:bookmarkStart w:id="121" w:name="_Toc5060"/>
      <w:bookmarkStart w:id="122" w:name="_Toc823448808"/>
      <w:bookmarkStart w:id="123" w:name="_Toc14032"/>
      <w:bookmarkStart w:id="124" w:name="_Toc30515"/>
      <w:bookmarkStart w:id="125" w:name="_Toc1841"/>
      <w:bookmarkStart w:id="126" w:name="_Toc21218"/>
      <w:bookmarkStart w:id="127" w:name="_Toc8336"/>
      <w:bookmarkStart w:id="128" w:name="_Toc19973"/>
      <w:r>
        <w:rPr>
          <w:rFonts w:hint="eastAsia" w:ascii="方正黑体简体" w:hAnsi="方正黑体简体" w:eastAsia="方正黑体简体" w:cs="方正黑体简体"/>
          <w:color w:val="auto"/>
          <w:sz w:val="32"/>
          <w:szCs w:val="32"/>
          <w:highlight w:val="none"/>
          <w:lang w:val="en-US" w:eastAsia="zh-CN"/>
        </w:rPr>
        <w:t>五</w:t>
      </w:r>
      <w:r>
        <w:rPr>
          <w:rFonts w:hint="eastAsia" w:ascii="方正黑体简体" w:hAnsi="方正黑体简体" w:eastAsia="方正黑体简体" w:cs="方正黑体简体"/>
          <w:color w:val="auto"/>
          <w:sz w:val="32"/>
          <w:szCs w:val="32"/>
          <w:highlight w:val="none"/>
        </w:rPr>
        <w:t>、存在的主要问题</w:t>
      </w:r>
      <w:bookmarkEnd w:id="118"/>
      <w:bookmarkEnd w:id="119"/>
      <w:bookmarkEnd w:id="120"/>
      <w:bookmarkEnd w:id="121"/>
      <w:bookmarkEnd w:id="122"/>
      <w:bookmarkEnd w:id="123"/>
      <w:bookmarkEnd w:id="124"/>
      <w:bookmarkEnd w:id="125"/>
      <w:bookmarkEnd w:id="126"/>
    </w:p>
    <w:p w14:paraId="6C7F1241">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zh-CN" w:eastAsia="zh"/>
        </w:rPr>
      </w:pPr>
      <w:bookmarkStart w:id="129" w:name="_Toc12556"/>
      <w:bookmarkStart w:id="130" w:name="_Toc16080"/>
      <w:bookmarkStart w:id="131" w:name="_Toc771997543"/>
      <w:bookmarkStart w:id="132" w:name="_Toc22968"/>
      <w:bookmarkStart w:id="133" w:name="_Toc31629"/>
      <w:bookmarkStart w:id="134" w:name="_Toc464104487"/>
      <w:bookmarkStart w:id="135" w:name="_Toc15651"/>
      <w:bookmarkStart w:id="136" w:name="_Toc10426"/>
      <w:bookmarkStart w:id="137" w:name="_Toc3240"/>
      <w:r>
        <w:rPr>
          <w:rFonts w:hint="eastAsia" w:ascii="方正楷体简体" w:hAnsi="方正楷体简体" w:eastAsia="方正楷体简体" w:cs="方正楷体简体"/>
          <w:color w:val="auto"/>
          <w:kern w:val="2"/>
          <w:sz w:val="32"/>
          <w:szCs w:val="32"/>
          <w:highlight w:val="none"/>
          <w:shd w:val="clear"/>
          <w:lang w:val="en-US" w:eastAsia="zh"/>
        </w:rPr>
        <w:t>（</w:t>
      </w:r>
      <w:r>
        <w:rPr>
          <w:rFonts w:hint="eastAsia" w:ascii="方正楷体简体" w:hAnsi="方正楷体简体" w:eastAsia="方正楷体简体" w:cs="方正楷体简体"/>
          <w:color w:val="auto"/>
          <w:kern w:val="2"/>
          <w:sz w:val="32"/>
          <w:szCs w:val="32"/>
          <w:highlight w:val="none"/>
          <w:shd w:val="clear"/>
          <w:lang w:val="en-US" w:eastAsia="zh-CN"/>
        </w:rPr>
        <w:t>一</w:t>
      </w:r>
      <w:r>
        <w:rPr>
          <w:rFonts w:hint="eastAsia" w:ascii="方正楷体简体" w:hAnsi="方正楷体简体" w:eastAsia="方正楷体简体" w:cs="方正楷体简体"/>
          <w:color w:val="auto"/>
          <w:kern w:val="2"/>
          <w:sz w:val="32"/>
          <w:szCs w:val="32"/>
          <w:highlight w:val="none"/>
          <w:shd w:val="clear"/>
          <w:lang w:val="en-US" w:eastAsia="zh"/>
        </w:rPr>
        <w:t>）预算编制不准确</w:t>
      </w:r>
      <w:bookmarkEnd w:id="129"/>
      <w:bookmarkEnd w:id="130"/>
    </w:p>
    <w:p w14:paraId="74760E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
        </w:rPr>
      </w:pPr>
      <w:r>
        <w:rPr>
          <w:rFonts w:hint="eastAsia" w:ascii="方正仿宋简体" w:hAnsi="方正仿宋简体" w:eastAsia="方正仿宋简体" w:cs="方正仿宋简体"/>
          <w:color w:val="auto"/>
          <w:sz w:val="32"/>
          <w:szCs w:val="32"/>
          <w:highlight w:val="none"/>
          <w:lang w:val="en-US" w:eastAsia="zh"/>
        </w:rPr>
        <w:t>根据泸定县人力资源和社会保障局</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年泸定县人力资源和社会保障局日常公用经费、项目支出中“办公费、印刷费、劳务费、差旅费”等</w:t>
      </w:r>
      <w:r>
        <w:rPr>
          <w:rFonts w:hint="default" w:ascii="Times New Roman" w:hAnsi="Times New Roman" w:eastAsia="方正仿宋简体" w:cs="Times New Roman"/>
          <w:color w:val="auto"/>
          <w:sz w:val="32"/>
          <w:szCs w:val="32"/>
          <w:highlight w:val="none"/>
          <w:lang w:val="en-US" w:eastAsia="zh"/>
        </w:rPr>
        <w:t>16</w:t>
      </w:r>
      <w:r>
        <w:rPr>
          <w:rFonts w:hint="eastAsia" w:ascii="方正仿宋简体" w:hAnsi="方正仿宋简体" w:eastAsia="方正仿宋简体" w:cs="方正仿宋简体"/>
          <w:color w:val="auto"/>
          <w:sz w:val="32"/>
          <w:szCs w:val="32"/>
          <w:highlight w:val="none"/>
          <w:lang w:val="en-US" w:eastAsia="zh"/>
        </w:rPr>
        <w:t>个科目，年初预算数合计</w:t>
      </w:r>
      <w:r>
        <w:rPr>
          <w:rFonts w:hint="default" w:ascii="Times New Roman" w:hAnsi="Times New Roman" w:eastAsia="方正仿宋简体" w:cs="Times New Roman"/>
          <w:color w:val="auto"/>
          <w:sz w:val="32"/>
          <w:szCs w:val="32"/>
          <w:highlight w:val="none"/>
          <w:lang w:val="en-US" w:eastAsia="zh"/>
        </w:rPr>
        <w:t>127</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17</w:t>
      </w:r>
      <w:r>
        <w:rPr>
          <w:rFonts w:hint="eastAsia" w:ascii="方正仿宋简体" w:hAnsi="方正仿宋简体" w:eastAsia="方正仿宋简体" w:cs="方正仿宋简体"/>
          <w:color w:val="auto"/>
          <w:sz w:val="32"/>
          <w:szCs w:val="32"/>
          <w:highlight w:val="none"/>
          <w:lang w:val="en-US" w:eastAsia="zh"/>
        </w:rPr>
        <w:t>万元，决算数合计</w:t>
      </w:r>
      <w:r>
        <w:rPr>
          <w:rFonts w:hint="default" w:ascii="Times New Roman" w:hAnsi="Times New Roman" w:eastAsia="方正仿宋简体" w:cs="Times New Roman"/>
          <w:color w:val="auto"/>
          <w:sz w:val="32"/>
          <w:szCs w:val="32"/>
          <w:highlight w:val="none"/>
          <w:lang w:val="en-US" w:eastAsia="zh"/>
        </w:rPr>
        <w:t>691</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05</w:t>
      </w:r>
      <w:r>
        <w:rPr>
          <w:rFonts w:hint="eastAsia" w:ascii="方正仿宋简体" w:hAnsi="方正仿宋简体" w:eastAsia="方正仿宋简体" w:cs="方正仿宋简体"/>
          <w:color w:val="auto"/>
          <w:sz w:val="32"/>
          <w:szCs w:val="32"/>
          <w:highlight w:val="none"/>
          <w:lang w:val="en-US" w:eastAsia="zh"/>
        </w:rPr>
        <w:t>万元，总体预决算偏差率</w:t>
      </w:r>
      <w:r>
        <w:rPr>
          <w:rFonts w:hint="default" w:ascii="Times New Roman" w:hAnsi="Times New Roman" w:eastAsia="方正仿宋简体" w:cs="Times New Roman"/>
          <w:color w:val="auto"/>
          <w:sz w:val="32"/>
          <w:szCs w:val="32"/>
          <w:highlight w:val="none"/>
          <w:lang w:val="en-US" w:eastAsia="zh"/>
        </w:rPr>
        <w:t>443</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41%</w:t>
      </w:r>
      <w:r>
        <w:rPr>
          <w:rFonts w:hint="eastAsia" w:ascii="方正仿宋简体" w:hAnsi="方正仿宋简体" w:eastAsia="方正仿宋简体" w:cs="方正仿宋简体"/>
          <w:color w:val="auto"/>
          <w:sz w:val="32"/>
          <w:szCs w:val="32"/>
          <w:highlight w:val="none"/>
          <w:lang w:val="en-US" w:eastAsia="zh"/>
        </w:rPr>
        <w:t>。其中：培训费年初预算</w:t>
      </w:r>
      <w:r>
        <w:rPr>
          <w:rFonts w:hint="default" w:ascii="Times New Roman" w:hAnsi="Times New Roman" w:eastAsia="方正仿宋简体" w:cs="Times New Roman"/>
          <w:color w:val="auto"/>
          <w:sz w:val="32"/>
          <w:szCs w:val="32"/>
          <w:highlight w:val="none"/>
          <w:lang w:val="en-US" w:eastAsia="zh"/>
        </w:rPr>
        <w:t>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85</w:t>
      </w:r>
      <w:r>
        <w:rPr>
          <w:rFonts w:hint="eastAsia" w:ascii="方正仿宋简体" w:hAnsi="方正仿宋简体" w:eastAsia="方正仿宋简体" w:cs="方正仿宋简体"/>
          <w:color w:val="auto"/>
          <w:sz w:val="32"/>
          <w:szCs w:val="32"/>
          <w:highlight w:val="none"/>
          <w:lang w:val="en-US" w:eastAsia="zh"/>
        </w:rPr>
        <w:t>万元，年末决算</w:t>
      </w:r>
      <w:r>
        <w:rPr>
          <w:rFonts w:hint="default" w:ascii="Times New Roman" w:hAnsi="Times New Roman" w:eastAsia="方正仿宋简体" w:cs="Times New Roman"/>
          <w:color w:val="auto"/>
          <w:sz w:val="32"/>
          <w:szCs w:val="32"/>
          <w:highlight w:val="none"/>
          <w:lang w:val="en-US" w:eastAsia="zh"/>
        </w:rPr>
        <w:t>142</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73</w:t>
      </w:r>
      <w:r>
        <w:rPr>
          <w:rFonts w:hint="eastAsia" w:ascii="方正仿宋简体" w:hAnsi="方正仿宋简体" w:eastAsia="方正仿宋简体" w:cs="方正仿宋简体"/>
          <w:color w:val="auto"/>
          <w:sz w:val="32"/>
          <w:szCs w:val="32"/>
          <w:highlight w:val="none"/>
          <w:lang w:val="en-US" w:eastAsia="zh"/>
        </w:rPr>
        <w:t>万元，偏差率</w:t>
      </w:r>
      <w:r>
        <w:rPr>
          <w:rFonts w:hint="default" w:ascii="Times New Roman" w:hAnsi="Times New Roman" w:eastAsia="方正仿宋简体" w:cs="Times New Roman"/>
          <w:color w:val="auto"/>
          <w:sz w:val="32"/>
          <w:szCs w:val="32"/>
          <w:highlight w:val="none"/>
          <w:lang w:val="en-US" w:eastAsia="zh"/>
        </w:rPr>
        <w:t>16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
        </w:rPr>
        <w:t>691</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76%</w:t>
      </w:r>
      <w:r>
        <w:rPr>
          <w:rFonts w:hint="eastAsia" w:ascii="方正仿宋简体" w:hAnsi="方正仿宋简体" w:eastAsia="方正仿宋简体" w:cs="方正仿宋简体"/>
          <w:color w:val="auto"/>
          <w:sz w:val="32"/>
          <w:szCs w:val="32"/>
          <w:highlight w:val="none"/>
          <w:lang w:val="en-US" w:eastAsia="zh"/>
        </w:rPr>
        <w:t>；劳务费年初预算</w:t>
      </w:r>
      <w:r>
        <w:rPr>
          <w:rFonts w:hint="default" w:ascii="Times New Roman" w:hAnsi="Times New Roman" w:eastAsia="方正仿宋简体" w:cs="Times New Roman"/>
          <w:color w:val="auto"/>
          <w:sz w:val="32"/>
          <w:szCs w:val="32"/>
          <w:highlight w:val="none"/>
          <w:lang w:val="en-US" w:eastAsia="zh"/>
        </w:rPr>
        <w:t>14</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20</w:t>
      </w:r>
      <w:r>
        <w:rPr>
          <w:rFonts w:hint="eastAsia" w:ascii="方正仿宋简体" w:hAnsi="方正仿宋简体" w:eastAsia="方正仿宋简体" w:cs="方正仿宋简体"/>
          <w:color w:val="auto"/>
          <w:sz w:val="32"/>
          <w:szCs w:val="32"/>
          <w:highlight w:val="none"/>
          <w:lang w:val="en-US" w:eastAsia="zh"/>
        </w:rPr>
        <w:t>万元，年末决算</w:t>
      </w:r>
      <w:r>
        <w:rPr>
          <w:rFonts w:hint="default" w:ascii="Times New Roman" w:hAnsi="Times New Roman" w:eastAsia="方正仿宋简体" w:cs="Times New Roman"/>
          <w:color w:val="auto"/>
          <w:sz w:val="32"/>
          <w:szCs w:val="32"/>
          <w:highlight w:val="none"/>
          <w:lang w:val="en-US" w:eastAsia="zh"/>
        </w:rPr>
        <w:t>435</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78</w:t>
      </w:r>
      <w:r>
        <w:rPr>
          <w:rFonts w:hint="eastAsia" w:ascii="方正仿宋简体" w:hAnsi="方正仿宋简体" w:eastAsia="方正仿宋简体" w:cs="方正仿宋简体"/>
          <w:color w:val="auto"/>
          <w:sz w:val="32"/>
          <w:szCs w:val="32"/>
          <w:highlight w:val="none"/>
          <w:lang w:val="en-US" w:eastAsia="zh"/>
        </w:rPr>
        <w:t>万元，偏差率</w:t>
      </w:r>
      <w:r>
        <w:rPr>
          <w:rFonts w:hint="default" w:ascii="Times New Roman" w:hAnsi="Times New Roman" w:eastAsia="方正仿宋简体" w:cs="Times New Roman"/>
          <w:color w:val="auto"/>
          <w:sz w:val="32"/>
          <w:szCs w:val="32"/>
          <w:highlight w:val="none"/>
          <w:lang w:val="en-US" w:eastAsia="zh"/>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
        </w:rPr>
        <w:t>968</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87%</w:t>
      </w:r>
      <w:r>
        <w:rPr>
          <w:rFonts w:hint="eastAsia" w:ascii="方正仿宋简体" w:hAnsi="方正仿宋简体" w:eastAsia="方正仿宋简体" w:cs="方正仿宋简体"/>
          <w:color w:val="auto"/>
          <w:sz w:val="32"/>
          <w:szCs w:val="32"/>
          <w:highlight w:val="none"/>
          <w:lang w:val="en-US" w:eastAsia="zh"/>
        </w:rPr>
        <w:t>。</w:t>
      </w:r>
    </w:p>
    <w:p w14:paraId="7E8C1DD6">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
        </w:rPr>
      </w:pPr>
      <w:bookmarkStart w:id="138" w:name="_Toc8901"/>
      <w:r>
        <w:rPr>
          <w:rFonts w:hint="eastAsia" w:ascii="方正楷体简体" w:hAnsi="方正楷体简体" w:eastAsia="方正楷体简体" w:cs="方正楷体简体"/>
          <w:color w:val="auto"/>
          <w:kern w:val="2"/>
          <w:sz w:val="32"/>
          <w:szCs w:val="32"/>
          <w:highlight w:val="none"/>
          <w:shd w:val="clear"/>
          <w:lang w:val="en-US" w:eastAsia="zh-CN"/>
        </w:rPr>
        <w:t>（二）</w:t>
      </w:r>
      <w:r>
        <w:rPr>
          <w:rFonts w:hint="eastAsia" w:ascii="方正楷体简体" w:hAnsi="方正楷体简体" w:eastAsia="方正楷体简体" w:cs="方正楷体简体"/>
          <w:color w:val="auto"/>
          <w:kern w:val="2"/>
          <w:sz w:val="32"/>
          <w:szCs w:val="32"/>
          <w:highlight w:val="none"/>
          <w:shd w:val="clear"/>
          <w:lang w:val="en-US" w:eastAsia="zh"/>
        </w:rPr>
        <w:t>自评质量不高</w:t>
      </w:r>
      <w:bookmarkEnd w:id="138"/>
    </w:p>
    <w:p w14:paraId="2C3F8B6C">
      <w:pPr>
        <w:keepNext w:val="0"/>
        <w:keepLines w:val="0"/>
        <w:pageBreakBefore w:val="0"/>
        <w:numPr>
          <w:ilvl w:val="-1"/>
          <w:numId w:val="0"/>
        </w:numPr>
        <w:kinsoku/>
        <w:wordWrap/>
        <w:overflowPunct/>
        <w:topLinePunct w:val="0"/>
        <w:autoSpaceDE/>
        <w:autoSpaceDN/>
        <w:bidi w:val="0"/>
        <w:adjustRightInd w:val="0"/>
        <w:snapToGrid w:val="0"/>
        <w:spacing w:line="600" w:lineRule="exact"/>
        <w:ind w:left="0" w:leftChars="0" w:right="0" w:rightChars="0" w:firstLine="60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
        </w:rPr>
        <w:t>泸定县人力资源和社会保障局</w:t>
      </w:r>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
        </w:rPr>
        <w:t>年部门整体支出自评得分为</w:t>
      </w:r>
      <w:r>
        <w:rPr>
          <w:rFonts w:hint="default" w:ascii="Times New Roman" w:hAnsi="Times New Roman" w:eastAsia="方正仿宋简体" w:cs="Times New Roman"/>
          <w:color w:val="auto"/>
          <w:sz w:val="32"/>
          <w:szCs w:val="32"/>
          <w:highlight w:val="none"/>
          <w:lang w:val="en-US" w:eastAsia="zh"/>
        </w:rPr>
        <w:t>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
        </w:rPr>
        <w:t>分，评价组抽查得分为</w:t>
      </w:r>
      <w:r>
        <w:rPr>
          <w:rFonts w:hint="default" w:ascii="Times New Roman" w:hAnsi="Times New Roman" w:eastAsia="方正仿宋简体" w:cs="Times New Roman"/>
          <w:color w:val="auto"/>
          <w:sz w:val="32"/>
          <w:szCs w:val="32"/>
          <w:highlight w:val="none"/>
          <w:lang w:val="en-US" w:eastAsia="zh"/>
        </w:rPr>
        <w:t>80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06</w:t>
      </w:r>
      <w:r>
        <w:rPr>
          <w:rFonts w:hint="eastAsia" w:ascii="方正仿宋简体" w:hAnsi="方正仿宋简体" w:eastAsia="方正仿宋简体" w:cs="方正仿宋简体"/>
          <w:color w:val="auto"/>
          <w:sz w:val="32"/>
          <w:szCs w:val="32"/>
          <w:highlight w:val="none"/>
          <w:lang w:val="en-US" w:eastAsia="zh"/>
        </w:rPr>
        <w:t>分。（不含自评准确分数）与评价组评价得分差异率为(</w:t>
      </w:r>
      <w:r>
        <w:rPr>
          <w:rFonts w:hint="default" w:ascii="Times New Roman" w:hAnsi="Times New Roman" w:eastAsia="方正仿宋简体" w:cs="Times New Roman"/>
          <w:color w:val="auto"/>
          <w:sz w:val="32"/>
          <w:szCs w:val="32"/>
          <w:highlight w:val="none"/>
          <w:lang w:val="en-US" w:eastAsia="zh"/>
        </w:rPr>
        <w:t>86</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80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06</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CN"/>
        </w:rPr>
        <w:t>86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91</w:t>
      </w:r>
      <w:r>
        <w:rPr>
          <w:rFonts w:hint="default" w:ascii="Times New Roman" w:hAnsi="Times New Roman" w:eastAsia="方正仿宋简体" w:cs="Times New Roman"/>
          <w:color w:val="auto"/>
          <w:sz w:val="32"/>
          <w:szCs w:val="32"/>
          <w:highlight w:val="none"/>
          <w:lang w:val="en-US" w:eastAsia="zh"/>
        </w:rPr>
        <w:t>%</w:t>
      </w:r>
      <w:r>
        <w:rPr>
          <w:rFonts w:hint="eastAsia" w:ascii="方正仿宋简体" w:hAnsi="方正仿宋简体" w:eastAsia="方正仿宋简体" w:cs="方正仿宋简体"/>
          <w:color w:val="auto"/>
          <w:sz w:val="32"/>
          <w:szCs w:val="32"/>
          <w:highlight w:val="none"/>
          <w:lang w:val="en-US" w:eastAsia="zh"/>
        </w:rPr>
        <w:t>。</w:t>
      </w:r>
    </w:p>
    <w:p w14:paraId="68D67E54">
      <w:pPr>
        <w:keepNext w:val="0"/>
        <w:keepLines w:val="0"/>
        <w:pageBreakBefore w:val="0"/>
        <w:kinsoku/>
        <w:wordWrap/>
        <w:overflowPunct/>
        <w:topLinePunct w:val="0"/>
        <w:autoSpaceDE/>
        <w:autoSpaceDN/>
        <w:bidi w:val="0"/>
        <w:adjustRightInd w:val="0"/>
        <w:snapToGrid w:val="0"/>
        <w:spacing w:line="600" w:lineRule="exact"/>
        <w:ind w:left="0" w:firstLine="560"/>
        <w:outlineLvl w:val="0"/>
        <w:rPr>
          <w:rFonts w:hint="eastAsia" w:ascii="方正黑体简体" w:hAnsi="方正黑体简体" w:eastAsia="方正黑体简体" w:cs="方正黑体简体"/>
          <w:color w:val="auto"/>
          <w:sz w:val="32"/>
          <w:szCs w:val="32"/>
          <w:highlight w:val="none"/>
          <w:lang w:val="en-US" w:eastAsia="zh-CN"/>
        </w:rPr>
      </w:pPr>
      <w:bookmarkStart w:id="139" w:name="_Toc28196"/>
      <w:bookmarkStart w:id="140" w:name="_Toc10901"/>
      <w:r>
        <w:rPr>
          <w:rFonts w:hint="eastAsia" w:ascii="方正黑体简体" w:hAnsi="方正黑体简体" w:eastAsia="方正黑体简体" w:cs="方正黑体简体"/>
          <w:color w:val="auto"/>
          <w:sz w:val="32"/>
          <w:szCs w:val="32"/>
          <w:highlight w:val="none"/>
          <w:lang w:val="en-US" w:eastAsia="zh-CN"/>
        </w:rPr>
        <w:t>六、相关措施建议</w:t>
      </w:r>
      <w:bookmarkEnd w:id="131"/>
      <w:bookmarkEnd w:id="132"/>
      <w:bookmarkEnd w:id="133"/>
      <w:bookmarkEnd w:id="134"/>
      <w:bookmarkEnd w:id="135"/>
      <w:bookmarkEnd w:id="136"/>
      <w:bookmarkEnd w:id="137"/>
      <w:bookmarkEnd w:id="139"/>
      <w:bookmarkEnd w:id="140"/>
      <w:bookmarkStart w:id="141" w:name="_Toc12805"/>
      <w:bookmarkStart w:id="142" w:name="_Toc31667"/>
      <w:bookmarkStart w:id="143" w:name="_Toc24455"/>
      <w:bookmarkStart w:id="144" w:name="_Toc22132"/>
      <w:bookmarkStart w:id="145" w:name="_Toc7397"/>
    </w:p>
    <w:p w14:paraId="2DF82E7A">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
        </w:rPr>
      </w:pPr>
      <w:bookmarkStart w:id="146" w:name="_Toc14499"/>
      <w:bookmarkStart w:id="147" w:name="_Toc31810"/>
      <w:r>
        <w:rPr>
          <w:rFonts w:hint="eastAsia" w:ascii="方正楷体简体" w:hAnsi="方正楷体简体" w:eastAsia="方正楷体简体" w:cs="方正楷体简体"/>
          <w:color w:val="auto"/>
          <w:kern w:val="2"/>
          <w:sz w:val="32"/>
          <w:szCs w:val="32"/>
          <w:highlight w:val="none"/>
          <w:shd w:val="clear"/>
          <w:lang w:val="zh-CN" w:eastAsia="zh"/>
        </w:rPr>
        <w:t>（</w:t>
      </w:r>
      <w:r>
        <w:rPr>
          <w:rFonts w:hint="eastAsia" w:ascii="方正楷体简体" w:hAnsi="方正楷体简体" w:eastAsia="方正楷体简体" w:cs="方正楷体简体"/>
          <w:color w:val="auto"/>
          <w:kern w:val="2"/>
          <w:sz w:val="32"/>
          <w:szCs w:val="32"/>
          <w:highlight w:val="none"/>
          <w:shd w:val="clear"/>
          <w:lang w:val="en-US" w:eastAsia="zh"/>
        </w:rPr>
        <w:t>一</w:t>
      </w:r>
      <w:r>
        <w:rPr>
          <w:rFonts w:hint="eastAsia" w:ascii="方正楷体简体" w:hAnsi="方正楷体简体" w:eastAsia="方正楷体简体" w:cs="方正楷体简体"/>
          <w:color w:val="auto"/>
          <w:kern w:val="2"/>
          <w:sz w:val="32"/>
          <w:szCs w:val="32"/>
          <w:highlight w:val="none"/>
          <w:shd w:val="clear"/>
          <w:lang w:val="zh-CN" w:eastAsia="zh"/>
        </w:rPr>
        <w:t>）</w:t>
      </w:r>
      <w:bookmarkEnd w:id="141"/>
      <w:bookmarkEnd w:id="142"/>
      <w:bookmarkEnd w:id="143"/>
      <w:bookmarkEnd w:id="144"/>
      <w:bookmarkEnd w:id="145"/>
      <w:bookmarkEnd w:id="146"/>
      <w:r>
        <w:rPr>
          <w:rFonts w:hint="eastAsia" w:ascii="方正楷体简体" w:hAnsi="方正楷体简体" w:eastAsia="方正楷体简体" w:cs="方正楷体简体"/>
          <w:color w:val="auto"/>
          <w:kern w:val="2"/>
          <w:sz w:val="32"/>
          <w:szCs w:val="32"/>
          <w:highlight w:val="none"/>
          <w:shd w:val="clear"/>
          <w:lang w:val="en-US" w:eastAsia="zh"/>
        </w:rPr>
        <w:t>针对“预算编制不准确”的建议</w:t>
      </w:r>
      <w:bookmarkEnd w:id="147"/>
    </w:p>
    <w:p w14:paraId="3BA8C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泸定县人力资源和社会保障局一是加强部门前期各项费用预算测算，全面搜集对比往年费用支出数据，准确编制部门预算；二是可以采取“一校验、三比对、一复核”的方法，严把预算编制源头关，确保预算审核数据的客观公正。</w:t>
      </w:r>
    </w:p>
    <w:p w14:paraId="1EE8FE8C">
      <w:pPr>
        <w:keepNext w:val="0"/>
        <w:keepLines w:val="0"/>
        <w:pageBreakBefore w:val="0"/>
        <w:kinsoku/>
        <w:wordWrap/>
        <w:overflowPunct/>
        <w:topLinePunct w:val="0"/>
        <w:autoSpaceDE/>
        <w:autoSpaceDN/>
        <w:bidi w:val="0"/>
        <w:spacing w:line="600" w:lineRule="exact"/>
        <w:ind w:left="0" w:leftChars="0" w:right="0" w:rightChars="0" w:firstLine="560"/>
        <w:outlineLvl w:val="1"/>
        <w:rPr>
          <w:rFonts w:hint="eastAsia" w:ascii="方正楷体简体" w:hAnsi="方正楷体简体" w:eastAsia="方正楷体简体" w:cs="方正楷体简体"/>
          <w:color w:val="auto"/>
          <w:kern w:val="2"/>
          <w:sz w:val="32"/>
          <w:szCs w:val="32"/>
          <w:highlight w:val="none"/>
          <w:shd w:val="clear"/>
          <w:lang w:val="en-US" w:eastAsia="zh"/>
        </w:rPr>
      </w:pPr>
      <w:bookmarkStart w:id="148" w:name="_Toc16232"/>
      <w:r>
        <w:rPr>
          <w:rFonts w:hint="eastAsia" w:ascii="方正楷体简体" w:hAnsi="方正楷体简体" w:eastAsia="方正楷体简体" w:cs="方正楷体简体"/>
          <w:color w:val="auto"/>
          <w:kern w:val="2"/>
          <w:sz w:val="32"/>
          <w:szCs w:val="32"/>
          <w:highlight w:val="none"/>
          <w:shd w:val="clear"/>
          <w:lang w:val="en-US" w:eastAsia="zh"/>
        </w:rPr>
        <w:t>（二）针对“自评质量不高”的建议</w:t>
      </w:r>
      <w:bookmarkEnd w:id="148"/>
    </w:p>
    <w:bookmarkEnd w:id="127"/>
    <w:bookmarkEnd w:id="128"/>
    <w:p w14:paraId="41CD81EA">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b w:val="0"/>
          <w:bCs w:val="0"/>
          <w:color w:val="auto"/>
          <w:kern w:val="2"/>
          <w:sz w:val="32"/>
          <w:szCs w:val="32"/>
          <w:highlight w:val="none"/>
          <w:lang w:val="en-US" w:eastAsia="zh-CN" w:bidi="ar-SA"/>
        </w:rPr>
      </w:pPr>
      <w:r>
        <w:rPr>
          <w:rFonts w:hint="eastAsia" w:ascii="方正仿宋简体" w:hAnsi="方正仿宋简体" w:eastAsia="方正仿宋简体" w:cs="方正仿宋简体"/>
          <w:color w:val="auto"/>
          <w:sz w:val="32"/>
          <w:szCs w:val="32"/>
          <w:highlight w:val="none"/>
          <w:lang w:val="en-US" w:eastAsia="zh-CN"/>
        </w:rPr>
        <w:t>建议：泸定县人力资源和社会保障局严格按照财政部门要求，认真组织开展自评工作。</w:t>
      </w:r>
      <w:r>
        <w:rPr>
          <w:rFonts w:hint="eastAsia" w:ascii="方正仿宋简体" w:hAnsi="方正仿宋简体" w:eastAsia="方正仿宋简体" w:cs="方正仿宋简体"/>
          <w:b w:val="0"/>
          <w:bCs w:val="0"/>
          <w:color w:val="auto"/>
          <w:kern w:val="2"/>
          <w:sz w:val="32"/>
          <w:szCs w:val="32"/>
          <w:highlight w:val="none"/>
          <w:lang w:val="en-US" w:eastAsia="zh-CN" w:bidi="ar-SA"/>
        </w:rPr>
        <w:t>同时，强化预算绩效管理责任意识，牢固树立绩效理念，提高绩效自评工作认识的重要性。</w:t>
      </w:r>
    </w:p>
    <w:p w14:paraId="155DE6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eastAsia="zh-CN"/>
        </w:rPr>
      </w:pPr>
    </w:p>
    <w:p w14:paraId="18A8F6CF">
      <w:pPr>
        <w:keepNext w:val="0"/>
        <w:keepLines w:val="0"/>
        <w:pageBreakBefore w:val="0"/>
        <w:widowControl w:val="0"/>
        <w:kinsoku/>
        <w:wordWrap/>
        <w:overflowPunct/>
        <w:topLinePunct w:val="0"/>
        <w:autoSpaceDE/>
        <w:autoSpaceDN/>
        <w:bidi w:val="0"/>
        <w:adjustRightInd/>
        <w:snapToGrid/>
        <w:spacing w:line="600" w:lineRule="exact"/>
        <w:ind w:left="1598" w:leftChars="228" w:hanging="960" w:hangingChars="300"/>
        <w:textAlignment w:val="auto"/>
        <w:rPr>
          <w:rFonts w:hint="eastAsia" w:ascii="方正仿宋简体" w:hAnsi="方正仿宋简体" w:eastAsia="方正仿宋简体" w:cs="方正仿宋简体"/>
          <w:color w:val="auto"/>
          <w:sz w:val="32"/>
          <w:szCs w:val="32"/>
          <w:highlight w:val="none"/>
          <w:lang w:eastAsia="zh-CN"/>
        </w:rPr>
      </w:pPr>
      <w:bookmarkStart w:id="149" w:name="_Toc3238"/>
      <w:r>
        <w:rPr>
          <w:rFonts w:hint="eastAsia" w:ascii="方正仿宋简体" w:hAnsi="方正仿宋简体" w:eastAsia="方正仿宋简体" w:cs="方正仿宋简体"/>
          <w:color w:val="auto"/>
          <w:sz w:val="32"/>
          <w:szCs w:val="32"/>
          <w:highlight w:val="none"/>
          <w:shd w:val="clear" w:color="auto" w:fill="FFFFFF"/>
        </w:rPr>
        <w:t>附件</w:t>
      </w:r>
      <w:r>
        <w:rPr>
          <w:rFonts w:hint="eastAsia" w:ascii="方正仿宋简体" w:hAnsi="方正仿宋简体" w:eastAsia="方正仿宋简体" w:cs="方正仿宋简体"/>
          <w:color w:val="auto"/>
          <w:sz w:val="32"/>
          <w:szCs w:val="32"/>
          <w:highlight w:val="none"/>
          <w:shd w:val="clear" w:color="auto" w:fill="FFFFFF"/>
          <w:lang w:eastAsia="zh"/>
        </w:rPr>
        <w:t>：</w:t>
      </w:r>
      <w:r>
        <w:rPr>
          <w:rFonts w:hint="eastAsia" w:ascii="方正仿宋简体" w:hAnsi="方正仿宋简体" w:eastAsia="方正仿宋简体" w:cs="方正仿宋简体"/>
          <w:color w:val="auto"/>
          <w:sz w:val="32"/>
          <w:szCs w:val="32"/>
          <w:highlight w:val="none"/>
          <w:shd w:val="clear" w:color="auto" w:fill="FFFFFF"/>
          <w:lang w:eastAsia="zh-CN"/>
        </w:rPr>
        <w:t>泸定县人力资源和社会保障局</w:t>
      </w:r>
      <w:r>
        <w:rPr>
          <w:rFonts w:hint="eastAsia" w:ascii="方正仿宋简体" w:hAnsi="方正仿宋简体" w:eastAsia="方正仿宋简体" w:cs="方正仿宋简体"/>
          <w:color w:val="auto"/>
          <w:sz w:val="32"/>
          <w:szCs w:val="32"/>
          <w:highlight w:val="none"/>
          <w:lang w:eastAsia="zh"/>
        </w:rPr>
        <w:t>部门整体支出绩效评价指标</w:t>
      </w:r>
      <w:r>
        <w:rPr>
          <w:rFonts w:hint="eastAsia" w:ascii="方正仿宋简体" w:hAnsi="方正仿宋简体" w:eastAsia="方正仿宋简体" w:cs="方正仿宋简体"/>
          <w:color w:val="auto"/>
          <w:sz w:val="32"/>
          <w:szCs w:val="32"/>
          <w:highlight w:val="none"/>
          <w:lang w:val="en-US" w:eastAsia="zh-CN"/>
        </w:rPr>
        <w:t>体系表</w:t>
      </w:r>
      <w:r>
        <w:rPr>
          <w:rFonts w:hint="eastAsia" w:ascii="方正仿宋简体" w:hAnsi="方正仿宋简体" w:eastAsia="方正仿宋简体" w:cs="方正仿宋简体"/>
          <w:color w:val="auto"/>
          <w:sz w:val="32"/>
          <w:szCs w:val="32"/>
          <w:highlight w:val="none"/>
          <w:lang w:eastAsia="zh-CN"/>
        </w:rPr>
        <w:t>（</w:t>
      </w:r>
      <w:r>
        <w:rPr>
          <w:rFonts w:hint="eastAsia" w:ascii="方正仿宋简体" w:hAnsi="方正仿宋简体" w:eastAsia="方正仿宋简体" w:cs="方正仿宋简体"/>
          <w:color w:val="auto"/>
          <w:sz w:val="32"/>
          <w:szCs w:val="32"/>
          <w:highlight w:val="none"/>
          <w:lang w:val="en-US" w:eastAsia="zh-CN"/>
        </w:rPr>
        <w:t>评分表</w:t>
      </w:r>
      <w:r>
        <w:rPr>
          <w:rFonts w:hint="eastAsia" w:ascii="方正仿宋简体" w:hAnsi="方正仿宋简体" w:eastAsia="方正仿宋简体" w:cs="方正仿宋简体"/>
          <w:color w:val="auto"/>
          <w:sz w:val="32"/>
          <w:szCs w:val="32"/>
          <w:highlight w:val="none"/>
          <w:lang w:eastAsia="zh-CN"/>
        </w:rPr>
        <w:t>）</w:t>
      </w:r>
    </w:p>
    <w:p w14:paraId="3B7ADEF0">
      <w:pPr>
        <w:pStyle w:val="2"/>
        <w:rPr>
          <w:rFonts w:hint="eastAsia" w:ascii="方正仿宋简体" w:hAnsi="方正仿宋简体" w:eastAsia="方正仿宋简体" w:cs="方正仿宋简体"/>
          <w:color w:val="auto"/>
          <w:sz w:val="32"/>
          <w:szCs w:val="32"/>
          <w:highlight w:val="none"/>
          <w:lang w:eastAsia="zh-CN"/>
        </w:rPr>
      </w:pPr>
    </w:p>
    <w:p w14:paraId="410156BA">
      <w:pPr>
        <w:rPr>
          <w:rFonts w:hint="eastAsia" w:ascii="方正仿宋简体" w:hAnsi="方正仿宋简体" w:eastAsia="方正仿宋简体" w:cs="方正仿宋简体"/>
          <w:color w:val="auto"/>
          <w:sz w:val="32"/>
          <w:szCs w:val="32"/>
          <w:highlight w:val="none"/>
          <w:lang w:eastAsia="zh-CN"/>
        </w:rPr>
      </w:pPr>
    </w:p>
    <w:p w14:paraId="2BF1A808">
      <w:pPr>
        <w:pStyle w:val="2"/>
        <w:rPr>
          <w:rFonts w:hint="eastAsia"/>
          <w:highlight w:val="none"/>
          <w:lang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50" w:name="_GoBack"/>
      <w:bookmarkEnd w:id="150"/>
      <w:r>
        <w:rPr>
          <w:rFonts w:hint="eastAsia" w:ascii="方正仿宋简体" w:hAnsi="方正仿宋简体" w:eastAsia="方正仿宋简体" w:cs="方正仿宋简体"/>
          <w:b w:val="0"/>
          <w:bCs w:val="0"/>
          <w:sz w:val="32"/>
          <w:szCs w:val="32"/>
          <w:highlight w:val="none"/>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2697EB1B">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sz w:val="32"/>
          <w:szCs w:val="32"/>
          <w:highlight w:val="none"/>
          <w:lang w:eastAsia="zh"/>
        </w:rPr>
      </w:pPr>
    </w:p>
    <w:bookmarkEnd w:id="149"/>
    <w:p w14:paraId="30335378">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b/>
          <w:bCs/>
          <w:color w:val="auto"/>
          <w:sz w:val="32"/>
          <w:szCs w:val="32"/>
          <w:highlight w:val="none"/>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8BA76913-BA34-4FD3-A9DB-48412DCFE07F}"/>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C901343A-D119-4390-BCA1-A46222F804B8}"/>
  </w:font>
  <w:font w:name="方正小标宋简体">
    <w:panose1 w:val="03000509000000000000"/>
    <w:charset w:val="86"/>
    <w:family w:val="auto"/>
    <w:pitch w:val="default"/>
    <w:sig w:usb0="00000001" w:usb1="080E0000" w:usb2="00000000" w:usb3="00000000" w:csb0="00040000" w:csb1="00000000"/>
    <w:embedRegular r:id="rId3" w:fontKey="{37ECA94F-393F-4F36-99D5-0D8323675008}"/>
  </w:font>
  <w:font w:name="方正楷体简体">
    <w:panose1 w:val="02000000000000000000"/>
    <w:charset w:val="86"/>
    <w:family w:val="auto"/>
    <w:pitch w:val="default"/>
    <w:sig w:usb0="00000001" w:usb1="080E0000" w:usb2="00000000" w:usb3="00000000" w:csb0="00040000" w:csb1="00000000"/>
    <w:embedRegular r:id="rId4" w:fontKey="{17EEB15B-036D-4A0C-9A9A-A2B409A97F3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07B1A2"/>
    <w:multiLevelType w:val="singleLevel"/>
    <w:tmpl w:val="EF07B1A2"/>
    <w:lvl w:ilvl="0" w:tentative="0">
      <w:start w:val="3"/>
      <w:numFmt w:val="decimal"/>
      <w:suff w:val="nothing"/>
      <w:lvlText w:val="%1."/>
      <w:lvlJc w:val="left"/>
      <w:pPr>
        <w:ind w:left="0" w:firstLine="640"/>
      </w:pPr>
      <w:rPr>
        <w:rFonts w:hint="default" w:ascii="Times New Roman" w:hAnsi="Times New Roman" w:cs="Times New Roman"/>
        <w:sz w:val="32"/>
        <w:szCs w:val="32"/>
      </w:rPr>
    </w:lvl>
  </w:abstractNum>
  <w:abstractNum w:abstractNumId="1">
    <w:nsid w:val="F32D1323"/>
    <w:multiLevelType w:val="singleLevel"/>
    <w:tmpl w:val="F32D1323"/>
    <w:lvl w:ilvl="0" w:tentative="0">
      <w:start w:val="1"/>
      <w:numFmt w:val="decimal"/>
      <w:suff w:val="nothing"/>
      <w:lvlText w:val="（%1）"/>
      <w:lvlJc w:val="left"/>
      <w:rPr>
        <w:rFonts w:hint="default" w:ascii="Times New Roman" w:hAnsi="Times New Roman" w:cs="Times New Roman"/>
        <w:sz w:val="32"/>
        <w:szCs w:val="32"/>
      </w:rPr>
    </w:lvl>
  </w:abstractNum>
  <w:abstractNum w:abstractNumId="2">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1D77B8"/>
    <w:rsid w:val="034B0AC6"/>
    <w:rsid w:val="03BD26AA"/>
    <w:rsid w:val="03C46413"/>
    <w:rsid w:val="03F043C9"/>
    <w:rsid w:val="03F5560D"/>
    <w:rsid w:val="05370DC3"/>
    <w:rsid w:val="05704583"/>
    <w:rsid w:val="05AE5131"/>
    <w:rsid w:val="069B1F26"/>
    <w:rsid w:val="06E2185D"/>
    <w:rsid w:val="074574B7"/>
    <w:rsid w:val="077F711D"/>
    <w:rsid w:val="0815093A"/>
    <w:rsid w:val="08280844"/>
    <w:rsid w:val="08321414"/>
    <w:rsid w:val="08CA0DBA"/>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3BF191E"/>
    <w:rsid w:val="144B4CE8"/>
    <w:rsid w:val="14827494"/>
    <w:rsid w:val="14DA48CB"/>
    <w:rsid w:val="151B6B0E"/>
    <w:rsid w:val="155B04E5"/>
    <w:rsid w:val="15762967"/>
    <w:rsid w:val="15C0420D"/>
    <w:rsid w:val="16310CFC"/>
    <w:rsid w:val="164E7445"/>
    <w:rsid w:val="16521418"/>
    <w:rsid w:val="167B192A"/>
    <w:rsid w:val="168F2609"/>
    <w:rsid w:val="16BA737C"/>
    <w:rsid w:val="17404D18"/>
    <w:rsid w:val="178D5376"/>
    <w:rsid w:val="179E79D9"/>
    <w:rsid w:val="17FD7EEE"/>
    <w:rsid w:val="180A196B"/>
    <w:rsid w:val="181B0371"/>
    <w:rsid w:val="184D468A"/>
    <w:rsid w:val="186A5A33"/>
    <w:rsid w:val="18A93AFC"/>
    <w:rsid w:val="18DA3FE0"/>
    <w:rsid w:val="18DD5A8A"/>
    <w:rsid w:val="195A2D50"/>
    <w:rsid w:val="196B6F54"/>
    <w:rsid w:val="19CD71FA"/>
    <w:rsid w:val="19E605C7"/>
    <w:rsid w:val="1A48253C"/>
    <w:rsid w:val="1A94413A"/>
    <w:rsid w:val="1AF776D6"/>
    <w:rsid w:val="1B0B2AA5"/>
    <w:rsid w:val="1BDF6BC8"/>
    <w:rsid w:val="1C2C3D72"/>
    <w:rsid w:val="1C535707"/>
    <w:rsid w:val="1C580E62"/>
    <w:rsid w:val="1C975E00"/>
    <w:rsid w:val="1D046172"/>
    <w:rsid w:val="1D484219"/>
    <w:rsid w:val="1D4F18C5"/>
    <w:rsid w:val="1D9A1CE4"/>
    <w:rsid w:val="1DD67D6F"/>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CC56B8"/>
    <w:rsid w:val="21F711A6"/>
    <w:rsid w:val="22460F43"/>
    <w:rsid w:val="22612BC4"/>
    <w:rsid w:val="2297354C"/>
    <w:rsid w:val="22F7E8FF"/>
    <w:rsid w:val="234C0C7F"/>
    <w:rsid w:val="23F46FD7"/>
    <w:rsid w:val="24283899"/>
    <w:rsid w:val="24436E8F"/>
    <w:rsid w:val="248C4080"/>
    <w:rsid w:val="24C04FDC"/>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625A5F"/>
    <w:rsid w:val="2BBE5215"/>
    <w:rsid w:val="2BD70482"/>
    <w:rsid w:val="2C2F0835"/>
    <w:rsid w:val="2CBB4441"/>
    <w:rsid w:val="2CC80ED2"/>
    <w:rsid w:val="2CD1263C"/>
    <w:rsid w:val="2CF37A27"/>
    <w:rsid w:val="2CF74E38"/>
    <w:rsid w:val="2D241E80"/>
    <w:rsid w:val="2D324D1A"/>
    <w:rsid w:val="2D525A3B"/>
    <w:rsid w:val="2D6319D3"/>
    <w:rsid w:val="2D9D27E0"/>
    <w:rsid w:val="2DE812E1"/>
    <w:rsid w:val="2E750BE6"/>
    <w:rsid w:val="2E7B50BC"/>
    <w:rsid w:val="2EAA35B1"/>
    <w:rsid w:val="2EAE40F8"/>
    <w:rsid w:val="2ED1320F"/>
    <w:rsid w:val="2EFD1E72"/>
    <w:rsid w:val="2F040BD9"/>
    <w:rsid w:val="2F3274A5"/>
    <w:rsid w:val="2FBBA5AB"/>
    <w:rsid w:val="2FEF2A5C"/>
    <w:rsid w:val="30074F3D"/>
    <w:rsid w:val="3052247A"/>
    <w:rsid w:val="3090670D"/>
    <w:rsid w:val="312B48AF"/>
    <w:rsid w:val="32A47AB4"/>
    <w:rsid w:val="32B316CE"/>
    <w:rsid w:val="32CB27BC"/>
    <w:rsid w:val="33105381"/>
    <w:rsid w:val="336B6A5B"/>
    <w:rsid w:val="337B49B9"/>
    <w:rsid w:val="33EB569F"/>
    <w:rsid w:val="33FA0C54"/>
    <w:rsid w:val="34113BD6"/>
    <w:rsid w:val="34140406"/>
    <w:rsid w:val="342C7375"/>
    <w:rsid w:val="34B42BB5"/>
    <w:rsid w:val="34C73C1C"/>
    <w:rsid w:val="350D6544"/>
    <w:rsid w:val="35EE2E3C"/>
    <w:rsid w:val="36001598"/>
    <w:rsid w:val="360308FA"/>
    <w:rsid w:val="36870F62"/>
    <w:rsid w:val="369B1CB2"/>
    <w:rsid w:val="36BF54EC"/>
    <w:rsid w:val="36C17759"/>
    <w:rsid w:val="36DC449D"/>
    <w:rsid w:val="36F56951"/>
    <w:rsid w:val="37E36263"/>
    <w:rsid w:val="37EE368E"/>
    <w:rsid w:val="38C96200"/>
    <w:rsid w:val="38D85C62"/>
    <w:rsid w:val="390E6F8C"/>
    <w:rsid w:val="39131F2C"/>
    <w:rsid w:val="39374DDA"/>
    <w:rsid w:val="393C614A"/>
    <w:rsid w:val="39411EEC"/>
    <w:rsid w:val="39935632"/>
    <w:rsid w:val="3A3949DD"/>
    <w:rsid w:val="3A4A7C37"/>
    <w:rsid w:val="3A7649A2"/>
    <w:rsid w:val="3A7E0498"/>
    <w:rsid w:val="3A81279A"/>
    <w:rsid w:val="3AE5274E"/>
    <w:rsid w:val="3B072D35"/>
    <w:rsid w:val="3B3301C2"/>
    <w:rsid w:val="3B626037"/>
    <w:rsid w:val="3BD70C1C"/>
    <w:rsid w:val="3C4B567C"/>
    <w:rsid w:val="3C837FE5"/>
    <w:rsid w:val="3CB15DE8"/>
    <w:rsid w:val="3D1F22E5"/>
    <w:rsid w:val="3D2168F9"/>
    <w:rsid w:val="3D3960CA"/>
    <w:rsid w:val="3D997564"/>
    <w:rsid w:val="3DB744C0"/>
    <w:rsid w:val="3DFC2E05"/>
    <w:rsid w:val="3E432DCF"/>
    <w:rsid w:val="3E8E1632"/>
    <w:rsid w:val="3F2355FC"/>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731B45"/>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744A6A"/>
    <w:rsid w:val="47970F04"/>
    <w:rsid w:val="48D56225"/>
    <w:rsid w:val="49D23684"/>
    <w:rsid w:val="49F243D5"/>
    <w:rsid w:val="4A3F0AC3"/>
    <w:rsid w:val="4A904E6B"/>
    <w:rsid w:val="4AD1435D"/>
    <w:rsid w:val="4AFA2C7B"/>
    <w:rsid w:val="4B0435C5"/>
    <w:rsid w:val="4B58271A"/>
    <w:rsid w:val="4B6B11A9"/>
    <w:rsid w:val="4B9C6B82"/>
    <w:rsid w:val="4BDE4024"/>
    <w:rsid w:val="4C1635B0"/>
    <w:rsid w:val="4C907F6D"/>
    <w:rsid w:val="4CAE35BE"/>
    <w:rsid w:val="4CFC2039"/>
    <w:rsid w:val="4D114A7B"/>
    <w:rsid w:val="4D6E449B"/>
    <w:rsid w:val="4F0A34DF"/>
    <w:rsid w:val="4F5F5C7E"/>
    <w:rsid w:val="4F7241B1"/>
    <w:rsid w:val="4FCD04DF"/>
    <w:rsid w:val="4FF7181A"/>
    <w:rsid w:val="4FFE309A"/>
    <w:rsid w:val="507D0BBC"/>
    <w:rsid w:val="507E6B2A"/>
    <w:rsid w:val="51290B58"/>
    <w:rsid w:val="51381763"/>
    <w:rsid w:val="51960840"/>
    <w:rsid w:val="51E2208C"/>
    <w:rsid w:val="5221572C"/>
    <w:rsid w:val="52265F38"/>
    <w:rsid w:val="52EF2BDF"/>
    <w:rsid w:val="535B753F"/>
    <w:rsid w:val="543748C0"/>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B1D3F4"/>
    <w:rsid w:val="5EDB5F93"/>
    <w:rsid w:val="5F246AEA"/>
    <w:rsid w:val="5F3B183F"/>
    <w:rsid w:val="5F562031"/>
    <w:rsid w:val="5F774ACC"/>
    <w:rsid w:val="5F9C373E"/>
    <w:rsid w:val="5FBF7263"/>
    <w:rsid w:val="5FCF84ED"/>
    <w:rsid w:val="5FDFC83C"/>
    <w:rsid w:val="5FF7A0DE"/>
    <w:rsid w:val="60017C7C"/>
    <w:rsid w:val="6020741B"/>
    <w:rsid w:val="608914CC"/>
    <w:rsid w:val="6094289E"/>
    <w:rsid w:val="60F11867"/>
    <w:rsid w:val="615C16D6"/>
    <w:rsid w:val="618A3DC3"/>
    <w:rsid w:val="61C15430"/>
    <w:rsid w:val="61E46B12"/>
    <w:rsid w:val="62102CE3"/>
    <w:rsid w:val="62222B09"/>
    <w:rsid w:val="62311D7E"/>
    <w:rsid w:val="62350D51"/>
    <w:rsid w:val="627C5614"/>
    <w:rsid w:val="62BA758E"/>
    <w:rsid w:val="62BB6119"/>
    <w:rsid w:val="62D11B87"/>
    <w:rsid w:val="630D7F41"/>
    <w:rsid w:val="636C18B0"/>
    <w:rsid w:val="63A71F74"/>
    <w:rsid w:val="63ED0D4F"/>
    <w:rsid w:val="64FE5F84"/>
    <w:rsid w:val="652F1904"/>
    <w:rsid w:val="65BF660F"/>
    <w:rsid w:val="65C7404D"/>
    <w:rsid w:val="65F17436"/>
    <w:rsid w:val="66BB8914"/>
    <w:rsid w:val="66C0483B"/>
    <w:rsid w:val="66C45920"/>
    <w:rsid w:val="66CC410D"/>
    <w:rsid w:val="66EE54A9"/>
    <w:rsid w:val="67152FB8"/>
    <w:rsid w:val="67551304"/>
    <w:rsid w:val="676254A4"/>
    <w:rsid w:val="678D0D6C"/>
    <w:rsid w:val="67AB4C59"/>
    <w:rsid w:val="67C96B35"/>
    <w:rsid w:val="67D8ED11"/>
    <w:rsid w:val="684306E9"/>
    <w:rsid w:val="68723580"/>
    <w:rsid w:val="68994500"/>
    <w:rsid w:val="69172000"/>
    <w:rsid w:val="697F1380"/>
    <w:rsid w:val="699A1F8A"/>
    <w:rsid w:val="69A93917"/>
    <w:rsid w:val="69F84725"/>
    <w:rsid w:val="6A4A3BFD"/>
    <w:rsid w:val="6B43739A"/>
    <w:rsid w:val="6BFFA4D9"/>
    <w:rsid w:val="6C196A9A"/>
    <w:rsid w:val="6C590980"/>
    <w:rsid w:val="6C75429C"/>
    <w:rsid w:val="6C7A42D4"/>
    <w:rsid w:val="6C7D23DE"/>
    <w:rsid w:val="6C862912"/>
    <w:rsid w:val="6CFA1652"/>
    <w:rsid w:val="6CFD7E08"/>
    <w:rsid w:val="6D0F4A6A"/>
    <w:rsid w:val="6D3D4391"/>
    <w:rsid w:val="6D8E68B6"/>
    <w:rsid w:val="6DB91B96"/>
    <w:rsid w:val="6DCD214C"/>
    <w:rsid w:val="6DCD3D57"/>
    <w:rsid w:val="6E3C3302"/>
    <w:rsid w:val="6E7E0482"/>
    <w:rsid w:val="6E7F1593"/>
    <w:rsid w:val="6EC3F98A"/>
    <w:rsid w:val="6EFE7E0F"/>
    <w:rsid w:val="6F5F3DDC"/>
    <w:rsid w:val="6FBF4705"/>
    <w:rsid w:val="6FC06BC3"/>
    <w:rsid w:val="6FC24E02"/>
    <w:rsid w:val="6FCD2B35"/>
    <w:rsid w:val="6FEFDAF3"/>
    <w:rsid w:val="6FF658FB"/>
    <w:rsid w:val="6FFB1FF0"/>
    <w:rsid w:val="6FFEF6BD"/>
    <w:rsid w:val="70756248"/>
    <w:rsid w:val="70BB65E4"/>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301170"/>
    <w:rsid w:val="76937428"/>
    <w:rsid w:val="76EEE66D"/>
    <w:rsid w:val="76EF82A2"/>
    <w:rsid w:val="76FBFBCD"/>
    <w:rsid w:val="77245415"/>
    <w:rsid w:val="77503BA8"/>
    <w:rsid w:val="77BDFB3C"/>
    <w:rsid w:val="77BF2551"/>
    <w:rsid w:val="77CB4ADD"/>
    <w:rsid w:val="77F50D0E"/>
    <w:rsid w:val="77FCCDF3"/>
    <w:rsid w:val="7821727C"/>
    <w:rsid w:val="78243701"/>
    <w:rsid w:val="782E0A91"/>
    <w:rsid w:val="788E7EA5"/>
    <w:rsid w:val="78F74A7F"/>
    <w:rsid w:val="7922343B"/>
    <w:rsid w:val="7926388B"/>
    <w:rsid w:val="79521C10"/>
    <w:rsid w:val="795E17F1"/>
    <w:rsid w:val="795FF9E4"/>
    <w:rsid w:val="79D42C0A"/>
    <w:rsid w:val="79FFF26D"/>
    <w:rsid w:val="7A267238"/>
    <w:rsid w:val="7A30225F"/>
    <w:rsid w:val="7A6078E6"/>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BF1A71"/>
    <w:rsid w:val="7FC24D77"/>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Normal Indent"/>
    <w:basedOn w:val="1"/>
    <w:unhideWhenUsed/>
    <w:qFormat/>
    <w:uiPriority w:val="99"/>
    <w:pPr>
      <w:ind w:firstLine="420" w:firstLineChars="200"/>
    </w:pPr>
  </w:style>
  <w:style w:type="paragraph" w:styleId="6">
    <w:name w:val="annotation text"/>
    <w:basedOn w:val="1"/>
    <w:semiHidden/>
    <w:unhideWhenUsed/>
    <w:qFormat/>
    <w:uiPriority w:val="99"/>
    <w:pPr>
      <w:jc w:val="left"/>
    </w:pPr>
  </w:style>
  <w:style w:type="paragraph" w:styleId="7">
    <w:name w:val="Salutation"/>
    <w:basedOn w:val="1"/>
    <w:next w:val="1"/>
    <w:qFormat/>
    <w:uiPriority w:val="0"/>
  </w:style>
  <w:style w:type="paragraph" w:styleId="8">
    <w:name w:val="Body Text Indent"/>
    <w:basedOn w:val="1"/>
    <w:link w:val="41"/>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8"/>
    <w:unhideWhenUsed/>
    <w:qFormat/>
    <w:uiPriority w:val="99"/>
    <w:pPr>
      <w:tabs>
        <w:tab w:val="center" w:pos="4153"/>
        <w:tab w:val="right" w:pos="8306"/>
      </w:tabs>
      <w:snapToGrid w:val="0"/>
      <w:jc w:val="left"/>
    </w:pPr>
    <w:rPr>
      <w:sz w:val="18"/>
      <w:szCs w:val="18"/>
    </w:rPr>
  </w:style>
  <w:style w:type="paragraph" w:styleId="12">
    <w:name w:val="header"/>
    <w:basedOn w:val="1"/>
    <w:next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0"/>
    <w:qFormat/>
    <w:uiPriority w:val="10"/>
    <w:pPr>
      <w:spacing w:before="240" w:after="60"/>
      <w:jc w:val="center"/>
      <w:outlineLvl w:val="0"/>
    </w:pPr>
    <w:rPr>
      <w:rFonts w:ascii="Arial" w:hAnsi="Arial"/>
      <w:b/>
      <w:sz w:val="32"/>
    </w:rPr>
  </w:style>
  <w:style w:type="paragraph" w:styleId="17">
    <w:name w:val="Body Text First Indent 2"/>
    <w:basedOn w:val="2"/>
    <w:next w:val="1"/>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5">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6">
    <w:name w:val="常用样式（方正仿宋简）"/>
    <w:basedOn w:val="1"/>
    <w:qFormat/>
    <w:uiPriority w:val="0"/>
    <w:pPr>
      <w:spacing w:line="560" w:lineRule="exact"/>
      <w:ind w:firstLine="640"/>
    </w:pPr>
    <w:rPr>
      <w:rFonts w:eastAsia="方正仿宋简体"/>
      <w:sz w:val="32"/>
    </w:rPr>
  </w:style>
  <w:style w:type="character" w:customStyle="1" w:styleId="27">
    <w:name w:val="页眉 字符"/>
    <w:basedOn w:val="20"/>
    <w:link w:val="12"/>
    <w:qFormat/>
    <w:uiPriority w:val="99"/>
    <w:rPr>
      <w:sz w:val="18"/>
      <w:szCs w:val="18"/>
    </w:rPr>
  </w:style>
  <w:style w:type="character" w:customStyle="1" w:styleId="28">
    <w:name w:val="页脚 字符"/>
    <w:basedOn w:val="20"/>
    <w:link w:val="11"/>
    <w:qFormat/>
    <w:uiPriority w:val="99"/>
    <w:rPr>
      <w:sz w:val="18"/>
      <w:szCs w:val="18"/>
    </w:rPr>
  </w:style>
  <w:style w:type="character" w:customStyle="1" w:styleId="29">
    <w:name w:val="font11"/>
    <w:basedOn w:val="20"/>
    <w:qFormat/>
    <w:uiPriority w:val="0"/>
    <w:rPr>
      <w:rFonts w:hint="eastAsia" w:ascii="宋体" w:hAnsi="宋体" w:eastAsia="宋体" w:cs="宋体"/>
      <w:color w:val="000000"/>
      <w:sz w:val="21"/>
      <w:szCs w:val="21"/>
      <w:u w:val="none"/>
    </w:rPr>
  </w:style>
  <w:style w:type="character" w:customStyle="1" w:styleId="30">
    <w:name w:val="font01"/>
    <w:basedOn w:val="20"/>
    <w:qFormat/>
    <w:uiPriority w:val="0"/>
    <w:rPr>
      <w:rFonts w:hint="default" w:ascii="Calibri" w:hAnsi="Calibri" w:cs="Calibri"/>
      <w:color w:val="000000"/>
      <w:sz w:val="21"/>
      <w:szCs w:val="21"/>
      <w:u w:val="none"/>
    </w:rPr>
  </w:style>
  <w:style w:type="character" w:customStyle="1" w:styleId="31">
    <w:name w:val="font71"/>
    <w:basedOn w:val="20"/>
    <w:qFormat/>
    <w:uiPriority w:val="0"/>
    <w:rPr>
      <w:rFonts w:hint="eastAsia" w:ascii="仿宋" w:hAnsi="仿宋" w:eastAsia="仿宋" w:cs="仿宋"/>
      <w:b/>
      <w:color w:val="000000"/>
      <w:sz w:val="24"/>
      <w:szCs w:val="24"/>
      <w:u w:val="none"/>
    </w:rPr>
  </w:style>
  <w:style w:type="character" w:customStyle="1" w:styleId="32">
    <w:name w:val="font51"/>
    <w:basedOn w:val="20"/>
    <w:qFormat/>
    <w:uiPriority w:val="0"/>
    <w:rPr>
      <w:rFonts w:hint="eastAsia" w:ascii="仿宋" w:hAnsi="仿宋" w:eastAsia="仿宋" w:cs="仿宋"/>
      <w:color w:val="000000"/>
      <w:sz w:val="24"/>
      <w:szCs w:val="24"/>
      <w:u w:val="none"/>
    </w:rPr>
  </w:style>
  <w:style w:type="character" w:customStyle="1" w:styleId="33">
    <w:name w:val="font31"/>
    <w:basedOn w:val="20"/>
    <w:qFormat/>
    <w:uiPriority w:val="0"/>
    <w:rPr>
      <w:rFonts w:hint="eastAsia" w:ascii="宋体" w:hAnsi="宋体" w:eastAsia="宋体" w:cs="宋体"/>
      <w:b/>
      <w:color w:val="000000"/>
      <w:sz w:val="22"/>
      <w:szCs w:val="22"/>
      <w:u w:val="none"/>
    </w:rPr>
  </w:style>
  <w:style w:type="character" w:customStyle="1" w:styleId="34">
    <w:name w:val="font21"/>
    <w:basedOn w:val="20"/>
    <w:qFormat/>
    <w:uiPriority w:val="0"/>
    <w:rPr>
      <w:rFonts w:hint="eastAsia" w:ascii="宋体" w:hAnsi="宋体" w:eastAsia="宋体" w:cs="宋体"/>
      <w:color w:val="000000"/>
      <w:sz w:val="20"/>
      <w:szCs w:val="20"/>
      <w:u w:val="none"/>
    </w:rPr>
  </w:style>
  <w:style w:type="character" w:customStyle="1" w:styleId="35">
    <w:name w:val="font41"/>
    <w:basedOn w:val="20"/>
    <w:qFormat/>
    <w:uiPriority w:val="0"/>
    <w:rPr>
      <w:rFonts w:hint="default" w:ascii="Times New Roman" w:hAnsi="Times New Roman" w:cs="Times New Roman"/>
      <w:b/>
      <w:color w:val="000000"/>
      <w:sz w:val="20"/>
      <w:szCs w:val="20"/>
      <w:u w:val="none"/>
    </w:rPr>
  </w:style>
  <w:style w:type="paragraph" w:customStyle="1" w:styleId="36">
    <w:name w:val="WPSOffice手动目录 1"/>
    <w:qFormat/>
    <w:uiPriority w:val="0"/>
    <w:rPr>
      <w:rFonts w:ascii="Times New Roman" w:hAnsi="Times New Roman" w:eastAsia="宋体" w:cs="Times New Roman"/>
      <w:lang w:val="en-US" w:eastAsia="zh-CN" w:bidi="ar-SA"/>
    </w:rPr>
  </w:style>
  <w:style w:type="paragraph" w:customStyle="1" w:styleId="3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8">
    <w:name w:val="表格"/>
    <w:basedOn w:val="1"/>
    <w:qFormat/>
    <w:uiPriority w:val="0"/>
    <w:rPr>
      <w:rFonts w:hint="eastAsia"/>
      <w:kern w:val="0"/>
      <w:sz w:val="24"/>
      <w:szCs w:val="20"/>
    </w:rPr>
  </w:style>
  <w:style w:type="paragraph" w:customStyle="1" w:styleId="39">
    <w:name w:val="页眉或页脚 (2)"/>
    <w:basedOn w:val="1"/>
    <w:qFormat/>
    <w:uiPriority w:val="0"/>
    <w:rPr>
      <w:rFonts w:eastAsia="Times New Roman" w:cs="Times New Roman"/>
      <w:sz w:val="20"/>
      <w:szCs w:val="20"/>
      <w:lang w:val="zh-CN" w:bidi="zh-CN"/>
    </w:rPr>
  </w:style>
  <w:style w:type="character" w:customStyle="1" w:styleId="40">
    <w:name w:val="标题 字符"/>
    <w:basedOn w:val="20"/>
    <w:link w:val="16"/>
    <w:qFormat/>
    <w:uiPriority w:val="0"/>
    <w:rPr>
      <w:rFonts w:ascii="等线 Light" w:hAnsi="等线 Light" w:eastAsia="等线 Light" w:cs="Times New Roman"/>
      <w:b/>
      <w:bCs/>
      <w:kern w:val="2"/>
      <w:sz w:val="32"/>
      <w:szCs w:val="32"/>
    </w:rPr>
  </w:style>
  <w:style w:type="character" w:customStyle="1" w:styleId="41">
    <w:name w:val="正文文本缩进 字符"/>
    <w:basedOn w:val="20"/>
    <w:link w:val="8"/>
    <w:qFormat/>
    <w:uiPriority w:val="0"/>
    <w:rPr>
      <w:kern w:val="2"/>
      <w:sz w:val="32"/>
      <w:szCs w:val="24"/>
    </w:rPr>
  </w:style>
  <w:style w:type="paragraph" w:customStyle="1" w:styleId="42">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3">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4">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16</Pages>
  <Words>2927</Words>
  <Characters>3268</Characters>
  <Lines>1</Lines>
  <Paragraphs>1</Paragraphs>
  <TotalTime>0</TotalTime>
  <ScaleCrop>false</ScaleCrop>
  <LinksUpToDate>false</LinksUpToDate>
  <CharactersWithSpaces>3300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2024-11-08T08:27:00Z</cp:lastPrinted>
  <dcterms:modified xsi:type="dcterms:W3CDTF">2025-01-07T09:07:05Z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