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bookmarkStart w:id="0" w:name="_Toc22314"/>
      <w:bookmarkStart w:id="1" w:name="_Toc29524"/>
      <w:bookmarkStart w:id="2" w:name="_Toc27398"/>
      <w:bookmarkStart w:id="3"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eastAsia" w:ascii="方正仿宋简体" w:hAnsi="方正仿宋简体" w:eastAsia="方正仿宋简体" w:cs="方正仿宋简体"/>
          <w:color w:val="333333"/>
          <w:kern w:val="0"/>
          <w:sz w:val="32"/>
          <w:szCs w:val="32"/>
          <w:highlight w:val="none"/>
        </w:rPr>
      </w:pPr>
    </w:p>
    <w:p w14:paraId="0F26538B">
      <w:pPr>
        <w:keepNext w:val="0"/>
        <w:keepLines w:val="0"/>
        <w:pageBreakBefore w:val="0"/>
        <w:widowControl/>
        <w:kinsoku/>
        <w:wordWrap/>
        <w:overflowPunct/>
        <w:topLinePunct w:val="0"/>
        <w:autoSpaceDE/>
        <w:autoSpaceDN/>
        <w:bidi w:val="0"/>
        <w:adjustRightInd/>
        <w:snapToGrid/>
        <w:spacing w:line="600" w:lineRule="exact"/>
        <w:ind w:left="0" w:leftChars="0"/>
        <w:jc w:val="center"/>
        <w:textAlignment w:val="auto"/>
        <w:rPr>
          <w:rFonts w:hint="eastAsia" w:ascii="方正黑体简体" w:hAnsi="方正黑体简体" w:eastAsia="方正黑体简体" w:cs="方正黑体简体"/>
          <w:color w:val="333333"/>
          <w:kern w:val="0"/>
          <w:sz w:val="44"/>
          <w:szCs w:val="44"/>
          <w:highlight w:val="none"/>
        </w:rPr>
      </w:pPr>
      <w:r>
        <w:rPr>
          <w:rFonts w:hint="eastAsia" w:ascii="方正黑体简体" w:hAnsi="方正黑体简体" w:eastAsia="方正黑体简体" w:cs="方正黑体简体"/>
          <w:color w:val="auto"/>
          <w:kern w:val="0"/>
          <w:sz w:val="44"/>
          <w:szCs w:val="44"/>
          <w:highlight w:val="none"/>
        </w:rPr>
        <w:t>部门整体支出绩效评价</w:t>
      </w:r>
    </w:p>
    <w:p w14:paraId="555E23A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0A553982">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4909B086">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77BE8AB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方正仿宋简体" w:hAnsi="方正仿宋简体" w:eastAsia="方正仿宋简体" w:cs="方正仿宋简体"/>
          <w:color w:val="333333"/>
          <w:kern w:val="0"/>
          <w:sz w:val="32"/>
          <w:szCs w:val="32"/>
          <w:highlight w:val="none"/>
        </w:rPr>
      </w:pPr>
    </w:p>
    <w:p w14:paraId="600A9234">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lang w:val="en-US" w:eastAsia="zh-CN"/>
        </w:rPr>
        <w:t>评价单位</w:t>
      </w:r>
      <w:r>
        <w:rPr>
          <w:rFonts w:hint="eastAsia" w:ascii="方正仿宋简体" w:hAnsi="方正仿宋简体" w:eastAsia="方正仿宋简体" w:cs="方正仿宋简体"/>
          <w:color w:val="333333"/>
          <w:kern w:val="0"/>
          <w:sz w:val="32"/>
          <w:szCs w:val="32"/>
          <w:highlight w:val="none"/>
        </w:rPr>
        <w:t>名称：泸定县财政局</w:t>
      </w:r>
    </w:p>
    <w:p w14:paraId="4B95209C">
      <w:pPr>
        <w:keepNext w:val="0"/>
        <w:keepLines w:val="0"/>
        <w:pageBreakBefore w:val="0"/>
        <w:widowControl/>
        <w:kinsoku/>
        <w:wordWrap/>
        <w:overflowPunct/>
        <w:topLinePunct w:val="0"/>
        <w:autoSpaceDE/>
        <w:autoSpaceDN/>
        <w:bidi w:val="0"/>
        <w:adjustRightInd/>
        <w:snapToGrid/>
        <w:spacing w:line="600" w:lineRule="exact"/>
        <w:ind w:left="0" w:leftChars="0" w:firstLine="0" w:firstLineChars="0"/>
        <w:jc w:val="left"/>
        <w:textAlignment w:val="auto"/>
        <w:rPr>
          <w:rFonts w:hint="eastAsia" w:ascii="方正仿宋简体" w:hAnsi="方正仿宋简体" w:eastAsia="方正仿宋简体" w:cs="方正仿宋简体"/>
          <w:color w:val="333333"/>
          <w:kern w:val="0"/>
          <w:sz w:val="32"/>
          <w:szCs w:val="32"/>
          <w:highlight w:val="none"/>
        </w:rPr>
      </w:pPr>
      <w:r>
        <w:rPr>
          <w:rFonts w:hint="eastAsia" w:ascii="方正仿宋简体" w:hAnsi="方正仿宋简体" w:eastAsia="方正仿宋简体" w:cs="方正仿宋简体"/>
          <w:color w:val="333333"/>
          <w:kern w:val="0"/>
          <w:sz w:val="32"/>
          <w:szCs w:val="32"/>
          <w:highlight w:val="none"/>
        </w:rPr>
        <w:t>被评价单位名称：中共泸定县委机构编制委员会办公室</w:t>
      </w:r>
    </w:p>
    <w:p w14:paraId="2BDA8DEB">
      <w:pPr>
        <w:keepNext w:val="0"/>
        <w:keepLines w:val="0"/>
        <w:pageBreakBefore w:val="0"/>
        <w:kinsoku/>
        <w:wordWrap/>
        <w:overflowPunct/>
        <w:topLinePunct w:val="0"/>
        <w:autoSpaceDE/>
        <w:autoSpaceDN/>
        <w:bidi w:val="0"/>
        <w:adjustRightInd/>
        <w:snapToGrid/>
        <w:spacing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25A70CCE">
      <w:pPr>
        <w:pStyle w:val="2"/>
        <w:keepNext w:val="0"/>
        <w:keepLines w:val="0"/>
        <w:pageBreakBefore w:val="0"/>
        <w:kinsoku/>
        <w:wordWrap/>
        <w:overflowPunct/>
        <w:topLinePunct w:val="0"/>
        <w:autoSpaceDE/>
        <w:autoSpaceDN/>
        <w:bidi w:val="0"/>
        <w:adjustRightInd/>
        <w:snapToGrid/>
        <w:spacing w:after="0" w:line="600" w:lineRule="exact"/>
        <w:ind w:left="0" w:leftChars="0" w:firstLine="320" w:firstLineChars="100"/>
        <w:textAlignment w:val="auto"/>
        <w:rPr>
          <w:rFonts w:hint="eastAsia" w:ascii="方正仿宋简体" w:hAnsi="方正仿宋简体" w:eastAsia="方正仿宋简体" w:cs="方正仿宋简体"/>
          <w:sz w:val="32"/>
          <w:szCs w:val="32"/>
          <w:highlight w:val="none"/>
        </w:rPr>
      </w:pPr>
    </w:p>
    <w:p w14:paraId="025EE6A0">
      <w:pPr>
        <w:keepNext w:val="0"/>
        <w:keepLines w:val="0"/>
        <w:pageBreakBefore w:val="0"/>
        <w:widowControl/>
        <w:kinsoku/>
        <w:wordWrap/>
        <w:overflowPunct/>
        <w:topLinePunct w:val="0"/>
        <w:autoSpaceDE/>
        <w:autoSpaceDN/>
        <w:bidi w:val="0"/>
        <w:spacing w:line="600" w:lineRule="exact"/>
        <w:ind w:left="0" w:firstLine="0" w:firstLineChars="0"/>
        <w:jc w:val="center"/>
        <w:rPr>
          <w:rFonts w:hint="eastAsia" w:ascii="方正仿宋简体" w:hAnsi="方正仿宋简体" w:eastAsia="方正仿宋简体" w:cs="方正仿宋简体"/>
          <w:color w:val="333333"/>
          <w:kern w:val="0"/>
          <w:sz w:val="32"/>
          <w:szCs w:val="32"/>
          <w:highlight w:val="none"/>
        </w:rPr>
      </w:pPr>
    </w:p>
    <w:p w14:paraId="087D58A6">
      <w:pPr>
        <w:pStyle w:val="2"/>
        <w:rPr>
          <w:rFonts w:hint="eastAsia" w:ascii="方正仿宋简体" w:hAnsi="方正仿宋简体" w:eastAsia="方正仿宋简体" w:cs="方正仿宋简体"/>
          <w:color w:val="333333"/>
          <w:kern w:val="0"/>
          <w:sz w:val="32"/>
          <w:szCs w:val="32"/>
          <w:highlight w:val="none"/>
        </w:rPr>
      </w:pPr>
    </w:p>
    <w:p w14:paraId="06B0FF47">
      <w:pPr>
        <w:rPr>
          <w:rFonts w:hint="eastAsia" w:ascii="方正仿宋简体" w:hAnsi="方正仿宋简体" w:eastAsia="方正仿宋简体" w:cs="方正仿宋简体"/>
          <w:color w:val="333333"/>
          <w:kern w:val="0"/>
          <w:sz w:val="32"/>
          <w:szCs w:val="32"/>
          <w:highlight w:val="none"/>
        </w:rPr>
      </w:pPr>
    </w:p>
    <w:p w14:paraId="724226BB">
      <w:pPr>
        <w:pStyle w:val="2"/>
        <w:rPr>
          <w:rFonts w:hint="eastAsia" w:ascii="方正仿宋简体" w:hAnsi="方正仿宋简体" w:eastAsia="方正仿宋简体" w:cs="方正仿宋简体"/>
          <w:color w:val="333333"/>
          <w:kern w:val="0"/>
          <w:sz w:val="32"/>
          <w:szCs w:val="32"/>
          <w:highlight w:val="none"/>
        </w:rPr>
      </w:pPr>
    </w:p>
    <w:p w14:paraId="18D2826A">
      <w:pPr>
        <w:rPr>
          <w:rFonts w:hint="eastAsia"/>
        </w:rPr>
      </w:pPr>
    </w:p>
    <w:p w14:paraId="14DBB894">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4C44CB00">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29CD1197">
      <w:pPr>
        <w:pStyle w:val="9"/>
        <w:keepNext w:val="0"/>
        <w:keepLines w:val="0"/>
        <w:pageBreakBefore w:val="0"/>
        <w:kinsoku/>
        <w:wordWrap/>
        <w:overflowPunct/>
        <w:topLinePunct w:val="0"/>
        <w:autoSpaceDE/>
        <w:autoSpaceDN/>
        <w:bidi w:val="0"/>
        <w:spacing w:line="600" w:lineRule="exact"/>
        <w:ind w:left="0" w:firstLine="0" w:firstLineChars="0"/>
        <w:jc w:val="center"/>
        <w:outlineLvl w:val="9"/>
        <w:rPr>
          <w:rFonts w:hint="eastAsia" w:ascii="方正仿宋简体" w:hAnsi="方正仿宋简体" w:eastAsia="方正仿宋简体" w:cs="方正仿宋简体"/>
          <w:color w:val="333333"/>
          <w:kern w:val="0"/>
          <w:sz w:val="32"/>
          <w:szCs w:val="32"/>
          <w:highlight w:val="none"/>
        </w:rPr>
      </w:pPr>
    </w:p>
    <w:p w14:paraId="7E278D17">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中共泸定县委机构编制委员会办公室</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default" w:ascii="Times New Roman" w:hAnsi="Times New Roman" w:eastAsia="方正小标宋简体" w:cs="Times New Roman"/>
          <w:color w:val="auto"/>
          <w:sz w:val="44"/>
          <w:szCs w:val="44"/>
          <w:highlight w:val="none"/>
          <w:lang w:eastAsia="zh"/>
        </w:rPr>
        <w:t>2023</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2"/>
    </w:p>
    <w:p w14:paraId="01E44A40">
      <w:pPr>
        <w:pStyle w:val="16"/>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lang w:val="fr-FR"/>
        </w:rPr>
      </w:pPr>
    </w:p>
    <w:p w14:paraId="20ED600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4" w:name="_Toc26210"/>
      <w:bookmarkStart w:id="5" w:name="_Toc8938"/>
      <w:bookmarkStart w:id="6" w:name="_Toc6252"/>
    </w:p>
    <w:p w14:paraId="50FB6A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依据《</w:t>
      </w:r>
      <w:r>
        <w:rPr>
          <w:rFonts w:hint="eastAsia" w:ascii="方正仿宋简体" w:hAnsi="方正仿宋简体" w:eastAsia="方正仿宋简体" w:cs="方正仿宋简体"/>
          <w:color w:val="auto"/>
          <w:sz w:val="32"/>
          <w:szCs w:val="32"/>
          <w:highlight w:val="none"/>
        </w:rPr>
        <w:t>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w:t>
      </w:r>
      <w:r>
        <w:rPr>
          <w:rFonts w:hint="eastAsia" w:ascii="方正仿宋简体" w:hAnsi="方正仿宋简体" w:eastAsia="方正仿宋简体" w:cs="方正仿宋简体"/>
          <w:color w:val="auto"/>
          <w:sz w:val="32"/>
          <w:szCs w:val="32"/>
          <w:highlight w:val="none"/>
          <w:lang w:val="en-US" w:eastAsia="zh-CN"/>
        </w:rPr>
        <w:t>要求，我单位</w:t>
      </w:r>
      <w:r>
        <w:rPr>
          <w:rFonts w:hint="eastAsia" w:ascii="方正仿宋简体" w:hAnsi="方正仿宋简体" w:eastAsia="方正仿宋简体" w:cs="方正仿宋简体"/>
          <w:color w:val="auto"/>
          <w:sz w:val="32"/>
          <w:szCs w:val="32"/>
          <w:highlight w:val="none"/>
          <w:lang w:val="fr-FR"/>
        </w:rPr>
        <w:t>对中共泸定县委机构编制委员会办公室</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年部门整体支出进行</w:t>
      </w:r>
      <w:r>
        <w:rPr>
          <w:rFonts w:hint="eastAsia" w:ascii="方正仿宋简体" w:hAnsi="方正仿宋简体" w:eastAsia="方正仿宋简体" w:cs="方正仿宋简体"/>
          <w:color w:val="auto"/>
          <w:sz w:val="32"/>
          <w:szCs w:val="32"/>
          <w:highlight w:val="none"/>
          <w:lang w:val="fr-FR"/>
        </w:rPr>
        <w:t>绩效评价。中共泸定县委机构编制委员会办公室对其提供的绩效评价相关资料的真实性、合法性和完整性负责；我们的责任是依据《中共中央 国务院关于全面实施预算绩效管理的意见》（中发〔</w:t>
      </w:r>
      <w:r>
        <w:rPr>
          <w:rFonts w:hint="default" w:ascii="Times New Roman" w:hAnsi="Times New Roman" w:eastAsia="方正仿宋简体" w:cs="Times New Roman"/>
          <w:color w:val="auto"/>
          <w:sz w:val="32"/>
          <w:szCs w:val="32"/>
          <w:highlight w:val="none"/>
          <w:lang w:val="fr-FR"/>
        </w:rPr>
        <w:t>2018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34</w:t>
      </w:r>
      <w:r>
        <w:rPr>
          <w:rFonts w:hint="eastAsia" w:ascii="方正仿宋简体" w:hAnsi="方正仿宋简体" w:eastAsia="方正仿宋简体" w:cs="方正仿宋简体"/>
          <w:color w:val="auto"/>
          <w:sz w:val="32"/>
          <w:szCs w:val="32"/>
          <w:highlight w:val="none"/>
          <w:lang w:val="fr-FR"/>
        </w:rPr>
        <w:t>号）、《中共四川省委 四川省人民政府关于全面实施预算绩效管理的实施意见》（川委发〔</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号）、《中共甘孜州委办公室 甘孜州人民政府办公室关于印发</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甘孜州全面实施预算绩效管理工作实施方案</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的通知》（甘委办〔</w:t>
      </w:r>
      <w:r>
        <w:rPr>
          <w:rFonts w:hint="default" w:ascii="Times New Roman" w:hAnsi="Times New Roman" w:eastAsia="方正仿宋简体" w:cs="Times New Roman"/>
          <w:color w:val="auto"/>
          <w:sz w:val="32"/>
          <w:szCs w:val="32"/>
          <w:highlight w:val="none"/>
          <w:lang w:val="fr-FR"/>
        </w:rPr>
        <w:t>201</w:t>
      </w:r>
      <w:r>
        <w:rPr>
          <w:rFonts w:hint="default" w:ascii="Times New Roman" w:hAnsi="Times New Roman" w:eastAsia="方正仿宋简体" w:cs="Times New Roman"/>
          <w:color w:val="auto"/>
          <w:sz w:val="32"/>
          <w:szCs w:val="32"/>
          <w:highlight w:val="none"/>
        </w:rPr>
        <w:t>9</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120</w:t>
      </w:r>
      <w:r>
        <w:rPr>
          <w:rFonts w:hint="eastAsia" w:ascii="方正仿宋简体" w:hAnsi="方正仿宋简体" w:eastAsia="方正仿宋简体" w:cs="方正仿宋简体"/>
          <w:color w:val="auto"/>
          <w:sz w:val="32"/>
          <w:szCs w:val="32"/>
          <w:highlight w:val="none"/>
          <w:lang w:val="fr-FR"/>
        </w:rPr>
        <w:t>号）</w:t>
      </w:r>
      <w:r>
        <w:rPr>
          <w:rFonts w:hint="eastAsia" w:ascii="方正仿宋简体" w:hAnsi="方正仿宋简体" w:eastAsia="方正仿宋简体" w:cs="方正仿宋简体"/>
          <w:color w:val="auto"/>
          <w:sz w:val="32"/>
          <w:szCs w:val="32"/>
          <w:highlight w:val="none"/>
        </w:rPr>
        <w:t>和《泸定县财政局</w:t>
      </w:r>
      <w:r>
        <w:rPr>
          <w:rFonts w:hint="eastAsia" w:ascii="方正仿宋简体" w:hAnsi="方正仿宋简体" w:eastAsia="方正仿宋简体" w:cs="方正仿宋简体"/>
          <w:color w:val="auto"/>
          <w:sz w:val="32"/>
          <w:szCs w:val="32"/>
          <w:highlight w:val="none"/>
          <w:lang w:eastAsia="zh"/>
        </w:rPr>
        <w:t>关于开展</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年度部门整体绩效评价工作的通知</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eastAsia="zh"/>
        </w:rPr>
        <w:t>泸财〔</w:t>
      </w:r>
      <w:r>
        <w:rPr>
          <w:rFonts w:hint="default" w:ascii="Times New Roman" w:hAnsi="Times New Roman" w:eastAsia="方正仿宋简体" w:cs="Times New Roman"/>
          <w:color w:val="auto"/>
          <w:sz w:val="32"/>
          <w:szCs w:val="32"/>
          <w:highlight w:val="none"/>
          <w:lang w:eastAsia="zh"/>
        </w:rPr>
        <w:t>2024</w:t>
      </w:r>
      <w:r>
        <w:rPr>
          <w:rFonts w:hint="eastAsia" w:ascii="方正仿宋简体" w:hAnsi="方正仿宋简体" w:eastAsia="方正仿宋简体" w:cs="方正仿宋简体"/>
          <w:color w:val="auto"/>
          <w:sz w:val="32"/>
          <w:szCs w:val="32"/>
          <w:highlight w:val="none"/>
          <w:lang w:eastAsia="zh"/>
        </w:rPr>
        <w:t>〕</w:t>
      </w:r>
      <w:r>
        <w:rPr>
          <w:rFonts w:hint="default" w:ascii="Times New Roman" w:hAnsi="Times New Roman" w:eastAsia="方正仿宋简体" w:cs="Times New Roman"/>
          <w:color w:val="auto"/>
          <w:sz w:val="32"/>
          <w:szCs w:val="32"/>
          <w:highlight w:val="none"/>
          <w:lang w:eastAsia="zh"/>
        </w:rPr>
        <w:t>30</w:t>
      </w:r>
      <w:r>
        <w:rPr>
          <w:rFonts w:hint="eastAsia" w:ascii="方正仿宋简体" w:hAnsi="方正仿宋简体" w:eastAsia="方正仿宋简体" w:cs="方正仿宋简体"/>
          <w:color w:val="auto"/>
          <w:sz w:val="32"/>
          <w:szCs w:val="32"/>
          <w:highlight w:val="none"/>
          <w:lang w:eastAsia="zh"/>
        </w:rPr>
        <w:t>号</w:t>
      </w:r>
      <w:r>
        <w:rPr>
          <w:rFonts w:hint="eastAsia" w:ascii="方正仿宋简体" w:hAnsi="方正仿宋简体" w:eastAsia="方正仿宋简体" w:cs="方正仿宋简体"/>
          <w:color w:val="auto"/>
          <w:sz w:val="32"/>
          <w:szCs w:val="32"/>
          <w:highlight w:val="none"/>
        </w:rPr>
        <w:t>）</w:t>
      </w:r>
      <w:r>
        <w:rPr>
          <w:rFonts w:hint="eastAsia" w:ascii="方正仿宋简体" w:hAnsi="方正仿宋简体" w:eastAsia="方正仿宋简体" w:cs="方正仿宋简体"/>
          <w:color w:val="auto"/>
          <w:sz w:val="32"/>
          <w:szCs w:val="32"/>
          <w:highlight w:val="none"/>
          <w:lang w:val="fr-FR"/>
        </w:rPr>
        <w:t>文件要求，结合中共泸定县委机构编制委员会办公室的实际情况，对</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w:t>
      </w:r>
      <w:r>
        <w:rPr>
          <w:rFonts w:hint="eastAsia" w:ascii="方正仿宋简体" w:hAnsi="方正仿宋简体" w:eastAsia="方正仿宋简体" w:cs="方正仿宋简体"/>
          <w:color w:val="auto"/>
          <w:sz w:val="32"/>
          <w:szCs w:val="32"/>
          <w:highlight w:val="none"/>
          <w:lang w:val="fr-FR"/>
        </w:rPr>
        <w:t>进行绩效评价，并出具绩效评价报告，现将相关情况报告如下：</w:t>
      </w:r>
      <w:bookmarkEnd w:id="4"/>
      <w:bookmarkEnd w:id="5"/>
      <w:bookmarkEnd w:id="6"/>
      <w:bookmarkStart w:id="7" w:name="_Toc8555"/>
      <w:bookmarkStart w:id="8" w:name="_Toc12185"/>
      <w:bookmarkStart w:id="9" w:name="_Toc109483833"/>
    </w:p>
    <w:p w14:paraId="1CE7ED0B">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eastAsia="zh-CN"/>
        </w:rPr>
      </w:pPr>
      <w:bookmarkStart w:id="10" w:name="_Toc26009"/>
      <w:bookmarkStart w:id="11" w:name="_Toc799907804"/>
      <w:bookmarkStart w:id="12" w:name="_Toc1684"/>
      <w:bookmarkStart w:id="13" w:name="_Toc18579"/>
      <w:bookmarkStart w:id="14" w:name="_Toc2305"/>
      <w:bookmarkStart w:id="15" w:name="_Toc12546"/>
      <w:bookmarkStart w:id="16" w:name="_Toc31140"/>
      <w:bookmarkStart w:id="17" w:name="_Toc13111"/>
      <w:bookmarkStart w:id="18" w:name="_Toc10147"/>
      <w:r>
        <w:rPr>
          <w:rFonts w:hint="eastAsia" w:ascii="方正黑体简体" w:hAnsi="方正黑体简体" w:eastAsia="方正黑体简体" w:cs="方正黑体简体"/>
          <w:color w:val="auto"/>
          <w:kern w:val="0"/>
          <w:sz w:val="32"/>
          <w:szCs w:val="32"/>
          <w:highlight w:val="none"/>
          <w:shd w:val="clear" w:color="auto" w:fill="FFFFFF"/>
        </w:rPr>
        <w:t>一、</w:t>
      </w:r>
      <w:bookmarkEnd w:id="7"/>
      <w:bookmarkEnd w:id="8"/>
      <w:r>
        <w:rPr>
          <w:rFonts w:hint="eastAsia" w:ascii="方正黑体简体" w:hAnsi="方正黑体简体" w:eastAsia="方正黑体简体" w:cs="方正黑体简体"/>
          <w:color w:val="auto"/>
          <w:kern w:val="0"/>
          <w:sz w:val="32"/>
          <w:szCs w:val="32"/>
          <w:highlight w:val="none"/>
          <w:shd w:val="clear" w:color="auto" w:fill="FFFFFF"/>
        </w:rPr>
        <w:t>部门</w:t>
      </w:r>
      <w:bookmarkEnd w:id="9"/>
      <w:bookmarkEnd w:id="10"/>
      <w:bookmarkEnd w:id="11"/>
      <w:bookmarkStart w:id="19" w:name="_Toc16549"/>
      <w:bookmarkStart w:id="20" w:name="_Toc30550"/>
      <w:bookmarkStart w:id="21" w:name="_Toc109483834"/>
      <w:r>
        <w:rPr>
          <w:rFonts w:hint="eastAsia" w:ascii="方正黑体简体" w:hAnsi="方正黑体简体" w:eastAsia="方正黑体简体" w:cs="方正黑体简体"/>
          <w:color w:val="auto"/>
          <w:kern w:val="0"/>
          <w:sz w:val="32"/>
          <w:szCs w:val="32"/>
          <w:highlight w:val="none"/>
          <w:shd w:val="clear" w:color="auto" w:fill="FFFFFF"/>
          <w:lang w:val="en-US" w:eastAsia="zh-CN"/>
        </w:rPr>
        <w:t>概况</w:t>
      </w:r>
      <w:bookmarkEnd w:id="12"/>
      <w:bookmarkEnd w:id="13"/>
      <w:bookmarkEnd w:id="14"/>
      <w:bookmarkEnd w:id="15"/>
      <w:bookmarkEnd w:id="16"/>
      <w:bookmarkEnd w:id="17"/>
      <w:bookmarkEnd w:id="18"/>
    </w:p>
    <w:p w14:paraId="20C60406">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22" w:name="_Toc419097264"/>
      <w:bookmarkStart w:id="23" w:name="_Toc7513"/>
      <w:bookmarkStart w:id="24" w:name="_Toc26736"/>
      <w:bookmarkStart w:id="25" w:name="_Toc29249"/>
      <w:bookmarkStart w:id="26" w:name="_Toc2337"/>
      <w:bookmarkStart w:id="27" w:name="_Toc10798"/>
      <w:bookmarkStart w:id="28" w:name="_Toc5071"/>
      <w:bookmarkStart w:id="29" w:name="_Toc20865"/>
      <w:bookmarkStart w:id="30" w:name="_Toc24161"/>
      <w:r>
        <w:rPr>
          <w:rFonts w:hint="eastAsia" w:ascii="方正楷体简体" w:hAnsi="方正楷体简体" w:eastAsia="方正楷体简体" w:cs="方正楷体简体"/>
          <w:color w:val="auto"/>
          <w:kern w:val="0"/>
          <w:sz w:val="32"/>
          <w:szCs w:val="32"/>
          <w:highlight w:val="none"/>
          <w:shd w:val="clear" w:color="auto" w:fill="FFFFFF"/>
          <w:lang w:val="zh-CN"/>
        </w:rPr>
        <w:t>（一）</w:t>
      </w:r>
      <w:bookmarkEnd w:id="19"/>
      <w:bookmarkEnd w:id="20"/>
      <w:bookmarkEnd w:id="21"/>
      <w:bookmarkEnd w:id="22"/>
      <w:bookmarkEnd w:id="23"/>
      <w:r>
        <w:rPr>
          <w:rFonts w:hint="eastAsia" w:ascii="方正楷体简体" w:hAnsi="方正楷体简体" w:eastAsia="方正楷体简体" w:cs="方正楷体简体"/>
          <w:color w:val="auto"/>
          <w:kern w:val="0"/>
          <w:sz w:val="32"/>
          <w:szCs w:val="32"/>
          <w:highlight w:val="none"/>
          <w:shd w:val="clear" w:color="auto" w:fill="FFFFFF"/>
          <w:lang w:val="zh-CN" w:eastAsia="zh-CN"/>
        </w:rPr>
        <w:t>部门基本情况</w:t>
      </w:r>
      <w:bookmarkEnd w:id="24"/>
      <w:bookmarkEnd w:id="25"/>
      <w:bookmarkEnd w:id="26"/>
      <w:bookmarkEnd w:id="27"/>
      <w:bookmarkEnd w:id="28"/>
      <w:bookmarkEnd w:id="29"/>
      <w:bookmarkEnd w:id="30"/>
    </w:p>
    <w:p w14:paraId="05FA19E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31" w:name="_Toc109483835"/>
      <w:r>
        <w:rPr>
          <w:rFonts w:hint="eastAsia" w:ascii="方正仿宋简体" w:hAnsi="方正仿宋简体" w:eastAsia="方正仿宋简体" w:cs="方正仿宋简体"/>
          <w:color w:val="auto"/>
          <w:sz w:val="32"/>
          <w:szCs w:val="32"/>
          <w:highlight w:val="none"/>
          <w:lang w:val="fr-FR"/>
        </w:rPr>
        <w:t>中共泸定县委机构编制委员会办公室，属财政补助（收支统管；全额保障）的一级预算单位，机构性质：机关；单位负责人：田宏；统一社会信用代码：</w:t>
      </w:r>
      <w:r>
        <w:rPr>
          <w:rFonts w:hint="default" w:ascii="Times New Roman" w:hAnsi="Times New Roman" w:eastAsia="方正仿宋简体" w:cs="Times New Roman"/>
          <w:color w:val="auto"/>
          <w:sz w:val="32"/>
          <w:szCs w:val="32"/>
          <w:highlight w:val="none"/>
          <w:lang w:val="fr-FR"/>
        </w:rPr>
        <w:t>115133220089810505</w:t>
      </w:r>
      <w:r>
        <w:rPr>
          <w:rFonts w:hint="eastAsia" w:ascii="方正仿宋简体" w:hAnsi="方正仿宋简体" w:eastAsia="方正仿宋简体" w:cs="方正仿宋简体"/>
          <w:color w:val="auto"/>
          <w:sz w:val="32"/>
          <w:szCs w:val="32"/>
          <w:highlight w:val="none"/>
          <w:lang w:val="fr-FR"/>
        </w:rPr>
        <w:t>；单位所在地：四川省甘孜藏族自治州泸定县红军路</w:t>
      </w:r>
      <w:r>
        <w:rPr>
          <w:rFonts w:hint="default" w:ascii="Times New Roman" w:hAnsi="Times New Roman" w:eastAsia="方正仿宋简体" w:cs="Times New Roman"/>
          <w:color w:val="auto"/>
          <w:sz w:val="32"/>
          <w:szCs w:val="32"/>
          <w:highlight w:val="none"/>
          <w:lang w:val="fr-FR"/>
        </w:rPr>
        <w:t>324</w:t>
      </w:r>
      <w:r>
        <w:rPr>
          <w:rFonts w:hint="eastAsia" w:ascii="方正仿宋简体" w:hAnsi="方正仿宋简体" w:eastAsia="方正仿宋简体" w:cs="方正仿宋简体"/>
          <w:color w:val="auto"/>
          <w:sz w:val="32"/>
          <w:szCs w:val="32"/>
          <w:highlight w:val="none"/>
          <w:lang w:val="fr-FR"/>
        </w:rPr>
        <w:t xml:space="preserve">路。 </w:t>
      </w:r>
    </w:p>
    <w:p w14:paraId="5FA54FAF">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
        </w:rPr>
      </w:pPr>
      <w:bookmarkStart w:id="32" w:name="_Toc17750"/>
      <w:bookmarkStart w:id="33" w:name="_Toc31223"/>
      <w:bookmarkStart w:id="34" w:name="_Toc1278"/>
      <w:bookmarkStart w:id="35" w:name="_Toc12004"/>
      <w:bookmarkStart w:id="36" w:name="_Toc15678"/>
      <w:bookmarkStart w:id="37" w:name="_Toc1084"/>
      <w:bookmarkStart w:id="38" w:name="_Toc19382"/>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（二）部门</w:t>
      </w:r>
      <w:bookmarkEnd w:id="32"/>
      <w:bookmarkEnd w:id="33"/>
      <w:bookmarkEnd w:id="34"/>
      <w:r>
        <w:rPr>
          <w:rFonts w:hint="eastAsia" w:ascii="方正楷体简体" w:hAnsi="方正楷体简体" w:eastAsia="方正楷体简体" w:cs="方正楷体简体"/>
          <w:color w:val="auto"/>
          <w:kern w:val="0"/>
          <w:sz w:val="32"/>
          <w:szCs w:val="32"/>
          <w:highlight w:val="none"/>
          <w:shd w:val="clear" w:color="auto" w:fill="FFFFFF"/>
          <w:lang w:val="zh-CN" w:eastAsia="zh"/>
        </w:rPr>
        <w:t>内设机构及人员概况</w:t>
      </w:r>
      <w:bookmarkEnd w:id="35"/>
      <w:bookmarkEnd w:id="36"/>
      <w:bookmarkEnd w:id="37"/>
      <w:bookmarkEnd w:id="38"/>
    </w:p>
    <w:p w14:paraId="1672C5D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）内设机构。县委编办下设办公室、体制改革股（监督监察股）、机构编制股（泸定县事业单位登记管理局）。</w:t>
      </w:r>
    </w:p>
    <w:p w14:paraId="53E1C8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zh-CN"/>
        </w:rPr>
        <w:t>）</w:t>
      </w:r>
      <w:r>
        <w:rPr>
          <w:rFonts w:hint="eastAsia" w:ascii="方正仿宋简体" w:hAnsi="方正仿宋简体" w:eastAsia="方正仿宋简体" w:cs="方正仿宋简体"/>
          <w:color w:val="auto"/>
          <w:sz w:val="32"/>
          <w:szCs w:val="32"/>
          <w:highlight w:val="none"/>
          <w:lang w:val="en-US" w:eastAsia="zh-CN"/>
        </w:rPr>
        <w:t>人员概况。根据《中共泸定县委办公室关于印发&lt;中共泸定县委机构编制委员会办公室职能配置、内设机构和人员编制规定&gt;的通知》（泸委办发〔</w:t>
      </w:r>
      <w:r>
        <w:rPr>
          <w:rFonts w:hint="default" w:ascii="Times New Roman" w:hAnsi="Times New Roman" w:eastAsia="方正仿宋简体" w:cs="Times New Roman"/>
          <w:color w:val="auto"/>
          <w:sz w:val="32"/>
          <w:szCs w:val="32"/>
          <w:highlight w:val="none"/>
          <w:lang w:val="en-US" w:eastAsia="zh-CN"/>
        </w:rPr>
        <w:t>2019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54</w:t>
      </w:r>
      <w:r>
        <w:rPr>
          <w:rFonts w:hint="eastAsia" w:ascii="方正仿宋简体" w:hAnsi="方正仿宋简体" w:eastAsia="方正仿宋简体" w:cs="方正仿宋简体"/>
          <w:color w:val="auto"/>
          <w:sz w:val="32"/>
          <w:szCs w:val="32"/>
          <w:highlight w:val="none"/>
          <w:lang w:val="en-US" w:eastAsia="zh-CN"/>
        </w:rPr>
        <w:t>号）文件，中共泸定县委机构编制委员会办公室（以下简称县委编办）是中共泸定县委机构编制委员会常设办事机构，为正科级，列县委工作机关序列。县委编办行政编制</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名；其中主任</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名，副主任</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名；股长（办公室主任）</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名。机关工勤人员控制数</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名。</w:t>
      </w:r>
    </w:p>
    <w:p w14:paraId="0C033E9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年末实有人数。截至</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31</w:t>
      </w:r>
      <w:r>
        <w:rPr>
          <w:rFonts w:hint="eastAsia" w:ascii="方正仿宋简体" w:hAnsi="方正仿宋简体" w:eastAsia="方正仿宋简体" w:cs="方正仿宋简体"/>
          <w:color w:val="auto"/>
          <w:sz w:val="32"/>
          <w:szCs w:val="32"/>
          <w:highlight w:val="none"/>
          <w:lang w:val="en-US" w:eastAsia="zh-CN"/>
        </w:rPr>
        <w:t>日，县委编办实有在职人员</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人，其中：行政人员</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人，行政工勤</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人，事业人员</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人；退休</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人；离休</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人。</w:t>
      </w:r>
    </w:p>
    <w:p w14:paraId="2171EDF9">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39" w:name="_Toc568184988"/>
      <w:bookmarkStart w:id="40" w:name="_Toc16978"/>
      <w:bookmarkStart w:id="41" w:name="_Toc24321"/>
      <w:bookmarkStart w:id="42" w:name="_Toc22604"/>
      <w:bookmarkStart w:id="43" w:name="_Toc18488"/>
      <w:bookmarkStart w:id="44" w:name="_Toc9031"/>
      <w:bookmarkStart w:id="45" w:name="_Toc14275"/>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三</w:t>
      </w:r>
      <w:r>
        <w:rPr>
          <w:rFonts w:hint="eastAsia" w:ascii="方正楷体简体" w:hAnsi="方正楷体简体" w:eastAsia="方正楷体简体" w:cs="方正楷体简体"/>
          <w:color w:val="auto"/>
          <w:kern w:val="0"/>
          <w:sz w:val="32"/>
          <w:szCs w:val="32"/>
          <w:highlight w:val="none"/>
          <w:shd w:val="clear" w:color="auto" w:fill="FFFFFF"/>
          <w:lang w:val="zh-CN"/>
        </w:rPr>
        <w:t>）</w:t>
      </w:r>
      <w:bookmarkEnd w:id="31"/>
      <w:bookmarkEnd w:id="39"/>
      <w:bookmarkEnd w:id="40"/>
      <w:r>
        <w:rPr>
          <w:rFonts w:hint="eastAsia" w:ascii="方正楷体简体" w:hAnsi="方正楷体简体" w:eastAsia="方正楷体简体" w:cs="方正楷体简体"/>
          <w:color w:val="auto"/>
          <w:kern w:val="0"/>
          <w:sz w:val="32"/>
          <w:szCs w:val="32"/>
          <w:highlight w:val="none"/>
          <w:shd w:val="clear" w:color="auto" w:fill="FFFFFF"/>
          <w:lang w:val="zh-CN" w:eastAsia="zh-CN"/>
        </w:rPr>
        <w:t>部门职能职责</w:t>
      </w:r>
      <w:bookmarkEnd w:id="41"/>
      <w:bookmarkEnd w:id="42"/>
      <w:bookmarkEnd w:id="43"/>
      <w:bookmarkEnd w:id="44"/>
      <w:bookmarkEnd w:id="45"/>
    </w:p>
    <w:p w14:paraId="266DE3D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bookmarkStart w:id="46" w:name="_Toc33"/>
      <w:bookmarkStart w:id="47" w:name="_Toc109483836"/>
      <w:r>
        <w:rPr>
          <w:rFonts w:hint="eastAsia" w:ascii="方正仿宋简体" w:hAnsi="方正仿宋简体" w:eastAsia="方正仿宋简体" w:cs="方正仿宋简体"/>
          <w:color w:val="auto"/>
          <w:sz w:val="32"/>
          <w:szCs w:val="32"/>
          <w:highlight w:val="none"/>
          <w:lang w:val="fr-FR"/>
        </w:rPr>
        <w:t>县委编办的主要职责是：</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fr-FR"/>
        </w:rPr>
        <w:t>贯彻执行中央、省、州关于行政管理体制改革、机构改革、事业单位改革以及机构编制管理的方针政策和法律、法规、规章，拟订相关政策并监督实施。</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fr-FR"/>
        </w:rPr>
        <w:t>研究拟订全县行政管理体制改革和机构改革总体方案</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负责县级部门“三定”规定审核工作，负责拟订县</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乡</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机构改革方案</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指导、协调乡</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镇、街道</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行政管理体制改革和机构改革工作</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负责机构改革和职能运行效果评估工作</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参与行政区划调整有关工作。</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fr-FR"/>
        </w:rPr>
        <w:t>负责县级党的机关、人大常委会机关、政府工作部门、政协机关、人民团体机关的机构编制管理</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负责县委、县政府派出机构、驻外办事机构的机构编制管理</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牵头协调县级各部门之间以及县级各部门与乡</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之间的职责分工。</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fr-FR"/>
        </w:rPr>
        <w:t>拟订全县各级行政编制、政法专项编制总额分配方案</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提出跨层级调整行政编制的建议意见</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负责全县行政、事业编制总量控制和机构编制实名制管理</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 xml:space="preserve">负责机关和事业单位使用空缺编制补充人员的核批工作等。 </w:t>
      </w:r>
    </w:p>
    <w:p w14:paraId="069C751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zh-CN"/>
        </w:rPr>
      </w:pPr>
      <w:bookmarkStart w:id="48" w:name="_Toc26492"/>
      <w:bookmarkStart w:id="49" w:name="_Toc8969"/>
      <w:bookmarkStart w:id="50" w:name="_Toc16871"/>
      <w:bookmarkStart w:id="51" w:name="_Toc14793"/>
      <w:bookmarkStart w:id="52" w:name="_Toc20481"/>
      <w:bookmarkStart w:id="53" w:name="_Toc1218480988"/>
      <w:bookmarkStart w:id="54" w:name="_Toc22594"/>
      <w:bookmarkStart w:id="55" w:name="_Toc14896"/>
      <w:bookmarkStart w:id="56" w:name="_Toc13707"/>
      <w:r>
        <w:rPr>
          <w:rFonts w:hint="eastAsia" w:ascii="方正黑体简体" w:hAnsi="方正黑体简体" w:eastAsia="方正黑体简体" w:cs="方正黑体简体"/>
          <w:color w:val="auto"/>
          <w:kern w:val="0"/>
          <w:sz w:val="32"/>
          <w:szCs w:val="32"/>
          <w:highlight w:val="none"/>
          <w:shd w:val="clear" w:color="auto" w:fill="FFFFFF"/>
          <w:lang w:val="zh-CN"/>
        </w:rPr>
        <w:t>二、资金来源及使用情况</w:t>
      </w:r>
      <w:bookmarkEnd w:id="46"/>
      <w:bookmarkEnd w:id="47"/>
      <w:bookmarkEnd w:id="48"/>
      <w:bookmarkEnd w:id="49"/>
      <w:bookmarkEnd w:id="50"/>
      <w:bookmarkEnd w:id="51"/>
      <w:bookmarkEnd w:id="52"/>
      <w:bookmarkEnd w:id="53"/>
      <w:bookmarkEnd w:id="54"/>
      <w:bookmarkEnd w:id="55"/>
      <w:bookmarkEnd w:id="56"/>
      <w:bookmarkStart w:id="57" w:name="_Toc109483837"/>
      <w:bookmarkStart w:id="58" w:name="_Toc2659"/>
    </w:p>
    <w:bookmarkEnd w:id="57"/>
    <w:bookmarkEnd w:id="58"/>
    <w:p w14:paraId="24BA0DD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59" w:name="_Toc25866"/>
      <w:bookmarkStart w:id="60" w:name="_Toc29180"/>
      <w:bookmarkStart w:id="61" w:name="_Toc12100"/>
      <w:bookmarkStart w:id="62" w:name="_Toc1949541301"/>
      <w:bookmarkStart w:id="63" w:name="_Toc15898"/>
      <w:bookmarkStart w:id="64" w:name="_Toc2374"/>
      <w:bookmarkStart w:id="65" w:name="_Toc27026"/>
      <w:bookmarkStart w:id="66" w:name="_Toc6022"/>
      <w:bookmarkStart w:id="67" w:name="_Toc7881"/>
      <w:r>
        <w:rPr>
          <w:rFonts w:hint="eastAsia" w:ascii="方正楷体简体" w:hAnsi="方正楷体简体" w:eastAsia="方正楷体简体" w:cs="方正楷体简体"/>
          <w:color w:val="auto"/>
          <w:kern w:val="0"/>
          <w:sz w:val="32"/>
          <w:szCs w:val="32"/>
          <w:highlight w:val="none"/>
          <w:shd w:val="clear" w:color="auto" w:fill="FFFFFF"/>
          <w:lang w:val="zh-CN"/>
        </w:rPr>
        <w:t>（一）部门资金收入决算情况</w:t>
      </w:r>
      <w:bookmarkEnd w:id="59"/>
      <w:bookmarkEnd w:id="60"/>
      <w:bookmarkEnd w:id="61"/>
      <w:bookmarkEnd w:id="62"/>
      <w:bookmarkEnd w:id="63"/>
      <w:bookmarkEnd w:id="64"/>
      <w:bookmarkEnd w:id="65"/>
      <w:bookmarkEnd w:id="66"/>
      <w:bookmarkEnd w:id="67"/>
      <w:bookmarkStart w:id="68" w:name="_Toc19132"/>
    </w:p>
    <w:bookmarkEnd w:id="68"/>
    <w:p w14:paraId="578D23E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69" w:name="_Toc21171"/>
      <w:bookmarkStart w:id="70" w:name="_Toc349786989"/>
      <w:bookmarkStart w:id="71" w:name="_Toc19326"/>
      <w:bookmarkStart w:id="72" w:name="_Toc17751"/>
      <w:bookmarkStart w:id="73" w:name="_Toc27782"/>
      <w:bookmarkStart w:id="74" w:name="_Toc27073"/>
      <w:bookmarkStart w:id="75" w:name="_Toc109483838"/>
      <w:r>
        <w:rPr>
          <w:rFonts w:hint="default" w:ascii="Times New Roman" w:hAnsi="Times New Roman" w:eastAsia="方正仿宋简体" w:cs="Times New Roman"/>
          <w:color w:val="auto"/>
          <w:sz w:val="32"/>
          <w:szCs w:val="32"/>
          <w:highlight w:val="none"/>
          <w:lang w:val="fr-FR" w:eastAsia="zh"/>
        </w:rPr>
        <w:t>2023</w:t>
      </w:r>
      <w:r>
        <w:rPr>
          <w:rFonts w:hint="eastAsia" w:ascii="方正仿宋简体" w:hAnsi="方正仿宋简体" w:eastAsia="方正仿宋简体" w:cs="方正仿宋简体"/>
          <w:color w:val="auto"/>
          <w:sz w:val="32"/>
          <w:szCs w:val="32"/>
          <w:highlight w:val="none"/>
          <w:lang w:val="fr-FR" w:eastAsia="zh"/>
        </w:rPr>
        <w:t>年中共泸定县委机构编制委员会办公室</w:t>
      </w:r>
      <w:r>
        <w:rPr>
          <w:rFonts w:hint="eastAsia" w:ascii="方正仿宋简体" w:hAnsi="方正仿宋简体" w:eastAsia="方正仿宋简体" w:cs="方正仿宋简体"/>
          <w:color w:val="auto"/>
          <w:sz w:val="32"/>
          <w:szCs w:val="32"/>
          <w:highlight w:val="none"/>
          <w:lang w:val="en-US" w:eastAsia="zh-CN"/>
        </w:rPr>
        <w:t>收入总计</w:t>
      </w:r>
      <w:r>
        <w:rPr>
          <w:rFonts w:hint="default" w:ascii="Times New Roman" w:hAnsi="Times New Roman" w:eastAsia="方正仿宋简体" w:cs="Times New Roman"/>
          <w:color w:val="auto"/>
          <w:sz w:val="32"/>
          <w:szCs w:val="32"/>
          <w:highlight w:val="none"/>
          <w:lang w:val="en-US" w:eastAsia="zh-CN"/>
        </w:rPr>
        <w:t>166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46</w:t>
      </w:r>
      <w:r>
        <w:rPr>
          <w:rFonts w:hint="eastAsia" w:ascii="方正仿宋简体" w:hAnsi="方正仿宋简体" w:eastAsia="方正仿宋简体" w:cs="方正仿宋简体"/>
          <w:color w:val="auto"/>
          <w:sz w:val="32"/>
          <w:szCs w:val="32"/>
          <w:highlight w:val="none"/>
          <w:lang w:val="fr-FR" w:eastAsia="zh"/>
        </w:rPr>
        <w:t>万元，其中：一般公共预算财政拨款收入</w:t>
      </w:r>
      <w:r>
        <w:rPr>
          <w:rFonts w:hint="default" w:ascii="Times New Roman" w:hAnsi="Times New Roman" w:eastAsia="方正仿宋简体" w:cs="Times New Roman"/>
          <w:color w:val="auto"/>
          <w:sz w:val="32"/>
          <w:szCs w:val="32"/>
          <w:highlight w:val="none"/>
          <w:lang w:val="en-US" w:eastAsia="zh-CN"/>
        </w:rPr>
        <w:t>166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46</w:t>
      </w:r>
      <w:r>
        <w:rPr>
          <w:rFonts w:hint="eastAsia" w:ascii="方正仿宋简体" w:hAnsi="方正仿宋简体" w:eastAsia="方正仿宋简体" w:cs="方正仿宋简体"/>
          <w:color w:val="auto"/>
          <w:sz w:val="32"/>
          <w:szCs w:val="32"/>
          <w:highlight w:val="none"/>
          <w:lang w:val="fr-FR" w:eastAsia="zh"/>
        </w:rPr>
        <w:t>万元</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eastAsia="zh"/>
        </w:rPr>
        <w:t>其他收入</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eastAsia="zh"/>
        </w:rPr>
        <w:t>万元</w:t>
      </w:r>
      <w:r>
        <w:rPr>
          <w:rFonts w:hint="eastAsia" w:ascii="方正仿宋简体" w:hAnsi="方正仿宋简体" w:eastAsia="方正仿宋简体" w:cs="方正仿宋简体"/>
          <w:color w:val="auto"/>
          <w:sz w:val="32"/>
          <w:szCs w:val="32"/>
          <w:highlight w:val="none"/>
          <w:lang w:val="fr-FR" w:eastAsia="zh-CN"/>
        </w:rPr>
        <w:t>。</w:t>
      </w:r>
    </w:p>
    <w:p w14:paraId="53A3587D">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rPr>
      </w:pPr>
      <w:bookmarkStart w:id="76" w:name="_Toc7178"/>
      <w:bookmarkStart w:id="77" w:name="_Toc24444"/>
      <w:bookmarkStart w:id="78" w:name="_Toc691"/>
      <w:bookmarkStart w:id="79" w:name="_Toc28998"/>
      <w:r>
        <w:rPr>
          <w:rFonts w:hint="eastAsia" w:ascii="方正楷体简体" w:hAnsi="方正楷体简体" w:eastAsia="方正楷体简体" w:cs="方正楷体简体"/>
          <w:color w:val="auto"/>
          <w:kern w:val="0"/>
          <w:sz w:val="32"/>
          <w:szCs w:val="32"/>
          <w:highlight w:val="none"/>
          <w:shd w:val="clear" w:color="auto" w:fill="FFFFFF"/>
          <w:lang w:val="zh-CN"/>
        </w:rPr>
        <w:t>（二）部门资金支出决算情况</w:t>
      </w:r>
      <w:bookmarkEnd w:id="69"/>
      <w:bookmarkEnd w:id="70"/>
      <w:bookmarkEnd w:id="71"/>
      <w:bookmarkEnd w:id="72"/>
      <w:bookmarkEnd w:id="73"/>
      <w:bookmarkEnd w:id="74"/>
      <w:bookmarkEnd w:id="75"/>
      <w:bookmarkEnd w:id="76"/>
      <w:bookmarkEnd w:id="77"/>
      <w:bookmarkEnd w:id="78"/>
      <w:bookmarkEnd w:id="79"/>
    </w:p>
    <w:p w14:paraId="43697B8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80" w:name="_Toc10837"/>
      <w:bookmarkStart w:id="81" w:name="_Toc18390"/>
      <w:bookmarkStart w:id="82" w:name="_Toc24721"/>
      <w:bookmarkStart w:id="83" w:name="_Toc1457008154"/>
      <w:bookmarkStart w:id="84" w:name="_Toc109483839"/>
      <w:bookmarkStart w:id="85" w:name="_Toc809"/>
      <w:bookmarkStart w:id="86" w:name="_Toc13841"/>
      <w:r>
        <w:rPr>
          <w:rFonts w:hint="default" w:ascii="Times New Roman" w:hAnsi="Times New Roman" w:eastAsia="方正仿宋简体" w:cs="Times New Roman"/>
          <w:color w:val="auto"/>
          <w:sz w:val="32"/>
          <w:szCs w:val="32"/>
          <w:highlight w:val="none"/>
          <w:lang w:val="en-US" w:eastAsia="zh"/>
        </w:rPr>
        <w:t>2023</w:t>
      </w:r>
      <w:r>
        <w:rPr>
          <w:rFonts w:hint="eastAsia" w:ascii="方正仿宋简体" w:hAnsi="方正仿宋简体" w:eastAsia="方正仿宋简体" w:cs="方正仿宋简体"/>
          <w:color w:val="auto"/>
          <w:sz w:val="32"/>
          <w:szCs w:val="32"/>
          <w:highlight w:val="none"/>
          <w:lang w:val="en-US" w:eastAsia="zh-CN"/>
        </w:rPr>
        <w:t>年</w:t>
      </w:r>
      <w:r>
        <w:rPr>
          <w:rFonts w:hint="eastAsia" w:ascii="方正仿宋简体" w:hAnsi="方正仿宋简体" w:eastAsia="方正仿宋简体" w:cs="方正仿宋简体"/>
          <w:color w:val="auto"/>
          <w:sz w:val="32"/>
          <w:szCs w:val="32"/>
          <w:highlight w:val="none"/>
          <w:lang w:val="en-US" w:eastAsia="zh"/>
        </w:rPr>
        <w:t>中共泸定县委机构编制委员会办公室</w:t>
      </w:r>
      <w:r>
        <w:rPr>
          <w:rFonts w:hint="eastAsia" w:ascii="方正仿宋简体" w:hAnsi="方正仿宋简体" w:eastAsia="方正仿宋简体" w:cs="方正仿宋简体"/>
          <w:color w:val="auto"/>
          <w:sz w:val="32"/>
          <w:szCs w:val="32"/>
          <w:highlight w:val="none"/>
          <w:lang w:val="en-US" w:eastAsia="zh-CN"/>
        </w:rPr>
        <w:t>支出总计</w:t>
      </w:r>
      <w:r>
        <w:rPr>
          <w:rFonts w:hint="default" w:ascii="Times New Roman" w:hAnsi="Times New Roman" w:eastAsia="方正仿宋简体" w:cs="Times New Roman"/>
          <w:color w:val="auto"/>
          <w:sz w:val="32"/>
          <w:szCs w:val="32"/>
          <w:highlight w:val="none"/>
          <w:lang w:val="en-US" w:eastAsia="zh-CN"/>
        </w:rPr>
        <w:t>166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46</w:t>
      </w:r>
      <w:r>
        <w:rPr>
          <w:rFonts w:hint="eastAsia" w:ascii="方正仿宋简体" w:hAnsi="方正仿宋简体" w:eastAsia="方正仿宋简体" w:cs="方正仿宋简体"/>
          <w:color w:val="auto"/>
          <w:sz w:val="32"/>
          <w:szCs w:val="32"/>
          <w:highlight w:val="none"/>
          <w:lang w:val="en-US" w:eastAsia="zh"/>
        </w:rPr>
        <w:t>万元，其中</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en-US" w:eastAsia="zh"/>
        </w:rPr>
        <w:t>基本支出</w:t>
      </w:r>
      <w:r>
        <w:rPr>
          <w:rFonts w:hint="default" w:ascii="Times New Roman" w:hAnsi="Times New Roman" w:eastAsia="方正仿宋简体" w:cs="Times New Roman"/>
          <w:color w:val="auto"/>
          <w:sz w:val="32"/>
          <w:szCs w:val="32"/>
          <w:highlight w:val="none"/>
          <w:lang w:val="en-US" w:eastAsia="zh"/>
        </w:rPr>
        <w:t>156</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46</w:t>
      </w:r>
      <w:r>
        <w:rPr>
          <w:rFonts w:hint="eastAsia" w:ascii="方正仿宋简体" w:hAnsi="方正仿宋简体" w:eastAsia="方正仿宋简体" w:cs="方正仿宋简体"/>
          <w:color w:val="auto"/>
          <w:sz w:val="32"/>
          <w:szCs w:val="32"/>
          <w:highlight w:val="none"/>
          <w:lang w:val="en-US" w:eastAsia="zh"/>
        </w:rPr>
        <w:t xml:space="preserve"> 万元（人员经费</w:t>
      </w:r>
      <w:r>
        <w:rPr>
          <w:rFonts w:hint="default" w:ascii="Times New Roman" w:hAnsi="Times New Roman" w:eastAsia="方正仿宋简体" w:cs="Times New Roman"/>
          <w:color w:val="auto"/>
          <w:sz w:val="32"/>
          <w:szCs w:val="32"/>
          <w:highlight w:val="none"/>
          <w:lang w:val="en-US" w:eastAsia="zh"/>
        </w:rPr>
        <w:t>140</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CN"/>
        </w:rPr>
        <w:t>70</w:t>
      </w:r>
      <w:r>
        <w:rPr>
          <w:rFonts w:hint="eastAsia" w:ascii="方正仿宋简体" w:hAnsi="方正仿宋简体" w:eastAsia="方正仿宋简体" w:cs="方正仿宋简体"/>
          <w:color w:val="auto"/>
          <w:sz w:val="32"/>
          <w:szCs w:val="32"/>
          <w:highlight w:val="none"/>
          <w:lang w:val="en-US" w:eastAsia="zh"/>
        </w:rPr>
        <w:t>万元</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lang w:val="en-US" w:eastAsia="zh"/>
        </w:rPr>
        <w:t>日常公用经费</w:t>
      </w:r>
      <w:r>
        <w:rPr>
          <w:rFonts w:hint="default" w:ascii="Times New Roman" w:hAnsi="Times New Roman" w:eastAsia="方正仿宋简体" w:cs="Times New Roman"/>
          <w:color w:val="auto"/>
          <w:sz w:val="32"/>
          <w:szCs w:val="32"/>
          <w:highlight w:val="none"/>
          <w:lang w:val="en-US" w:eastAsia="zh"/>
        </w:rPr>
        <w:t>15</w:t>
      </w:r>
      <w:r>
        <w:rPr>
          <w:rFonts w:hint="eastAsia" w:ascii="方正仿宋简体" w:hAnsi="方正仿宋简体" w:eastAsia="方正仿宋简体" w:cs="方正仿宋简体"/>
          <w:color w:val="auto"/>
          <w:sz w:val="32"/>
          <w:szCs w:val="32"/>
          <w:highlight w:val="none"/>
          <w:lang w:val="en-US" w:eastAsia="zh"/>
        </w:rPr>
        <w:t>.</w:t>
      </w:r>
      <w:r>
        <w:rPr>
          <w:rFonts w:hint="default" w:ascii="Times New Roman" w:hAnsi="Times New Roman" w:eastAsia="方正仿宋简体" w:cs="Times New Roman"/>
          <w:color w:val="auto"/>
          <w:sz w:val="32"/>
          <w:szCs w:val="32"/>
          <w:highlight w:val="none"/>
          <w:lang w:val="en-US" w:eastAsia="zh"/>
        </w:rPr>
        <w:t>76</w:t>
      </w:r>
      <w:r>
        <w:rPr>
          <w:rFonts w:hint="eastAsia" w:ascii="方正仿宋简体" w:hAnsi="方正仿宋简体" w:eastAsia="方正仿宋简体" w:cs="方正仿宋简体"/>
          <w:color w:val="auto"/>
          <w:sz w:val="32"/>
          <w:szCs w:val="32"/>
          <w:highlight w:val="none"/>
          <w:lang w:val="en-US" w:eastAsia="zh"/>
        </w:rPr>
        <w:t xml:space="preserve">万元），项目支出 </w:t>
      </w:r>
      <w:r>
        <w:rPr>
          <w:rFonts w:hint="default" w:ascii="Times New Roman" w:hAnsi="Times New Roman" w:eastAsia="方正仿宋简体" w:cs="Times New Roman"/>
          <w:color w:val="auto"/>
          <w:sz w:val="32"/>
          <w:szCs w:val="32"/>
          <w:highlight w:val="none"/>
          <w:lang w:val="en-US" w:eastAsia="zh"/>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
        </w:rPr>
        <w:t>万元。</w:t>
      </w:r>
      <w:r>
        <w:rPr>
          <w:rFonts w:hint="eastAsia" w:ascii="方正仿宋简体" w:hAnsi="方正仿宋简体" w:eastAsia="方正仿宋简体" w:cs="方正仿宋简体"/>
          <w:color w:val="auto"/>
          <w:sz w:val="32"/>
          <w:szCs w:val="32"/>
          <w:highlight w:val="none"/>
          <w:lang w:val="en-US" w:eastAsia="zh-CN"/>
        </w:rPr>
        <w:t>年末结余结转</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万元。</w:t>
      </w:r>
    </w:p>
    <w:p w14:paraId="4BC19A9C">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lang w:val="en-US" w:eastAsia="zh-CN"/>
        </w:rPr>
      </w:pPr>
      <w:bookmarkStart w:id="87" w:name="_Toc4190"/>
      <w:bookmarkStart w:id="88" w:name="_Toc15014"/>
      <w:bookmarkStart w:id="89" w:name="_Toc8436"/>
      <w:bookmarkStart w:id="90" w:name="_Toc17567"/>
      <w:r>
        <w:rPr>
          <w:rFonts w:hint="eastAsia" w:ascii="方正黑体简体" w:hAnsi="方正黑体简体" w:eastAsia="方正黑体简体" w:cs="方正黑体简体"/>
          <w:color w:val="auto"/>
          <w:kern w:val="0"/>
          <w:sz w:val="32"/>
          <w:szCs w:val="32"/>
          <w:highlight w:val="none"/>
          <w:shd w:val="clear" w:color="auto" w:fill="FFFFFF"/>
        </w:rPr>
        <w:t>三、</w:t>
      </w:r>
      <w:r>
        <w:rPr>
          <w:rFonts w:hint="eastAsia" w:ascii="方正黑体简体" w:hAnsi="方正黑体简体" w:eastAsia="方正黑体简体" w:cs="方正黑体简体"/>
          <w:color w:val="auto"/>
          <w:kern w:val="0"/>
          <w:sz w:val="32"/>
          <w:szCs w:val="32"/>
          <w:highlight w:val="none"/>
          <w:shd w:val="clear" w:color="auto" w:fill="FFFFFF"/>
          <w:lang w:val="en-US" w:eastAsia="zh-CN"/>
        </w:rPr>
        <w:t>部门目标实现情况</w:t>
      </w:r>
      <w:bookmarkEnd w:id="80"/>
      <w:bookmarkEnd w:id="81"/>
      <w:bookmarkEnd w:id="82"/>
      <w:bookmarkEnd w:id="87"/>
      <w:bookmarkEnd w:id="88"/>
      <w:bookmarkEnd w:id="89"/>
      <w:bookmarkEnd w:id="90"/>
    </w:p>
    <w:p w14:paraId="5552689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91" w:name="_Toc3621"/>
      <w:bookmarkStart w:id="92" w:name="_Toc3573"/>
      <w:bookmarkStart w:id="93" w:name="_Toc7820"/>
      <w:bookmarkStart w:id="94" w:name="_Toc28011"/>
      <w:bookmarkStart w:id="95" w:name="_Toc1418"/>
      <w:bookmarkStart w:id="96" w:name="_Toc25126"/>
      <w:bookmarkStart w:id="97" w:name="_Toc7090"/>
      <w:r>
        <w:rPr>
          <w:rFonts w:hint="eastAsia" w:ascii="方正楷体简体" w:hAnsi="方正楷体简体" w:eastAsia="方正楷体简体" w:cs="方正楷体简体"/>
          <w:color w:val="auto"/>
          <w:kern w:val="0"/>
          <w:sz w:val="32"/>
          <w:szCs w:val="32"/>
          <w:highlight w:val="none"/>
          <w:shd w:val="clear" w:color="auto" w:fill="FFFFFF"/>
          <w:lang w:val="zh-CN" w:eastAsia="zh-CN"/>
        </w:rPr>
        <w:t>（一）总体目标</w:t>
      </w:r>
      <w:bookmarkEnd w:id="91"/>
      <w:bookmarkEnd w:id="92"/>
      <w:bookmarkEnd w:id="93"/>
      <w:bookmarkEnd w:id="94"/>
      <w:bookmarkEnd w:id="95"/>
      <w:bookmarkEnd w:id="96"/>
      <w:bookmarkEnd w:id="97"/>
    </w:p>
    <w:p w14:paraId="521311E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98" w:name="_Toc132"/>
      <w:bookmarkStart w:id="99" w:name="_Toc11959"/>
      <w:bookmarkStart w:id="100" w:name="_Toc24652"/>
      <w:r>
        <w:rPr>
          <w:rFonts w:hint="eastAsia" w:ascii="方正仿宋简体" w:hAnsi="方正仿宋简体" w:eastAsia="方正仿宋简体" w:cs="方正仿宋简体"/>
          <w:color w:val="auto"/>
          <w:sz w:val="32"/>
          <w:szCs w:val="32"/>
          <w:highlight w:val="none"/>
          <w:lang w:val="en-US" w:eastAsia="zh-CN"/>
        </w:rPr>
        <w:t>以习近平新时代中国特色社会主义思想为指导，以加强党的全面领导为统领，紧扣县委；县政府中心大局，探索创新机构编制管理，深化重点行业领域改革，推进机构编制法治化建设，凝心聚力推动机构编制高质量发展。</w:t>
      </w:r>
    </w:p>
    <w:p w14:paraId="332148A8">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101" w:name="_Toc20061"/>
      <w:bookmarkStart w:id="102" w:name="_Toc6959"/>
      <w:bookmarkStart w:id="103" w:name="_Toc30675"/>
      <w:bookmarkStart w:id="104" w:name="_Toc18292"/>
      <w:r>
        <w:rPr>
          <w:rFonts w:hint="eastAsia" w:ascii="方正楷体简体" w:hAnsi="方正楷体简体" w:eastAsia="方正楷体简体" w:cs="方正楷体简体"/>
          <w:color w:val="auto"/>
          <w:kern w:val="0"/>
          <w:sz w:val="32"/>
          <w:szCs w:val="32"/>
          <w:highlight w:val="none"/>
          <w:shd w:val="clear" w:color="auto" w:fill="FFFFFF"/>
          <w:lang w:val="zh-CN" w:eastAsia="zh-CN"/>
        </w:rPr>
        <w:t>（二）具体目标</w:t>
      </w:r>
      <w:bookmarkEnd w:id="98"/>
      <w:bookmarkEnd w:id="99"/>
      <w:bookmarkEnd w:id="100"/>
      <w:bookmarkEnd w:id="101"/>
      <w:bookmarkEnd w:id="102"/>
      <w:bookmarkEnd w:id="103"/>
      <w:bookmarkEnd w:id="104"/>
    </w:p>
    <w:p w14:paraId="563082F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105" w:name="_Toc17536"/>
      <w:bookmarkStart w:id="106" w:name="_Toc6491"/>
      <w:bookmarkStart w:id="107" w:name="_Toc24081"/>
      <w:r>
        <w:rPr>
          <w:rFonts w:hint="eastAsia" w:ascii="方正仿宋简体" w:hAnsi="方正仿宋简体" w:eastAsia="方正仿宋简体" w:cs="方正仿宋简体"/>
          <w:color w:val="auto"/>
          <w:sz w:val="32"/>
          <w:szCs w:val="32"/>
          <w:highlight w:val="none"/>
          <w:lang w:val="en-US" w:eastAsia="zh-CN"/>
        </w:rPr>
        <w:t>县委编办</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年工作认真落实中央、省、州纪委全会部署安排，完成了以下工作任务：</w:t>
      </w:r>
    </w:p>
    <w:p w14:paraId="6576FD5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以制度为纲要，科学部署机构编制工作。抓好贯彻落实，扎实做好机构改革。坚持党管机构编制原则；完成国防动员体制改革；持续推进疾控体系改革，完成泸定县疾病预防控制局疾控局机构设置。积极开展调研，夯实机构编制基础。</w:t>
      </w:r>
    </w:p>
    <w:p w14:paraId="2F41DCF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.以效益为主线，创新编制资源管理方式。围绕中心服务大局，重点领域人才需求得到有力保障；围绕服务保障民生，编制资源盘活用好不断提档；围绕内部资源挖潜，机构编制使用效率不断提升。</w:t>
      </w:r>
    </w:p>
    <w:p w14:paraId="279E8E7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以服务为宗旨，提升事业单位登记管理质效。提早谋划，完成年报，采取“线上审核+线下查验”方式。严格流程，规范登记，创新探索“亮红灯”服务机制，用活“一书一函一通知”形式。坚持原则，完成抽查：坚持“双随机一公开”原则。</w:t>
      </w:r>
    </w:p>
    <w:p w14:paraId="1DC5DC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.以纪律为首要，开展党风廉政建设工作。严肃党内政治生活，树立良好风气导向；筑牢思想防线，强化警示教育；落实谈心谈话，掌握思想动态。</w:t>
      </w:r>
    </w:p>
    <w:p w14:paraId="466BA15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.以法律为准绳，推动权责清单管理运行高效。调整权责清单，推动部门履责；推进行权下放，提升治理效能；健全执法机制，保障基层执法。</w:t>
      </w:r>
    </w:p>
    <w:p w14:paraId="09506AF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.以结果为导向，推动各项重点工作落地见效。意识形态领域工作深入推进；民族团结进家庭实践行动有序推进；文明志愿服务活动常态开展；全力配合巡察工作。</w:t>
      </w:r>
    </w:p>
    <w:p w14:paraId="1627187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.以管理为根本，强化机构编制人才队伍建设。坚持党建引领，深化党小组建设；丰富学习载体，强化自身建设；紧盯重要岗位，抓牢年轻干部管理。</w:t>
      </w:r>
    </w:p>
    <w:p w14:paraId="234D532A">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08" w:name="_Toc23429"/>
      <w:bookmarkStart w:id="109" w:name="_Toc28095"/>
      <w:bookmarkStart w:id="110" w:name="_Toc30006"/>
      <w:bookmarkStart w:id="111" w:name="_Toc28821"/>
      <w:r>
        <w:rPr>
          <w:rFonts w:hint="eastAsia" w:ascii="方正黑体简体" w:hAnsi="方正黑体简体" w:eastAsia="方正黑体简体" w:cs="方正黑体简体"/>
          <w:color w:val="auto"/>
          <w:kern w:val="0"/>
          <w:sz w:val="32"/>
          <w:szCs w:val="32"/>
          <w:highlight w:val="none"/>
          <w:shd w:val="clear" w:color="auto" w:fill="FFFFFF"/>
          <w:lang w:val="en-US" w:eastAsia="zh-CN"/>
        </w:rPr>
        <w:t>四、</w:t>
      </w:r>
      <w:r>
        <w:rPr>
          <w:rFonts w:hint="eastAsia" w:ascii="方正黑体简体" w:hAnsi="方正黑体简体" w:eastAsia="方正黑体简体" w:cs="方正黑体简体"/>
          <w:color w:val="auto"/>
          <w:kern w:val="0"/>
          <w:sz w:val="32"/>
          <w:szCs w:val="32"/>
          <w:highlight w:val="none"/>
          <w:shd w:val="clear" w:color="auto" w:fill="FFFFFF"/>
        </w:rPr>
        <w:t>部门整体支出</w:t>
      </w:r>
      <w:r>
        <w:rPr>
          <w:rFonts w:hint="eastAsia" w:ascii="方正黑体简体" w:hAnsi="方正黑体简体" w:eastAsia="方正黑体简体" w:cs="方正黑体简体"/>
          <w:color w:val="auto"/>
          <w:kern w:val="0"/>
          <w:sz w:val="32"/>
          <w:szCs w:val="32"/>
          <w:highlight w:val="none"/>
          <w:shd w:val="clear" w:color="auto" w:fill="FFFFFF"/>
          <w:lang w:val="zh-CN"/>
        </w:rPr>
        <w:t>绩效评价</w:t>
      </w:r>
      <w:r>
        <w:rPr>
          <w:rFonts w:hint="eastAsia" w:ascii="方正黑体简体" w:hAnsi="方正黑体简体" w:eastAsia="方正黑体简体" w:cs="方正黑体简体"/>
          <w:color w:val="auto"/>
          <w:kern w:val="0"/>
          <w:sz w:val="32"/>
          <w:szCs w:val="32"/>
          <w:highlight w:val="none"/>
          <w:shd w:val="clear" w:color="auto" w:fill="FFFFFF"/>
        </w:rPr>
        <w:t>情况</w:t>
      </w:r>
      <w:bookmarkEnd w:id="83"/>
      <w:bookmarkEnd w:id="84"/>
      <w:bookmarkEnd w:id="85"/>
      <w:bookmarkEnd w:id="86"/>
      <w:bookmarkEnd w:id="105"/>
      <w:bookmarkEnd w:id="106"/>
      <w:bookmarkEnd w:id="107"/>
      <w:bookmarkEnd w:id="108"/>
      <w:bookmarkEnd w:id="109"/>
      <w:bookmarkEnd w:id="110"/>
      <w:bookmarkEnd w:id="111"/>
    </w:p>
    <w:p w14:paraId="5A75D54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CN"/>
        </w:rPr>
      </w:pPr>
      <w:bookmarkStart w:id="112" w:name="_Toc4305"/>
      <w:bookmarkStart w:id="113" w:name="_Toc29571"/>
      <w:bookmarkStart w:id="114" w:name="_Toc11694"/>
      <w:bookmarkStart w:id="115" w:name="_Toc26171"/>
      <w:bookmarkStart w:id="116" w:name="_Toc24977"/>
      <w:bookmarkStart w:id="117" w:name="_Toc233"/>
      <w:bookmarkStart w:id="118" w:name="_Toc28435"/>
      <w:bookmarkStart w:id="119" w:name="_Toc8903"/>
      <w:bookmarkStart w:id="120" w:name="_Toc428273082"/>
      <w:bookmarkStart w:id="121" w:name="_Toc27305"/>
      <w:bookmarkStart w:id="122" w:name="_Toc4199"/>
      <w:bookmarkStart w:id="123" w:name="_Toc109483840"/>
      <w:r>
        <w:rPr>
          <w:rFonts w:hint="eastAsia" w:ascii="方正楷体简体" w:hAnsi="方正楷体简体" w:eastAsia="方正楷体简体" w:cs="方正楷体简体"/>
          <w:color w:val="auto"/>
          <w:kern w:val="0"/>
          <w:sz w:val="32"/>
          <w:szCs w:val="32"/>
          <w:highlight w:val="none"/>
          <w:shd w:val="clear" w:color="auto" w:fill="FFFFFF"/>
          <w:lang w:val="zh-CN"/>
        </w:rPr>
        <w:t>（一）</w:t>
      </w:r>
      <w:r>
        <w:rPr>
          <w:rFonts w:hint="eastAsia" w:ascii="方正楷体简体" w:hAnsi="方正楷体简体" w:eastAsia="方正楷体简体" w:cs="方正楷体简体"/>
          <w:color w:val="auto"/>
          <w:kern w:val="0"/>
          <w:sz w:val="32"/>
          <w:szCs w:val="32"/>
          <w:highlight w:val="none"/>
          <w:shd w:val="clear" w:color="auto" w:fill="FFFFFF"/>
          <w:lang w:val="zh-CN" w:eastAsia="zh-CN"/>
        </w:rPr>
        <w:t>绩效评价实施过程</w:t>
      </w:r>
      <w:bookmarkEnd w:id="112"/>
      <w:bookmarkEnd w:id="113"/>
      <w:bookmarkEnd w:id="114"/>
      <w:bookmarkEnd w:id="115"/>
      <w:bookmarkEnd w:id="116"/>
      <w:bookmarkEnd w:id="117"/>
      <w:bookmarkEnd w:id="118"/>
    </w:p>
    <w:p w14:paraId="3E043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eastAsia" w:ascii="方正仿宋简体" w:hAnsi="方正仿宋简体" w:eastAsia="方正仿宋简体" w:cs="方正仿宋简体"/>
          <w:color w:val="auto"/>
          <w:sz w:val="32"/>
          <w:szCs w:val="32"/>
          <w:highlight w:val="none"/>
          <w:lang w:val="zh-CN"/>
        </w:rPr>
        <w:t>评价小组按照评价日程安排，对</w:t>
      </w:r>
      <w:r>
        <w:rPr>
          <w:rFonts w:hint="eastAsia" w:ascii="方正仿宋简体" w:hAnsi="方正仿宋简体" w:eastAsia="方正仿宋简体" w:cs="方正仿宋简体"/>
          <w:color w:val="auto"/>
          <w:sz w:val="32"/>
          <w:szCs w:val="32"/>
          <w:highlight w:val="none"/>
          <w:lang w:val="fr-FR"/>
        </w:rPr>
        <w:t>中共泸定县委机构编制委员会办公室</w:t>
      </w:r>
      <w:r>
        <w:rPr>
          <w:rFonts w:hint="eastAsia" w:ascii="方正仿宋简体" w:hAnsi="方正仿宋简体" w:eastAsia="方正仿宋简体" w:cs="方正仿宋简体"/>
          <w:color w:val="auto"/>
          <w:sz w:val="32"/>
          <w:szCs w:val="32"/>
          <w:highlight w:val="none"/>
          <w:lang w:val="zh-CN"/>
        </w:rPr>
        <w:t>提交的评价资料进行认真梳理，测算分析各项指标，汇总评分并形成评价报告。</w:t>
      </w:r>
    </w:p>
    <w:p w14:paraId="5A0A37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rPr>
        <w:t>1</w:t>
      </w:r>
      <w:r>
        <w:rPr>
          <w:rFonts w:hint="eastAsia" w:ascii="方正仿宋简体" w:hAnsi="方正仿宋简体" w:eastAsia="方正仿宋简体" w:cs="方正仿宋简体"/>
          <w:color w:val="auto"/>
          <w:sz w:val="32"/>
          <w:szCs w:val="32"/>
          <w:highlight w:val="none"/>
          <w:lang w:val="zh-CN"/>
        </w:rPr>
        <w:t>.对相关资料进行研读，对整体评价有基本的把握和了解，归纳出进一步评价所需的信息供下一步取数参考。</w:t>
      </w:r>
    </w:p>
    <w:p w14:paraId="5D575BB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rPr>
        <w:t>2</w:t>
      </w:r>
      <w:r>
        <w:rPr>
          <w:rFonts w:hint="eastAsia" w:ascii="方正仿宋简体" w:hAnsi="方正仿宋简体" w:eastAsia="方正仿宋简体" w:cs="方正仿宋简体"/>
          <w:color w:val="auto"/>
          <w:sz w:val="32"/>
          <w:szCs w:val="32"/>
          <w:highlight w:val="none"/>
          <w:lang w:val="zh-CN"/>
        </w:rPr>
        <w:t>.集中对各个评价指标逐一进行分析，以保证取数的准确性。</w:t>
      </w:r>
    </w:p>
    <w:p w14:paraId="777A176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rPr>
        <w:t>3</w:t>
      </w:r>
      <w:r>
        <w:rPr>
          <w:rFonts w:hint="eastAsia" w:ascii="方正仿宋简体" w:hAnsi="方正仿宋简体" w:eastAsia="方正仿宋简体" w:cs="方正仿宋简体"/>
          <w:color w:val="auto"/>
          <w:sz w:val="32"/>
          <w:szCs w:val="32"/>
          <w:highlight w:val="none"/>
          <w:lang w:val="zh-CN"/>
        </w:rPr>
        <w:t>.评价小组汇总分析评价过程中发现的问题并对存在问题进行讨论，根据取得的数据分别计算各评价指标所得分数，形成评价结果。</w:t>
      </w:r>
    </w:p>
    <w:p w14:paraId="3B0DF91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rPr>
        <w:t>4</w:t>
      </w:r>
      <w:r>
        <w:rPr>
          <w:rFonts w:hint="eastAsia" w:ascii="方正仿宋简体" w:hAnsi="方正仿宋简体" w:eastAsia="方正仿宋简体" w:cs="方正仿宋简体"/>
          <w:color w:val="auto"/>
          <w:sz w:val="32"/>
          <w:szCs w:val="32"/>
          <w:highlight w:val="none"/>
          <w:lang w:val="zh-CN"/>
        </w:rPr>
        <w:t>.根据评价结果，撰写评价报告。</w:t>
      </w:r>
    </w:p>
    <w:p w14:paraId="0280D38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zh-CN"/>
        </w:rPr>
      </w:pPr>
      <w:r>
        <w:rPr>
          <w:rFonts w:hint="default" w:ascii="Times New Roman" w:hAnsi="Times New Roman" w:eastAsia="方正仿宋简体" w:cs="Times New Roman"/>
          <w:color w:val="auto"/>
          <w:sz w:val="32"/>
          <w:szCs w:val="32"/>
          <w:highlight w:val="none"/>
          <w:lang w:val="zh-CN"/>
        </w:rPr>
        <w:t>5</w:t>
      </w:r>
      <w:r>
        <w:rPr>
          <w:rFonts w:hint="eastAsia" w:ascii="方正仿宋简体" w:hAnsi="方正仿宋简体" w:eastAsia="方正仿宋简体" w:cs="方正仿宋简体"/>
          <w:color w:val="auto"/>
          <w:sz w:val="32"/>
          <w:szCs w:val="32"/>
          <w:highlight w:val="none"/>
          <w:lang w:val="zh-CN"/>
        </w:rPr>
        <w:t>.与绩效评价相关者沟通，完善并形成绩效评价报告终稿。</w:t>
      </w:r>
    </w:p>
    <w:p w14:paraId="2ADF116E">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24" w:name="_Toc30977"/>
      <w:bookmarkStart w:id="125" w:name="_Toc23900"/>
      <w:bookmarkStart w:id="126" w:name="_Toc20048"/>
      <w:bookmarkStart w:id="127" w:name="_Toc9234"/>
      <w:bookmarkStart w:id="128" w:name="_Toc27911"/>
      <w:bookmarkStart w:id="129" w:name="_Toc16416"/>
      <w:bookmarkStart w:id="130" w:name="_Toc5545"/>
      <w:r>
        <w:rPr>
          <w:rFonts w:hint="eastAsia" w:ascii="方正楷体简体" w:hAnsi="方正楷体简体" w:eastAsia="方正楷体简体" w:cs="方正楷体简体"/>
          <w:color w:val="auto"/>
          <w:kern w:val="0"/>
          <w:sz w:val="32"/>
          <w:szCs w:val="32"/>
          <w:highlight w:val="none"/>
          <w:shd w:val="clear" w:color="auto" w:fill="FFFFFF"/>
          <w:lang w:val="zh-CN" w:eastAsia="zh-CN"/>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二）</w:t>
      </w:r>
      <w:bookmarkEnd w:id="119"/>
      <w:bookmarkEnd w:id="120"/>
      <w:r>
        <w:rPr>
          <w:rFonts w:hint="eastAsia" w:ascii="方正楷体简体" w:hAnsi="方正楷体简体" w:eastAsia="方正楷体简体" w:cs="方正楷体简体"/>
          <w:color w:val="auto"/>
          <w:kern w:val="0"/>
          <w:sz w:val="32"/>
          <w:szCs w:val="32"/>
          <w:highlight w:val="none"/>
          <w:shd w:val="clear" w:color="auto" w:fill="FFFFFF"/>
          <w:lang w:val="en-US" w:eastAsia="zh-CN"/>
        </w:rPr>
        <w:t>评价结论</w:t>
      </w:r>
      <w:bookmarkEnd w:id="124"/>
      <w:bookmarkEnd w:id="125"/>
      <w:bookmarkEnd w:id="126"/>
      <w:bookmarkEnd w:id="127"/>
      <w:bookmarkEnd w:id="128"/>
      <w:bookmarkEnd w:id="129"/>
      <w:bookmarkEnd w:id="130"/>
    </w:p>
    <w:bookmarkEnd w:id="121"/>
    <w:bookmarkEnd w:id="122"/>
    <w:bookmarkEnd w:id="123"/>
    <w:p w14:paraId="74F6DB23">
      <w:pPr>
        <w:keepNext w:val="0"/>
        <w:keepLines w:val="0"/>
        <w:pageBreakBefore w:val="0"/>
        <w:kinsoku/>
        <w:wordWrap/>
        <w:overflowPunct/>
        <w:topLinePunct w:val="0"/>
        <w:autoSpaceDE/>
        <w:autoSpaceDN/>
        <w:bidi w:val="0"/>
        <w:spacing w:line="600" w:lineRule="exact"/>
        <w:ind w:left="0" w:leftChars="0" w:right="0" w:rightChars="0" w:firstLine="60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fr-FR" w:eastAsia="zh"/>
        </w:rPr>
        <w:t>2023</w:t>
      </w:r>
      <w:r>
        <w:rPr>
          <w:rFonts w:hint="eastAsia" w:ascii="方正仿宋简体" w:hAnsi="方正仿宋简体" w:eastAsia="方正仿宋简体" w:cs="方正仿宋简体"/>
          <w:color w:val="auto"/>
          <w:sz w:val="32"/>
          <w:szCs w:val="32"/>
          <w:highlight w:val="none"/>
          <w:lang w:val="fr-FR"/>
        </w:rPr>
        <w:t>年，</w:t>
      </w:r>
      <w:r>
        <w:rPr>
          <w:rFonts w:hint="eastAsia" w:ascii="方正仿宋简体" w:hAnsi="方正仿宋简体" w:eastAsia="方正仿宋简体" w:cs="方正仿宋简体"/>
          <w:color w:val="auto"/>
          <w:sz w:val="32"/>
          <w:szCs w:val="32"/>
          <w:highlight w:val="none"/>
          <w:lang w:val="en-US" w:eastAsia="zh-CN"/>
        </w:rPr>
        <w:t>县委编办</w:t>
      </w:r>
      <w:r>
        <w:rPr>
          <w:rFonts w:hint="eastAsia" w:ascii="方正仿宋简体" w:hAnsi="方正仿宋简体" w:eastAsia="方正仿宋简体" w:cs="方正仿宋简体"/>
          <w:color w:val="auto"/>
          <w:sz w:val="32"/>
          <w:szCs w:val="32"/>
          <w:highlight w:val="none"/>
          <w:lang w:val="fr-FR" w:eastAsia="zh"/>
        </w:rPr>
        <w:t>以习近平新时代中国特色社会主义思想为指导，以加强党的全面领导为统领，紧扣县委</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eastAsia="zh"/>
        </w:rPr>
        <w:t>县政府中心大局，探索创新机构编制管理，深化重点行业领域改革，推进机构编制法治化建设，凝心聚力推动机构编制高质量发展</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en-US" w:eastAsia="zh-CN"/>
        </w:rPr>
        <w:t>县委编办</w:t>
      </w:r>
      <w:r>
        <w:rPr>
          <w:rFonts w:hint="eastAsia" w:ascii="方正仿宋简体" w:hAnsi="方正仿宋简体" w:eastAsia="方正仿宋简体" w:cs="方正仿宋简体"/>
          <w:color w:val="auto"/>
          <w:sz w:val="32"/>
          <w:szCs w:val="32"/>
          <w:highlight w:val="none"/>
          <w:lang w:val="fr-FR"/>
        </w:rPr>
        <w:t>在维持部门运转的基础上，完成了部门职责范围内的各项工作，部门履职情况较好。</w:t>
      </w:r>
    </w:p>
    <w:p w14:paraId="38EC8196">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fr-FR"/>
        </w:rPr>
        <w:t>按照设定的评价指标体系，通过对中共泸定县委机构编制委员会办公室</w:t>
      </w:r>
      <w:r>
        <w:rPr>
          <w:rFonts w:hint="default" w:ascii="Times New Roman" w:hAnsi="Times New Roman" w:eastAsia="方正仿宋简体" w:cs="Times New Roman"/>
          <w:color w:val="auto"/>
          <w:sz w:val="32"/>
          <w:szCs w:val="32"/>
          <w:highlight w:val="none"/>
          <w:lang w:val="fr-FR" w:eastAsia="zh"/>
        </w:rPr>
        <w:t>2023</w:t>
      </w:r>
      <w:r>
        <w:rPr>
          <w:rFonts w:hint="eastAsia" w:ascii="方正仿宋简体" w:hAnsi="方正仿宋简体" w:eastAsia="方正仿宋简体" w:cs="方正仿宋简体"/>
          <w:color w:val="auto"/>
          <w:sz w:val="32"/>
          <w:szCs w:val="32"/>
          <w:highlight w:val="none"/>
          <w:lang w:val="fr-FR"/>
        </w:rPr>
        <w:t>年度部门整体支出情况在预算编制、预算执行、完成结果、信息公开、整改反馈、自评质量方面进行综合评价，</w:t>
      </w:r>
      <w:r>
        <w:rPr>
          <w:rFonts w:hint="default" w:ascii="Times New Roman" w:hAnsi="Times New Roman" w:eastAsia="方正仿宋简体" w:cs="Times New Roman"/>
          <w:color w:val="auto"/>
          <w:sz w:val="32"/>
          <w:szCs w:val="32"/>
          <w:highlight w:val="none"/>
          <w:lang w:val="fr-FR" w:eastAsia="zh"/>
        </w:rPr>
        <w:t>2023</w:t>
      </w:r>
      <w:r>
        <w:rPr>
          <w:rFonts w:hint="eastAsia" w:ascii="方正仿宋简体" w:hAnsi="方正仿宋简体" w:eastAsia="方正仿宋简体" w:cs="方正仿宋简体"/>
          <w:color w:val="auto"/>
          <w:sz w:val="32"/>
          <w:szCs w:val="32"/>
          <w:highlight w:val="none"/>
          <w:lang w:val="fr-FR"/>
        </w:rPr>
        <w:t>年度中共泸定县委机构编制委员会办公室部门整体支出绩效评价指标分</w:t>
      </w:r>
      <w:r>
        <w:rPr>
          <w:rFonts w:hint="default" w:ascii="Times New Roman" w:hAnsi="Times New Roman" w:eastAsia="方正仿宋简体" w:cs="Times New Roman"/>
          <w:color w:val="auto"/>
          <w:sz w:val="32"/>
          <w:szCs w:val="32"/>
          <w:highlight w:val="none"/>
          <w:lang w:val="fr-FR"/>
        </w:rPr>
        <w:t>100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分，得分</w:t>
      </w:r>
      <w:r>
        <w:rPr>
          <w:rFonts w:hint="default" w:ascii="Times New Roman" w:hAnsi="Times New Roman" w:eastAsia="方正仿宋简体" w:cs="Times New Roman"/>
          <w:color w:val="auto"/>
          <w:sz w:val="32"/>
          <w:szCs w:val="32"/>
          <w:highlight w:val="none"/>
          <w:lang w:val="en-US" w:eastAsia="zh-CN"/>
        </w:rPr>
        <w:t>83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84</w:t>
      </w:r>
      <w:r>
        <w:rPr>
          <w:rFonts w:hint="eastAsia" w:ascii="方正仿宋简体" w:hAnsi="方正仿宋简体" w:eastAsia="方正仿宋简体" w:cs="方正仿宋简体"/>
          <w:color w:val="auto"/>
          <w:sz w:val="32"/>
          <w:szCs w:val="32"/>
          <w:highlight w:val="none"/>
          <w:lang w:val="fr-FR"/>
        </w:rPr>
        <w:t>分。详见下表：</w:t>
      </w:r>
    </w:p>
    <w:p w14:paraId="586E1AED">
      <w:pPr>
        <w:keepNext w:val="0"/>
        <w:keepLines w:val="0"/>
        <w:pageBreakBefore w:val="0"/>
        <w:kinsoku/>
        <w:wordWrap/>
        <w:overflowPunct/>
        <w:topLinePunct w:val="0"/>
        <w:autoSpaceDE/>
        <w:autoSpaceDN/>
        <w:bidi w:val="0"/>
        <w:spacing w:line="600" w:lineRule="exact"/>
        <w:ind w:left="0" w:leftChars="0" w:right="0" w:rightChars="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val="en-US" w:eastAsia="zh-CN"/>
        </w:rPr>
        <w:t>县委编办</w:t>
      </w:r>
      <w:r>
        <w:rPr>
          <w:rFonts w:hint="default" w:ascii="Times New Roman" w:hAnsi="Times New Roman" w:eastAsia="方正仿宋简体" w:cs="Times New Roman"/>
          <w:color w:val="auto"/>
          <w:sz w:val="32"/>
          <w:szCs w:val="32"/>
          <w:highlight w:val="none"/>
          <w:lang w:eastAsia="zh"/>
        </w:rPr>
        <w:t>2023</w:t>
      </w:r>
      <w:r>
        <w:rPr>
          <w:rFonts w:hint="eastAsia" w:ascii="方正仿宋简体" w:hAnsi="方正仿宋简体" w:eastAsia="方正仿宋简体" w:cs="方正仿宋简体"/>
          <w:color w:val="auto"/>
          <w:sz w:val="32"/>
          <w:szCs w:val="32"/>
          <w:highlight w:val="none"/>
        </w:rPr>
        <w:t>年部门整体支出绩效评价评分表</w:t>
      </w:r>
    </w:p>
    <w:tbl>
      <w:tblPr>
        <w:tblStyle w:val="17"/>
        <w:tblW w:w="4998" w:type="pct"/>
        <w:jc w:val="center"/>
        <w:tblLayout w:type="autofit"/>
        <w:tblCellMar>
          <w:top w:w="0" w:type="dxa"/>
          <w:left w:w="108" w:type="dxa"/>
          <w:bottom w:w="0" w:type="dxa"/>
          <w:right w:w="108" w:type="dxa"/>
        </w:tblCellMar>
      </w:tblPr>
      <w:tblGrid>
        <w:gridCol w:w="1633"/>
        <w:gridCol w:w="1576"/>
        <w:gridCol w:w="2151"/>
        <w:gridCol w:w="1111"/>
        <w:gridCol w:w="1350"/>
        <w:gridCol w:w="7"/>
        <w:gridCol w:w="1228"/>
      </w:tblGrid>
      <w:tr w14:paraId="067C3E46">
        <w:tblPrEx>
          <w:tblCellMar>
            <w:top w:w="0" w:type="dxa"/>
            <w:left w:w="108" w:type="dxa"/>
            <w:bottom w:w="0" w:type="dxa"/>
            <w:right w:w="108" w:type="dxa"/>
          </w:tblCellMar>
        </w:tblPrEx>
        <w:trPr>
          <w:trHeight w:val="680" w:hRule="atLeast"/>
          <w:jc w:val="center"/>
        </w:trPr>
        <w:tc>
          <w:tcPr>
            <w:tcW w:w="9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63A37D">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一级指标</w:t>
            </w:r>
          </w:p>
        </w:tc>
        <w:tc>
          <w:tcPr>
            <w:tcW w:w="83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9289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二级指标</w:t>
            </w:r>
          </w:p>
        </w:tc>
        <w:tc>
          <w:tcPr>
            <w:tcW w:w="11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EF55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三级指标</w:t>
            </w:r>
          </w:p>
        </w:tc>
        <w:tc>
          <w:tcPr>
            <w:tcW w:w="60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FF5DF">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分值</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71FD0">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扣分</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3CB2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得分</w:t>
            </w:r>
          </w:p>
        </w:tc>
      </w:tr>
      <w:tr w14:paraId="1D8435F3">
        <w:tblPrEx>
          <w:tblCellMar>
            <w:top w:w="0" w:type="dxa"/>
            <w:left w:w="108" w:type="dxa"/>
            <w:bottom w:w="0" w:type="dxa"/>
            <w:right w:w="108" w:type="dxa"/>
          </w:tblCellMar>
        </w:tblPrEx>
        <w:trPr>
          <w:trHeight w:val="680" w:hRule="atLeast"/>
          <w:jc w:val="center"/>
        </w:trPr>
        <w:tc>
          <w:tcPr>
            <w:tcW w:w="91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204BCA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部门预算管理（</w:t>
            </w:r>
            <w:r>
              <w:rPr>
                <w:rFonts w:hint="default" w:ascii="Times New Roman" w:hAnsi="Times New Roman" w:eastAsia="方正仿宋简体" w:cs="Times New Roman"/>
                <w:color w:val="auto"/>
                <w:kern w:val="0"/>
                <w:sz w:val="32"/>
                <w:szCs w:val="32"/>
                <w:highlight w:val="none"/>
                <w:lang w:eastAsia="zh"/>
              </w:rPr>
              <w:t>8</w:t>
            </w:r>
            <w:r>
              <w:rPr>
                <w:rFonts w:hint="default" w:ascii="Times New Roman" w:hAnsi="Times New Roman" w:eastAsia="方正仿宋简体" w:cs="Times New Roman"/>
                <w:color w:val="auto"/>
                <w:kern w:val="0"/>
                <w:sz w:val="32"/>
                <w:szCs w:val="32"/>
                <w:highlight w:val="none"/>
              </w:rPr>
              <w:t>0</w:t>
            </w:r>
            <w:r>
              <w:rPr>
                <w:rFonts w:hint="eastAsia" w:ascii="方正仿宋简体" w:hAnsi="方正仿宋简体" w:eastAsia="方正仿宋简体" w:cs="方正仿宋简体"/>
                <w:color w:val="auto"/>
                <w:kern w:val="0"/>
                <w:sz w:val="32"/>
                <w:szCs w:val="32"/>
                <w:highlight w:val="none"/>
              </w:rPr>
              <w:t>分）</w:t>
            </w: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D6F97F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预算编制</w:t>
            </w:r>
          </w:p>
          <w:p w14:paraId="620D76F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lang w:eastAsia="zh"/>
              </w:rPr>
              <w:t>30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8EEC3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目标制定</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6F82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91FE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7E5F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E7C6D5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6E29A0">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612D6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207CDC">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目标实现</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08EF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296"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9721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11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66C2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leftChars="0" w:right="0" w:rightChars="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B95C501">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F6FC6E">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A51ABA">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DB7D71">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编制准确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B8A3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C1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66</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58F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7</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34</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021FD26">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AE1217">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9EA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预算执行</w:t>
            </w:r>
          </w:p>
          <w:p w14:paraId="15EAE394">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3</w:t>
            </w:r>
            <w:r>
              <w:rPr>
                <w:rFonts w:hint="default" w:ascii="Times New Roman" w:hAnsi="Times New Roman" w:eastAsia="方正仿宋简体" w:cs="Times New Roman"/>
                <w:color w:val="auto"/>
                <w:sz w:val="32"/>
                <w:szCs w:val="32"/>
                <w:highlight w:val="none"/>
              </w:rPr>
              <w:t>0</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9DB6DF">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支出控制</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1629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C80FD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0182A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5</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39BDC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4770A">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671A1">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0849D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动态调整</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6B22B">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ED3F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0CF00">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r>
      <w:tr w14:paraId="3614AAF5">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B29445">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9A10C">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A9430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执行进度</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A03A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71A9E">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DAA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3DABA564">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6F05E">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E467D">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74BFB09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lang w:eastAsia="zh"/>
              </w:rPr>
              <w:t>20</w:t>
            </w:r>
            <w:r>
              <w:rPr>
                <w:rFonts w:hint="eastAsia" w:ascii="方正仿宋简体" w:hAnsi="方正仿宋简体" w:eastAsia="方正仿宋简体" w:cs="方正仿宋简体"/>
                <w:color w:val="auto"/>
                <w:sz w:val="32"/>
                <w:szCs w:val="32"/>
                <w:highlight w:val="none"/>
                <w:lang w:val="en-US" w:eastAsia="zh-CN"/>
              </w:rPr>
              <w:t>分</w:t>
            </w:r>
            <w:r>
              <w:rPr>
                <w:rFonts w:hint="eastAsia" w:ascii="方正仿宋简体" w:hAnsi="方正仿宋简体" w:eastAsia="方正仿宋简体" w:cs="方正仿宋简体"/>
                <w:color w:val="auto"/>
                <w:sz w:val="32"/>
                <w:szCs w:val="32"/>
                <w:highlight w:val="none"/>
              </w:rPr>
              <w:t>）</w:t>
            </w: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45A9B6">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预算完成</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FFA8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F3BB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6BF23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5A6E2A1C">
        <w:tblPrEx>
          <w:tblCellMar>
            <w:top w:w="0" w:type="dxa"/>
            <w:left w:w="108" w:type="dxa"/>
            <w:bottom w:w="0" w:type="dxa"/>
            <w:right w:w="108" w:type="dxa"/>
          </w:tblCellMar>
        </w:tblPrEx>
        <w:trPr>
          <w:trHeight w:val="680" w:hRule="atLeast"/>
          <w:jc w:val="center"/>
        </w:trPr>
        <w:tc>
          <w:tcPr>
            <w:tcW w:w="914" w:type="pct"/>
            <w:vMerge w:val="continue"/>
            <w:tcBorders>
              <w:top w:val="single" w:color="000000" w:sz="4" w:space="0"/>
              <w:left w:val="single" w:color="000000" w:sz="4" w:space="0"/>
              <w:bottom w:val="single" w:color="auto" w:sz="4" w:space="0"/>
              <w:right w:val="single" w:color="000000" w:sz="4" w:space="0"/>
            </w:tcBorders>
            <w:shd w:val="clear" w:color="auto" w:fill="auto"/>
            <w:vAlign w:val="center"/>
          </w:tcPr>
          <w:p w14:paraId="2096C1F2">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47049">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F95CC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违规记录</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E0C7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FF553">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50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BE053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9</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50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66D40231">
        <w:tblPrEx>
          <w:tblCellMar>
            <w:top w:w="0" w:type="dxa"/>
            <w:left w:w="108" w:type="dxa"/>
            <w:bottom w:w="0" w:type="dxa"/>
            <w:right w:w="108" w:type="dxa"/>
          </w:tblCellMar>
        </w:tblPrEx>
        <w:trPr>
          <w:trHeight w:val="680" w:hRule="atLeast"/>
          <w:jc w:val="center"/>
        </w:trPr>
        <w:tc>
          <w:tcPr>
            <w:tcW w:w="914"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A8141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绩效结果应用（</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auto" w:sz="4" w:space="0"/>
              <w:bottom w:val="single" w:color="auto" w:sz="4" w:space="0"/>
              <w:right w:val="single" w:color="auto" w:sz="4" w:space="0"/>
            </w:tcBorders>
            <w:shd w:val="clear" w:color="auto" w:fill="auto"/>
            <w:noWrap/>
            <w:vAlign w:val="center"/>
          </w:tcPr>
          <w:p w14:paraId="66432324">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信息公开</w:t>
            </w:r>
          </w:p>
          <w:p w14:paraId="396288A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2</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03897E1C">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自评公开</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2BF3BF8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002E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7EF0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2</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F66AD10">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93ED798">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71BF94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整改反馈</w:t>
            </w:r>
          </w:p>
          <w:p w14:paraId="75905C80">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8</w:t>
            </w:r>
            <w:r>
              <w:rPr>
                <w:rFonts w:hint="eastAsia" w:ascii="方正仿宋简体" w:hAnsi="方正仿宋简体" w:eastAsia="方正仿宋简体" w:cs="方正仿宋简体"/>
                <w:color w:val="auto"/>
                <w:sz w:val="32"/>
                <w:szCs w:val="32"/>
                <w:highlight w:val="none"/>
              </w:rPr>
              <w:t>分）</w:t>
            </w: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38DC09D6">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结果整改</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0BBDE06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0890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C970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0D29CB6E">
        <w:tblPrEx>
          <w:tblCellMar>
            <w:top w:w="0" w:type="dxa"/>
            <w:left w:w="108" w:type="dxa"/>
            <w:bottom w:w="0" w:type="dxa"/>
            <w:right w:w="108" w:type="dxa"/>
          </w:tblCellMar>
        </w:tblPrEx>
        <w:trPr>
          <w:trHeight w:val="680" w:hRule="atLeast"/>
          <w:jc w:val="center"/>
        </w:trPr>
        <w:tc>
          <w:tcPr>
            <w:tcW w:w="91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0F708F7F">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831" w:type="pct"/>
            <w:vMerge w:val="continue"/>
            <w:tcBorders>
              <w:top w:val="single" w:color="auto" w:sz="4" w:space="0"/>
              <w:left w:val="single" w:color="auto" w:sz="4" w:space="0"/>
              <w:bottom w:val="single" w:color="auto" w:sz="4" w:space="0"/>
              <w:right w:val="single" w:color="auto" w:sz="4" w:space="0"/>
            </w:tcBorders>
            <w:shd w:val="clear" w:color="auto" w:fill="auto"/>
            <w:noWrap/>
            <w:vAlign w:val="center"/>
          </w:tcPr>
          <w:p w14:paraId="128AA407">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p>
        </w:tc>
        <w:tc>
          <w:tcPr>
            <w:tcW w:w="1199" w:type="pct"/>
            <w:tcBorders>
              <w:top w:val="single" w:color="auto" w:sz="4" w:space="0"/>
              <w:left w:val="single" w:color="auto" w:sz="4" w:space="0"/>
              <w:bottom w:val="single" w:color="auto" w:sz="4" w:space="0"/>
              <w:right w:val="single" w:color="auto" w:sz="4" w:space="0"/>
            </w:tcBorders>
            <w:shd w:val="clear" w:color="auto" w:fill="auto"/>
            <w:vAlign w:val="center"/>
          </w:tcPr>
          <w:p w14:paraId="68E0257A">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应用反馈</w:t>
            </w:r>
          </w:p>
        </w:tc>
        <w:tc>
          <w:tcPr>
            <w:tcW w:w="603" w:type="pct"/>
            <w:tcBorders>
              <w:top w:val="single" w:color="000000" w:sz="4" w:space="0"/>
              <w:left w:val="single" w:color="auto" w:sz="4" w:space="0"/>
              <w:bottom w:val="single" w:color="000000" w:sz="4" w:space="0"/>
              <w:right w:val="single" w:color="000000" w:sz="4" w:space="0"/>
            </w:tcBorders>
            <w:shd w:val="clear" w:color="auto" w:fill="auto"/>
            <w:noWrap/>
            <w:vAlign w:val="center"/>
          </w:tcPr>
          <w:p w14:paraId="5AB747E6">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61"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4B01">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60B79">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18A120D9">
        <w:tblPrEx>
          <w:tblCellMar>
            <w:top w:w="0" w:type="dxa"/>
            <w:left w:w="108" w:type="dxa"/>
            <w:bottom w:w="0" w:type="dxa"/>
            <w:right w:w="108" w:type="dxa"/>
          </w:tblCellMar>
        </w:tblPrEx>
        <w:trPr>
          <w:trHeight w:val="680" w:hRule="atLeast"/>
          <w:jc w:val="center"/>
        </w:trPr>
        <w:tc>
          <w:tcPr>
            <w:tcW w:w="914" w:type="pct"/>
            <w:tcBorders>
              <w:top w:val="single" w:color="auto" w:sz="4" w:space="0"/>
              <w:left w:val="single" w:color="000000" w:sz="4" w:space="0"/>
              <w:bottom w:val="single" w:color="000000" w:sz="4" w:space="0"/>
              <w:right w:val="single" w:color="000000" w:sz="4" w:space="0"/>
            </w:tcBorders>
            <w:shd w:val="clear" w:color="auto" w:fill="auto"/>
            <w:vAlign w:val="center"/>
          </w:tcPr>
          <w:p w14:paraId="5C42AEB8">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自评质量</w:t>
            </w:r>
          </w:p>
          <w:p w14:paraId="3DBB5677">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831" w:type="pct"/>
            <w:tcBorders>
              <w:top w:val="single" w:color="auto" w:sz="4" w:space="0"/>
              <w:left w:val="single" w:color="000000" w:sz="4" w:space="0"/>
              <w:bottom w:val="single" w:color="000000" w:sz="4" w:space="0"/>
              <w:right w:val="single" w:color="000000" w:sz="4" w:space="0"/>
            </w:tcBorders>
            <w:shd w:val="clear" w:color="auto" w:fill="auto"/>
            <w:noWrap/>
            <w:vAlign w:val="center"/>
          </w:tcPr>
          <w:p w14:paraId="22CC9763">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9A926F">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rPr>
            </w:pPr>
            <w:r>
              <w:rPr>
                <w:rFonts w:hint="eastAsia" w:ascii="方正仿宋简体" w:hAnsi="方正仿宋简体" w:eastAsia="方正仿宋简体" w:cs="方正仿宋简体"/>
                <w:color w:val="auto"/>
                <w:kern w:val="0"/>
                <w:sz w:val="32"/>
                <w:szCs w:val="32"/>
                <w:highlight w:val="none"/>
              </w:rPr>
              <w:t>（</w:t>
            </w:r>
            <w:r>
              <w:rPr>
                <w:rFonts w:hint="default" w:ascii="Times New Roman" w:hAnsi="Times New Roman" w:eastAsia="方正仿宋简体" w:cs="Times New Roman"/>
                <w:color w:val="auto"/>
                <w:kern w:val="0"/>
                <w:sz w:val="32"/>
                <w:szCs w:val="32"/>
                <w:highlight w:val="none"/>
              </w:rPr>
              <w:t>10</w:t>
            </w:r>
            <w:r>
              <w:rPr>
                <w:rFonts w:hint="eastAsia" w:ascii="方正仿宋简体" w:hAnsi="方正仿宋简体" w:eastAsia="方正仿宋简体" w:cs="方正仿宋简体"/>
                <w:color w:val="auto"/>
                <w:kern w:val="0"/>
                <w:sz w:val="32"/>
                <w:szCs w:val="32"/>
                <w:highlight w:val="none"/>
              </w:rPr>
              <w:t>分）</w:t>
            </w:r>
          </w:p>
        </w:tc>
        <w:tc>
          <w:tcPr>
            <w:tcW w:w="1199" w:type="pct"/>
            <w:tcBorders>
              <w:top w:val="single" w:color="auto" w:sz="4" w:space="0"/>
              <w:left w:val="nil"/>
              <w:bottom w:val="single" w:color="000000" w:sz="4" w:space="0"/>
              <w:right w:val="single" w:color="000000" w:sz="4" w:space="0"/>
            </w:tcBorders>
            <w:shd w:val="clear" w:color="auto" w:fill="auto"/>
            <w:vAlign w:val="center"/>
          </w:tcPr>
          <w:p w14:paraId="2FE8F724">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自评准确</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A8385">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01E5C">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4</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1569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r w14:paraId="7A4D91B7">
        <w:tblPrEx>
          <w:tblCellMar>
            <w:top w:w="0" w:type="dxa"/>
            <w:left w:w="108" w:type="dxa"/>
            <w:bottom w:w="0" w:type="dxa"/>
            <w:right w:w="108" w:type="dxa"/>
          </w:tblCellMar>
        </w:tblPrEx>
        <w:trPr>
          <w:trHeight w:val="680" w:hRule="atLeast"/>
          <w:jc w:val="center"/>
        </w:trPr>
        <w:tc>
          <w:tcPr>
            <w:tcW w:w="2944"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20BC1">
            <w:pPr>
              <w:pStyle w:val="36"/>
              <w:keepNext w:val="0"/>
              <w:keepLines w:val="0"/>
              <w:pageBreakBefore w:val="0"/>
              <w:suppressLineNumbers w:val="0"/>
              <w:kinsoku/>
              <w:wordWrap/>
              <w:overflowPunct/>
              <w:topLinePunct w:val="0"/>
              <w:autoSpaceDE/>
              <w:autoSpaceDN/>
              <w:bidi w:val="0"/>
              <w:spacing w:before="0" w:beforeAutospacing="0" w:after="0" w:afterAutospacing="0" w:line="600" w:lineRule="exact"/>
              <w:ind w:left="0" w:right="0" w:firstLine="0" w:firstLineChars="0"/>
              <w:jc w:val="center"/>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合计</w:t>
            </w:r>
          </w:p>
        </w:tc>
        <w:tc>
          <w:tcPr>
            <w:tcW w:w="6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1B85A">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rPr>
              <w:t>100</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00</w:t>
            </w:r>
          </w:p>
        </w:tc>
        <w:tc>
          <w:tcPr>
            <w:tcW w:w="75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86D62">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16</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16</w:t>
            </w:r>
            <w:r>
              <w:rPr>
                <w:rFonts w:hint="eastAsia" w:ascii="方正仿宋简体" w:hAnsi="方正仿宋简体" w:eastAsia="方正仿宋简体" w:cs="方正仿宋简体"/>
                <w:color w:val="auto"/>
                <w:kern w:val="0"/>
                <w:sz w:val="32"/>
                <w:szCs w:val="32"/>
                <w:highlight w:val="none"/>
                <w:lang w:val="en-US" w:eastAsia="zh-CN"/>
              </w:rPr>
              <w:t xml:space="preserve"> </w:t>
            </w:r>
          </w:p>
        </w:tc>
        <w:tc>
          <w:tcPr>
            <w:tcW w:w="69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8F15D">
            <w:pPr>
              <w:keepNext w:val="0"/>
              <w:keepLines w:val="0"/>
              <w:pageBreakBefore w:val="0"/>
              <w:widowControl/>
              <w:suppressLineNumbers w:val="0"/>
              <w:kinsoku/>
              <w:wordWrap/>
              <w:overflowPunct/>
              <w:topLinePunct w:val="0"/>
              <w:autoSpaceDE/>
              <w:autoSpaceDN/>
              <w:bidi w:val="0"/>
              <w:spacing w:before="0" w:beforeAutospacing="0" w:after="0" w:afterAutospacing="0" w:line="600" w:lineRule="exact"/>
              <w:ind w:left="0" w:right="0" w:firstLine="0" w:firstLineChars="0"/>
              <w:jc w:val="center"/>
              <w:textAlignment w:val="center"/>
              <w:rPr>
                <w:rFonts w:hint="eastAsia" w:ascii="方正仿宋简体" w:hAnsi="方正仿宋简体" w:eastAsia="方正仿宋简体" w:cs="方正仿宋简体"/>
                <w:color w:val="auto"/>
                <w:kern w:val="0"/>
                <w:sz w:val="32"/>
                <w:szCs w:val="32"/>
                <w:highlight w:val="none"/>
                <w:lang w:val="en-US" w:eastAsia="zh-CN"/>
              </w:rPr>
            </w:pPr>
            <w:r>
              <w:rPr>
                <w:rFonts w:hint="default" w:ascii="Times New Roman" w:hAnsi="Times New Roman" w:eastAsia="方正仿宋简体" w:cs="Times New Roman"/>
                <w:color w:val="auto"/>
                <w:kern w:val="0"/>
                <w:sz w:val="32"/>
                <w:szCs w:val="32"/>
                <w:highlight w:val="none"/>
                <w:lang w:val="en-US" w:eastAsia="zh-CN"/>
              </w:rPr>
              <w:t>83</w:t>
            </w:r>
            <w:r>
              <w:rPr>
                <w:rFonts w:hint="eastAsia" w:ascii="方正仿宋简体" w:hAnsi="方正仿宋简体" w:eastAsia="方正仿宋简体" w:cs="方正仿宋简体"/>
                <w:color w:val="auto"/>
                <w:kern w:val="0"/>
                <w:sz w:val="32"/>
                <w:szCs w:val="32"/>
                <w:highlight w:val="none"/>
                <w:lang w:val="en-US" w:eastAsia="zh-CN"/>
              </w:rPr>
              <w:t>.</w:t>
            </w:r>
            <w:r>
              <w:rPr>
                <w:rFonts w:hint="default" w:ascii="Times New Roman" w:hAnsi="Times New Roman" w:eastAsia="方正仿宋简体" w:cs="Times New Roman"/>
                <w:color w:val="auto"/>
                <w:kern w:val="0"/>
                <w:sz w:val="32"/>
                <w:szCs w:val="32"/>
                <w:highlight w:val="none"/>
                <w:lang w:val="en-US" w:eastAsia="zh-CN"/>
              </w:rPr>
              <w:t>84</w:t>
            </w:r>
            <w:r>
              <w:rPr>
                <w:rFonts w:hint="eastAsia" w:ascii="方正仿宋简体" w:hAnsi="方正仿宋简体" w:eastAsia="方正仿宋简体" w:cs="方正仿宋简体"/>
                <w:color w:val="auto"/>
                <w:kern w:val="0"/>
                <w:sz w:val="32"/>
                <w:szCs w:val="32"/>
                <w:highlight w:val="none"/>
                <w:lang w:val="en-US" w:eastAsia="zh-CN"/>
              </w:rPr>
              <w:t xml:space="preserve"> </w:t>
            </w:r>
          </w:p>
        </w:tc>
      </w:tr>
    </w:tbl>
    <w:p w14:paraId="0835E8E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31" w:name="_Toc16527"/>
      <w:bookmarkStart w:id="132" w:name="_Toc9543"/>
      <w:bookmarkStart w:id="133" w:name="_Toc26985"/>
      <w:bookmarkStart w:id="134" w:name="_Toc1687911260"/>
      <w:bookmarkStart w:id="135" w:name="_Toc16394"/>
      <w:bookmarkStart w:id="136" w:name="_Toc109483841"/>
      <w:bookmarkStart w:id="137" w:name="_Toc28266"/>
      <w:bookmarkStart w:id="138" w:name="_Toc13457"/>
      <w:bookmarkStart w:id="139" w:name="_Toc31945"/>
      <w:bookmarkStart w:id="140" w:name="_Toc24818"/>
      <w:bookmarkStart w:id="141" w:name="_Toc19625"/>
      <w:r>
        <w:rPr>
          <w:rFonts w:hint="eastAsia" w:ascii="方正楷体简体" w:hAnsi="方正楷体简体" w:eastAsia="方正楷体简体" w:cs="方正楷体简体"/>
          <w:color w:val="auto"/>
          <w:kern w:val="0"/>
          <w:sz w:val="32"/>
          <w:szCs w:val="32"/>
          <w:highlight w:val="none"/>
          <w:shd w:val="clear" w:color="auto" w:fill="FFFFFF"/>
          <w:lang w:val="en-US" w:eastAsia="zh-CN"/>
        </w:rPr>
        <w:t>（三）绩效结果应用</w:t>
      </w:r>
      <w:bookmarkEnd w:id="131"/>
      <w:bookmarkEnd w:id="132"/>
    </w:p>
    <w:p w14:paraId="584F15D8">
      <w:pPr>
        <w:pStyle w:val="2"/>
        <w:keepNext w:val="0"/>
        <w:keepLines w:val="0"/>
        <w:pageBreakBefore w:val="0"/>
        <w:numPr>
          <w:ilvl w:val="0"/>
          <w:numId w:val="0"/>
        </w:numPr>
        <w:kinsoku/>
        <w:wordWrap/>
        <w:overflowPunct/>
        <w:topLinePunct w:val="0"/>
        <w:autoSpaceDE/>
        <w:autoSpaceDN/>
        <w:bidi w:val="0"/>
        <w:spacing w:after="0" w:line="600" w:lineRule="exact"/>
        <w:ind w:left="0" w:firstLine="560"/>
        <w:outlineLvl w:val="1"/>
        <w:rPr>
          <w:rFonts w:hint="eastAsia" w:ascii="方正仿宋简体" w:hAnsi="方正仿宋简体" w:eastAsia="方正仿宋简体" w:cs="方正仿宋简体"/>
          <w:sz w:val="32"/>
          <w:szCs w:val="32"/>
          <w:highlight w:val="none"/>
          <w:lang w:eastAsia="zh-CN"/>
        </w:rPr>
      </w:pPr>
      <w:bookmarkStart w:id="142" w:name="_Toc32362"/>
      <w:bookmarkStart w:id="143" w:name="_Toc5772"/>
      <w:r>
        <w:rPr>
          <w:rFonts w:hint="eastAsia" w:ascii="方正仿宋简体" w:hAnsi="方正仿宋简体" w:eastAsia="方正仿宋简体" w:cs="方正仿宋简体"/>
          <w:color w:val="auto"/>
          <w:sz w:val="32"/>
          <w:szCs w:val="32"/>
          <w:highlight w:val="none"/>
          <w:lang w:val="en-US" w:eastAsia="zh-CN"/>
        </w:rPr>
        <w:t>县委编办</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根据单位</w:t>
      </w:r>
      <w:r>
        <w:rPr>
          <w:rFonts w:hint="eastAsia" w:ascii="方正仿宋简体" w:hAnsi="方正仿宋简体" w:eastAsia="方正仿宋简体" w:cs="方正仿宋简体"/>
          <w:sz w:val="32"/>
          <w:szCs w:val="32"/>
          <w:highlight w:val="none"/>
        </w:rPr>
        <w:t>职能职责和年度工作任务目标</w:t>
      </w:r>
      <w:r>
        <w:rPr>
          <w:rFonts w:hint="eastAsia" w:ascii="方正仿宋简体" w:hAnsi="方正仿宋简体" w:eastAsia="方正仿宋简体" w:cs="方正仿宋简体"/>
          <w:color w:val="000000" w:themeColor="text1"/>
          <w:sz w:val="32"/>
          <w:szCs w:val="32"/>
          <w:highlight w:val="none"/>
          <w14:textFill>
            <w14:solidFill>
              <w14:schemeClr w14:val="tx1"/>
            </w14:solidFill>
          </w14:textFill>
        </w:rPr>
        <w:t>，</w:t>
      </w:r>
      <w:r>
        <w:rPr>
          <w:rFonts w:hint="eastAsia" w:ascii="方正仿宋简体" w:hAnsi="方正仿宋简体" w:eastAsia="方正仿宋简体" w:cs="方正仿宋简体"/>
          <w:color w:val="000000" w:themeColor="text1"/>
          <w:sz w:val="32"/>
          <w:szCs w:val="32"/>
          <w:highlight w:val="none"/>
          <w:lang w:eastAsia="zh"/>
          <w14:textFill>
            <w14:solidFill>
              <w14:schemeClr w14:val="tx1"/>
            </w14:solidFill>
          </w14:textFill>
        </w:rPr>
        <w:t>抓好贯彻落实，扎实做好机构改革围绕中心服务大局，重点领域人才需求得到有力保障提早谋划，完成年报，采取“线上审核+线下查验”方式，</w:t>
      </w:r>
      <w:r>
        <w:rPr>
          <w:rFonts w:hint="eastAsia" w:ascii="方正仿宋简体" w:hAnsi="方正仿宋简体" w:eastAsia="方正仿宋简体" w:cs="方正仿宋简体"/>
          <w:sz w:val="32"/>
          <w:szCs w:val="32"/>
          <w:highlight w:val="none"/>
          <w:lang w:bidi="ar"/>
        </w:rPr>
        <w:t>在维持部门运转的基础上，完成了部门职责范围内的各项工作</w:t>
      </w:r>
      <w:r>
        <w:rPr>
          <w:rFonts w:hint="eastAsia" w:ascii="方正仿宋简体" w:hAnsi="方正仿宋简体" w:eastAsia="方正仿宋简体" w:cs="方正仿宋简体"/>
          <w:sz w:val="32"/>
          <w:szCs w:val="32"/>
          <w:highlight w:val="none"/>
        </w:rPr>
        <w:t>。通过评价组对</w:t>
      </w:r>
      <w:r>
        <w:rPr>
          <w:rFonts w:hint="eastAsia" w:ascii="方正仿宋简体" w:hAnsi="方正仿宋简体" w:eastAsia="方正仿宋简体" w:cs="方正仿宋简体"/>
          <w:color w:val="000000" w:themeColor="text1"/>
          <w:sz w:val="32"/>
          <w:szCs w:val="32"/>
          <w:highlight w:val="none"/>
          <w:lang w:val="en-US" w:eastAsia="zh-CN"/>
          <w14:textFill>
            <w14:solidFill>
              <w14:schemeClr w14:val="tx1"/>
            </w14:solidFill>
          </w14:textFill>
        </w:rPr>
        <w:t>县委办</w:t>
      </w:r>
      <w:r>
        <w:rPr>
          <w:rFonts w:hint="eastAsia" w:ascii="方正仿宋简体" w:hAnsi="方正仿宋简体" w:eastAsia="方正仿宋简体" w:cs="方正仿宋简体"/>
          <w:sz w:val="32"/>
          <w:szCs w:val="32"/>
          <w:highlight w:val="none"/>
        </w:rPr>
        <w:t>进行事后评价，最终</w:t>
      </w:r>
      <w:r>
        <w:rPr>
          <w:rFonts w:hint="eastAsia" w:ascii="方正仿宋简体" w:hAnsi="方正仿宋简体" w:eastAsia="方正仿宋简体" w:cs="方正仿宋简体"/>
          <w:sz w:val="32"/>
          <w:szCs w:val="32"/>
          <w:highlight w:val="none"/>
          <w:lang w:eastAsia="zh-CN"/>
        </w:rPr>
        <w:t>县委编办</w:t>
      </w:r>
      <w:r>
        <w:rPr>
          <w:rFonts w:hint="eastAsia" w:ascii="方正仿宋简体" w:hAnsi="方正仿宋简体" w:eastAsia="方正仿宋简体" w:cs="方正仿宋简体"/>
          <w:sz w:val="32"/>
          <w:szCs w:val="32"/>
          <w:highlight w:val="none"/>
        </w:rPr>
        <w:t>绩效等级为“</w:t>
      </w:r>
      <w:r>
        <w:rPr>
          <w:rFonts w:hint="eastAsia" w:ascii="方正仿宋简体" w:hAnsi="方正仿宋简体" w:eastAsia="方正仿宋简体" w:cs="方正仿宋简体"/>
          <w:sz w:val="32"/>
          <w:szCs w:val="32"/>
          <w:highlight w:val="none"/>
          <w:lang w:val="en-US" w:eastAsia="zh-CN"/>
        </w:rPr>
        <w:t>良</w:t>
      </w:r>
      <w:r>
        <w:rPr>
          <w:rFonts w:hint="eastAsia" w:ascii="方正仿宋简体" w:hAnsi="方正仿宋简体" w:eastAsia="方正仿宋简体" w:cs="方正仿宋简体"/>
          <w:sz w:val="32"/>
          <w:szCs w:val="32"/>
          <w:highlight w:val="none"/>
        </w:rPr>
        <w:t>”。秉承科学公正、统筹兼顾、激励约束和公开透明财政绩效原则。</w:t>
      </w:r>
      <w:r>
        <w:rPr>
          <w:rFonts w:hint="eastAsia" w:ascii="方正仿宋简体" w:hAnsi="方正仿宋简体" w:eastAsia="方正仿宋简体" w:cs="方正仿宋简体"/>
          <w:sz w:val="32"/>
          <w:szCs w:val="32"/>
          <w:highlight w:val="none"/>
          <w:lang w:eastAsia="zh-CN"/>
        </w:rPr>
        <w:t>我单位</w:t>
      </w:r>
      <w:r>
        <w:rPr>
          <w:rFonts w:hint="eastAsia" w:ascii="方正仿宋简体" w:hAnsi="方正仿宋简体" w:eastAsia="方正仿宋简体" w:cs="方正仿宋简体"/>
          <w:sz w:val="32"/>
          <w:szCs w:val="32"/>
          <w:highlight w:val="none"/>
        </w:rPr>
        <w:t>建议泸定县财政局针对部门预算绩效管理</w:t>
      </w:r>
      <w:r>
        <w:rPr>
          <w:rFonts w:hint="eastAsia" w:ascii="方正仿宋简体" w:hAnsi="方正仿宋简体" w:eastAsia="方正仿宋简体" w:cs="方正仿宋简体"/>
          <w:sz w:val="32"/>
          <w:szCs w:val="32"/>
          <w:highlight w:val="none"/>
          <w:lang w:val="en-US" w:eastAsia="zh-CN"/>
        </w:rPr>
        <w:t>以及自评方面</w:t>
      </w:r>
      <w:r>
        <w:rPr>
          <w:rFonts w:hint="eastAsia" w:ascii="方正仿宋简体" w:hAnsi="方正仿宋简体" w:eastAsia="方正仿宋简体" w:cs="方正仿宋简体"/>
          <w:sz w:val="32"/>
          <w:szCs w:val="32"/>
          <w:highlight w:val="none"/>
        </w:rPr>
        <w:t>，进一步要求</w:t>
      </w:r>
      <w:r>
        <w:rPr>
          <w:rFonts w:hint="eastAsia" w:ascii="方正仿宋简体" w:hAnsi="方正仿宋简体" w:eastAsia="方正仿宋简体" w:cs="方正仿宋简体"/>
          <w:sz w:val="32"/>
          <w:szCs w:val="32"/>
          <w:highlight w:val="none"/>
          <w:lang w:eastAsia="zh-CN"/>
        </w:rPr>
        <w:t>县委编办</w:t>
      </w:r>
      <w:r>
        <w:rPr>
          <w:rFonts w:hint="eastAsia" w:ascii="方正仿宋简体" w:hAnsi="方正仿宋简体" w:eastAsia="方正仿宋简体" w:cs="方正仿宋简体"/>
          <w:sz w:val="32"/>
          <w:szCs w:val="32"/>
          <w:highlight w:val="none"/>
        </w:rPr>
        <w:t>加强年初预算编制准确性</w:t>
      </w:r>
      <w:bookmarkEnd w:id="142"/>
      <w:bookmarkEnd w:id="143"/>
      <w:r>
        <w:rPr>
          <w:rFonts w:hint="eastAsia" w:ascii="方正仿宋简体" w:hAnsi="方正仿宋简体" w:eastAsia="方正仿宋简体" w:cs="方正仿宋简体"/>
          <w:sz w:val="32"/>
          <w:szCs w:val="32"/>
          <w:highlight w:val="none"/>
          <w:lang w:eastAsia="zh-CN"/>
        </w:rPr>
        <w:t>。</w:t>
      </w:r>
    </w:p>
    <w:p w14:paraId="3C8EBFD1">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en-US" w:eastAsia="zh-CN"/>
        </w:rPr>
      </w:pPr>
      <w:bookmarkStart w:id="144" w:name="_Toc17998"/>
      <w:bookmarkStart w:id="145" w:name="_Toc18907"/>
      <w:r>
        <w:rPr>
          <w:rFonts w:hint="eastAsia" w:ascii="方正楷体简体" w:hAnsi="方正楷体简体" w:eastAsia="方正楷体简体" w:cs="方正楷体简体"/>
          <w:color w:val="auto"/>
          <w:kern w:val="0"/>
          <w:sz w:val="32"/>
          <w:szCs w:val="32"/>
          <w:highlight w:val="none"/>
          <w:shd w:val="clear" w:color="auto" w:fill="FFFFFF"/>
          <w:lang w:val="zh-CN"/>
        </w:rPr>
        <w:t>（</w:t>
      </w:r>
      <w:r>
        <w:rPr>
          <w:rFonts w:hint="eastAsia" w:ascii="方正楷体简体" w:hAnsi="方正楷体简体" w:eastAsia="方正楷体简体" w:cs="方正楷体简体"/>
          <w:color w:val="auto"/>
          <w:kern w:val="0"/>
          <w:sz w:val="32"/>
          <w:szCs w:val="32"/>
          <w:highlight w:val="none"/>
          <w:shd w:val="clear" w:color="auto" w:fill="FFFFFF"/>
          <w:lang w:val="en-US" w:eastAsia="zh-CN"/>
        </w:rPr>
        <w:t>四</w:t>
      </w:r>
      <w:r>
        <w:rPr>
          <w:rFonts w:hint="eastAsia" w:ascii="方正楷体简体" w:hAnsi="方正楷体简体" w:eastAsia="方正楷体简体" w:cs="方正楷体简体"/>
          <w:color w:val="auto"/>
          <w:kern w:val="0"/>
          <w:sz w:val="32"/>
          <w:szCs w:val="32"/>
          <w:highlight w:val="none"/>
          <w:shd w:val="clear" w:color="auto" w:fill="FFFFFF"/>
          <w:lang w:val="zh-CN"/>
        </w:rPr>
        <w:t>）</w:t>
      </w:r>
      <w:bookmarkEnd w:id="133"/>
      <w:bookmarkEnd w:id="134"/>
      <w:bookmarkEnd w:id="135"/>
      <w:bookmarkEnd w:id="136"/>
      <w:r>
        <w:rPr>
          <w:rFonts w:hint="eastAsia" w:ascii="方正楷体简体" w:hAnsi="方正楷体简体" w:eastAsia="方正楷体简体" w:cs="方正楷体简体"/>
          <w:color w:val="auto"/>
          <w:kern w:val="0"/>
          <w:sz w:val="32"/>
          <w:szCs w:val="32"/>
          <w:highlight w:val="none"/>
          <w:shd w:val="clear" w:color="auto" w:fill="FFFFFF"/>
          <w:lang w:val="en-US" w:eastAsia="zh-CN"/>
        </w:rPr>
        <w:t>评价分析</w:t>
      </w:r>
      <w:bookmarkEnd w:id="137"/>
      <w:bookmarkEnd w:id="138"/>
      <w:bookmarkEnd w:id="139"/>
      <w:bookmarkEnd w:id="140"/>
      <w:bookmarkEnd w:id="141"/>
      <w:bookmarkEnd w:id="144"/>
      <w:bookmarkEnd w:id="145"/>
    </w:p>
    <w:p w14:paraId="18E76880">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kern w:val="2"/>
          <w:sz w:val="32"/>
          <w:szCs w:val="32"/>
          <w:highlight w:val="none"/>
          <w:lang w:val="fr-FR" w:eastAsia="zh-CN" w:bidi="ar-SA"/>
        </w:rPr>
      </w:pPr>
      <w:r>
        <w:rPr>
          <w:rFonts w:hint="default" w:ascii="Times New Roman" w:hAnsi="Times New Roman" w:eastAsia="方正仿宋简体" w:cs="Times New Roman"/>
          <w:color w:val="auto"/>
          <w:kern w:val="2"/>
          <w:sz w:val="32"/>
          <w:szCs w:val="32"/>
          <w:highlight w:val="none"/>
          <w:lang w:val="fr-FR" w:eastAsia="zh-CN" w:bidi="ar-SA"/>
        </w:rPr>
        <w:t>1</w:t>
      </w:r>
      <w:r>
        <w:rPr>
          <w:rFonts w:hint="eastAsia" w:ascii="方正仿宋简体" w:hAnsi="方正仿宋简体" w:eastAsia="方正仿宋简体" w:cs="方正仿宋简体"/>
          <w:color w:val="auto"/>
          <w:kern w:val="2"/>
          <w:sz w:val="32"/>
          <w:szCs w:val="32"/>
          <w:highlight w:val="none"/>
          <w:lang w:val="fr-FR" w:eastAsia="zh-CN" w:bidi="ar-SA"/>
        </w:rPr>
        <w:t>.预算编制</w:t>
      </w:r>
    </w:p>
    <w:p w14:paraId="14F83EDD">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kern w:val="2"/>
          <w:sz w:val="32"/>
          <w:szCs w:val="32"/>
          <w:highlight w:val="none"/>
          <w:lang w:val="fr-FR" w:eastAsia="zh-CN" w:bidi="ar-SA"/>
        </w:rPr>
      </w:pPr>
      <w:r>
        <w:rPr>
          <w:rFonts w:hint="eastAsia" w:ascii="方正仿宋简体" w:hAnsi="方正仿宋简体" w:eastAsia="方正仿宋简体" w:cs="方正仿宋简体"/>
          <w:color w:val="auto"/>
          <w:kern w:val="2"/>
          <w:sz w:val="32"/>
          <w:szCs w:val="32"/>
          <w:highlight w:val="none"/>
          <w:lang w:val="fr-FR" w:eastAsia="zh-CN" w:bidi="ar-SA"/>
        </w:rPr>
        <w:t>二级指标“预算编制”下设三个三级指标分别为：目标制定、目标实现、编制准确。</w:t>
      </w:r>
    </w:p>
    <w:p w14:paraId="5852C13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kern w:val="2"/>
          <w:sz w:val="32"/>
          <w:szCs w:val="32"/>
          <w:highlight w:val="none"/>
          <w:lang w:val="en-US" w:eastAsia="zh-CN" w:bidi="ar-SA"/>
        </w:rPr>
        <w:t>（1）</w:t>
      </w:r>
      <w:r>
        <w:rPr>
          <w:rFonts w:hint="eastAsia" w:ascii="方正仿宋简体" w:hAnsi="方正仿宋简体" w:eastAsia="方正仿宋简体" w:cs="方正仿宋简体"/>
          <w:color w:val="auto"/>
          <w:sz w:val="32"/>
          <w:szCs w:val="32"/>
          <w:highlight w:val="none"/>
        </w:rPr>
        <w:t>目标制定</w:t>
      </w:r>
    </w:p>
    <w:p w14:paraId="5D2BEEB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eastAsia="zh-CN"/>
        </w:rPr>
      </w:pPr>
      <w:r>
        <w:rPr>
          <w:rFonts w:hint="eastAsia" w:ascii="方正仿宋简体" w:hAnsi="方正仿宋简体" w:eastAsia="方正仿宋简体" w:cs="方正仿宋简体"/>
          <w:color w:val="auto"/>
          <w:sz w:val="32"/>
          <w:szCs w:val="32"/>
          <w:highlight w:val="none"/>
          <w:lang w:val="fr-FR"/>
        </w:rPr>
        <w:t>根据县委编办在泸定县人民政府门户网站公开的</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年度部门预算和绩效目标，制定了年度部门整体支出以及项目绩效目标，整体绩效目标设置涵盖产出指标、成本指标、效益指标以及满意度指标，指标设置基本完整。但个别</w:t>
      </w:r>
      <w:r>
        <w:rPr>
          <w:rFonts w:hint="eastAsia" w:ascii="方正仿宋简体" w:hAnsi="方正仿宋简体" w:eastAsia="方正仿宋简体" w:cs="方正仿宋简体"/>
          <w:color w:val="auto"/>
          <w:sz w:val="32"/>
          <w:szCs w:val="32"/>
          <w:highlight w:val="none"/>
          <w:lang w:val="en-US" w:eastAsia="zh-CN"/>
        </w:rPr>
        <w:t>绩效目标编制</w:t>
      </w:r>
      <w:r>
        <w:rPr>
          <w:rFonts w:hint="eastAsia" w:ascii="方正仿宋简体" w:hAnsi="方正仿宋简体" w:eastAsia="方正仿宋简体" w:cs="方正仿宋简体"/>
          <w:color w:val="auto"/>
          <w:sz w:val="32"/>
          <w:szCs w:val="32"/>
          <w:highlight w:val="none"/>
          <w:lang w:val="fr-FR"/>
        </w:rPr>
        <w:t>存在</w:t>
      </w:r>
      <w:r>
        <w:rPr>
          <w:rFonts w:hint="eastAsia" w:ascii="方正仿宋简体" w:hAnsi="方正仿宋简体" w:eastAsia="方正仿宋简体" w:cs="方正仿宋简体"/>
          <w:color w:val="auto"/>
          <w:sz w:val="32"/>
          <w:szCs w:val="32"/>
          <w:highlight w:val="none"/>
          <w:lang w:val="en-US" w:eastAsia="zh-CN"/>
        </w:rPr>
        <w:t>指标设置不合理、绩效目标设置不完整等问题</w:t>
      </w:r>
      <w:r>
        <w:rPr>
          <w:rFonts w:hint="eastAsia" w:ascii="方正仿宋简体" w:hAnsi="方正仿宋简体" w:eastAsia="方正仿宋简体" w:cs="方正仿宋简体"/>
          <w:color w:val="auto"/>
          <w:sz w:val="32"/>
          <w:szCs w:val="32"/>
          <w:highlight w:val="none"/>
          <w:lang w:val="fr-FR" w:eastAsia="zh-CN"/>
        </w:rPr>
        <w:t>。</w:t>
      </w:r>
    </w:p>
    <w:p w14:paraId="4392A5A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p w14:paraId="051439E4">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）目标实现</w:t>
      </w:r>
    </w:p>
    <w:p w14:paraId="0D30F63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fr-FR"/>
        </w:rPr>
        <w:t>根据</w:t>
      </w:r>
      <w:r>
        <w:rPr>
          <w:rFonts w:hint="eastAsia" w:ascii="方正仿宋简体" w:hAnsi="方正仿宋简体" w:eastAsia="方正仿宋简体" w:cs="方正仿宋简体"/>
          <w:color w:val="auto"/>
          <w:sz w:val="32"/>
          <w:szCs w:val="32"/>
          <w:highlight w:val="none"/>
          <w:lang w:val="fr-FR" w:eastAsia="zh-CN"/>
        </w:rPr>
        <w:t>县委编办</w:t>
      </w:r>
      <w:r>
        <w:rPr>
          <w:rFonts w:hint="eastAsia" w:ascii="方正仿宋简体" w:hAnsi="方正仿宋简体" w:eastAsia="方正仿宋简体" w:cs="方正仿宋简体"/>
          <w:color w:val="auto"/>
          <w:sz w:val="32"/>
          <w:szCs w:val="32"/>
          <w:highlight w:val="none"/>
          <w:lang w:val="fr-FR"/>
        </w:rPr>
        <w:t>提供的</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年度年初预算项目绩效目标申报表及项目完成资料，年初预算项目</w:t>
      </w: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个，指标设置未编制数量指标。</w:t>
      </w:r>
      <w:r>
        <w:rPr>
          <w:rFonts w:hint="eastAsia" w:ascii="方正仿宋简体" w:hAnsi="方正仿宋简体" w:eastAsia="方正仿宋简体" w:cs="方正仿宋简体"/>
          <w:color w:val="auto"/>
          <w:sz w:val="32"/>
          <w:szCs w:val="32"/>
          <w:highlight w:val="none"/>
          <w:lang w:val="en-US" w:eastAsia="zh-CN"/>
        </w:rPr>
        <w:t>根据项目实际完成情况，工作经费均已使用，该项扣分</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分。</w:t>
      </w:r>
    </w:p>
    <w:p w14:paraId="0810EC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p w14:paraId="47E475D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）编制准确</w:t>
      </w:r>
    </w:p>
    <w:p w14:paraId="4F1D52D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fr-FR"/>
        </w:rPr>
        <w:t>根据可执行指标执行情况表显示：县委编办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年部门全年预算调剂金额为</w:t>
      </w:r>
      <w:r>
        <w:rPr>
          <w:rFonts w:hint="default" w:ascii="Times New Roman" w:hAnsi="Times New Roman" w:eastAsia="方正仿宋简体" w:cs="Times New Roman"/>
          <w:color w:val="auto"/>
          <w:sz w:val="32"/>
          <w:szCs w:val="32"/>
          <w:highlight w:val="none"/>
          <w:lang w:val="fr-FR"/>
        </w:rPr>
        <w:t>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32</w:t>
      </w:r>
      <w:r>
        <w:rPr>
          <w:rFonts w:hint="eastAsia" w:ascii="方正仿宋简体" w:hAnsi="方正仿宋简体" w:eastAsia="方正仿宋简体" w:cs="方正仿宋简体"/>
          <w:color w:val="auto"/>
          <w:sz w:val="32"/>
          <w:szCs w:val="32"/>
          <w:highlight w:val="none"/>
          <w:lang w:val="fr-FR"/>
        </w:rPr>
        <w:t>万元，年初部门预算数为</w:t>
      </w:r>
      <w:r>
        <w:rPr>
          <w:rFonts w:hint="default" w:ascii="Times New Roman" w:hAnsi="Times New Roman" w:eastAsia="方正仿宋简体" w:cs="Times New Roman"/>
          <w:color w:val="auto"/>
          <w:sz w:val="32"/>
          <w:szCs w:val="32"/>
          <w:highlight w:val="none"/>
          <w:lang w:val="fr-FR"/>
        </w:rPr>
        <w:t>162</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14</w:t>
      </w:r>
      <w:r>
        <w:rPr>
          <w:rFonts w:hint="eastAsia" w:ascii="方正仿宋简体" w:hAnsi="方正仿宋简体" w:eastAsia="方正仿宋简体" w:cs="方正仿宋简体"/>
          <w:color w:val="auto"/>
          <w:sz w:val="32"/>
          <w:szCs w:val="32"/>
          <w:highlight w:val="none"/>
          <w:lang w:val="fr-FR"/>
        </w:rPr>
        <w:t>万元，预算调剂率为</w:t>
      </w:r>
      <w:r>
        <w:rPr>
          <w:rFonts w:hint="default" w:ascii="Times New Roman" w:hAnsi="Times New Roman" w:eastAsia="方正仿宋简体" w:cs="Times New Roman"/>
          <w:color w:val="auto"/>
          <w:sz w:val="32"/>
          <w:szCs w:val="32"/>
          <w:highlight w:val="none"/>
          <w:lang w:val="fr-FR"/>
        </w:rPr>
        <w:t>2</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66%</w:t>
      </w:r>
      <w:r>
        <w:rPr>
          <w:rFonts w:hint="eastAsia" w:ascii="方正仿宋简体" w:hAnsi="方正仿宋简体" w:eastAsia="方正仿宋简体" w:cs="方正仿宋简体"/>
          <w:color w:val="auto"/>
          <w:sz w:val="32"/>
          <w:szCs w:val="32"/>
          <w:highlight w:val="none"/>
          <w:lang w:val="fr-FR"/>
        </w:rPr>
        <w:t>。</w:t>
      </w:r>
    </w:p>
    <w:p w14:paraId="48CC36A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66</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34</w:t>
      </w:r>
      <w:r>
        <w:rPr>
          <w:rFonts w:hint="eastAsia" w:ascii="方正仿宋简体" w:hAnsi="方正仿宋简体" w:eastAsia="方正仿宋简体" w:cs="方正仿宋简体"/>
          <w:color w:val="auto"/>
          <w:sz w:val="32"/>
          <w:szCs w:val="32"/>
          <w:highlight w:val="none"/>
          <w:lang w:val="fr-FR"/>
        </w:rPr>
        <w:t>分。</w:t>
      </w:r>
    </w:p>
    <w:p w14:paraId="546DE47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预算编制</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指标分共计</w:t>
      </w:r>
      <w:r>
        <w:rPr>
          <w:rFonts w:hint="default" w:ascii="Times New Roman" w:hAnsi="Times New Roman" w:eastAsia="方正仿宋简体" w:cs="Times New Roman"/>
          <w:color w:val="auto"/>
          <w:sz w:val="32"/>
          <w:szCs w:val="32"/>
          <w:highlight w:val="none"/>
          <w:lang w:val="fr-FR" w:eastAsia="zh"/>
        </w:rPr>
        <w:t>30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分，扣除</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66</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23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34</w:t>
      </w:r>
      <w:r>
        <w:rPr>
          <w:rFonts w:hint="eastAsia" w:ascii="方正仿宋简体" w:hAnsi="方正仿宋简体" w:eastAsia="方正仿宋简体" w:cs="方正仿宋简体"/>
          <w:color w:val="auto"/>
          <w:sz w:val="32"/>
          <w:szCs w:val="32"/>
          <w:highlight w:val="none"/>
          <w:lang w:val="fr-FR"/>
        </w:rPr>
        <w:t>分。</w:t>
      </w:r>
    </w:p>
    <w:p w14:paraId="07A84896">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.预算执行</w:t>
      </w:r>
    </w:p>
    <w:p w14:paraId="51D011B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预算执行</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下设三个三级指标分别为：支出控制、动态调整和执行进度。</w:t>
      </w:r>
    </w:p>
    <w:p w14:paraId="2AC6A60C">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）支出控制</w:t>
      </w:r>
    </w:p>
    <w:p w14:paraId="7334EE2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fr-FR"/>
        </w:rPr>
        <w:t>根据县委编办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年预算、决算以及“可执行指标执行情况表”，本次重点关注</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年县</w:t>
      </w:r>
      <w:r>
        <w:rPr>
          <w:rFonts w:hint="eastAsia" w:ascii="方正仿宋简体" w:hAnsi="方正仿宋简体" w:eastAsia="方正仿宋简体" w:cs="方正仿宋简体"/>
          <w:color w:val="auto"/>
          <w:sz w:val="32"/>
          <w:szCs w:val="32"/>
          <w:highlight w:val="none"/>
          <w:lang w:val="en-US" w:eastAsia="zh-CN"/>
        </w:rPr>
        <w:t>委</w:t>
      </w:r>
      <w:r>
        <w:rPr>
          <w:rFonts w:hint="eastAsia" w:ascii="方正仿宋简体" w:hAnsi="方正仿宋简体" w:eastAsia="方正仿宋简体" w:cs="方正仿宋简体"/>
          <w:color w:val="auto"/>
          <w:sz w:val="32"/>
          <w:szCs w:val="32"/>
          <w:highlight w:val="none"/>
          <w:lang w:val="fr-FR"/>
        </w:rPr>
        <w:t>编办日常公用经费、项目支出中“办公费、印刷费、电费、印刷费、物业管理费”等</w:t>
      </w:r>
      <w:r>
        <w:rPr>
          <w:rFonts w:hint="default" w:ascii="Times New Roman" w:hAnsi="Times New Roman" w:eastAsia="方正仿宋简体" w:cs="Times New Roman"/>
          <w:color w:val="auto"/>
          <w:sz w:val="32"/>
          <w:szCs w:val="32"/>
          <w:highlight w:val="none"/>
          <w:lang w:val="fr-FR"/>
        </w:rPr>
        <w:t>12</w:t>
      </w:r>
      <w:r>
        <w:rPr>
          <w:rFonts w:hint="eastAsia" w:ascii="方正仿宋简体" w:hAnsi="方正仿宋简体" w:eastAsia="方正仿宋简体" w:cs="方正仿宋简体"/>
          <w:color w:val="auto"/>
          <w:sz w:val="32"/>
          <w:szCs w:val="32"/>
          <w:highlight w:val="none"/>
          <w:lang w:val="fr-FR"/>
        </w:rPr>
        <w:t>个科目，重点关注科目年初预算数合计</w:t>
      </w:r>
      <w:r>
        <w:rPr>
          <w:rFonts w:hint="default" w:ascii="Times New Roman" w:hAnsi="Times New Roman" w:eastAsia="方正仿宋简体" w:cs="Times New Roman"/>
          <w:color w:val="auto"/>
          <w:sz w:val="32"/>
          <w:szCs w:val="32"/>
          <w:highlight w:val="none"/>
          <w:lang w:val="fr-FR"/>
        </w:rPr>
        <w:t>16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 xml:space="preserve"> 万元，决算数合计</w:t>
      </w:r>
      <w:r>
        <w:rPr>
          <w:rFonts w:hint="default" w:ascii="Times New Roman" w:hAnsi="Times New Roman" w:eastAsia="方正仿宋简体" w:cs="Times New Roman"/>
          <w:color w:val="auto"/>
          <w:sz w:val="32"/>
          <w:szCs w:val="32"/>
          <w:highlight w:val="none"/>
          <w:lang w:val="fr-FR"/>
        </w:rPr>
        <w:t>13</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09</w:t>
      </w:r>
      <w:r>
        <w:rPr>
          <w:rFonts w:hint="eastAsia" w:ascii="方正仿宋简体" w:hAnsi="方正仿宋简体" w:eastAsia="方正仿宋简体" w:cs="方正仿宋简体"/>
          <w:color w:val="auto"/>
          <w:sz w:val="32"/>
          <w:szCs w:val="32"/>
          <w:highlight w:val="none"/>
          <w:lang w:val="fr-FR"/>
        </w:rPr>
        <w:t>万元，总体预决算偏差率</w:t>
      </w:r>
      <w:r>
        <w:rPr>
          <w:rFonts w:hint="default" w:ascii="Times New Roman" w:hAnsi="Times New Roman" w:eastAsia="方正仿宋简体" w:cs="Times New Roman"/>
          <w:color w:val="auto"/>
          <w:sz w:val="32"/>
          <w:szCs w:val="32"/>
          <w:highlight w:val="none"/>
          <w:lang w:val="fr-FR"/>
        </w:rPr>
        <w:t>2</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en-US" w:eastAsia="zh-CN"/>
        </w:rPr>
        <w:t>47</w:t>
      </w:r>
      <w:r>
        <w:rPr>
          <w:rFonts w:hint="default" w:ascii="Times New Roman" w:hAnsi="Times New Roman" w:eastAsia="方正仿宋简体" w:cs="Times New Roman"/>
          <w:color w:val="auto"/>
          <w:sz w:val="32"/>
          <w:szCs w:val="32"/>
          <w:highlight w:val="none"/>
          <w:lang w:val="fr-FR"/>
        </w:rPr>
        <w:t>%</w:t>
      </w:r>
      <w:r>
        <w:rPr>
          <w:rFonts w:hint="eastAsia" w:ascii="方正仿宋简体" w:hAnsi="方正仿宋简体" w:eastAsia="方正仿宋简体" w:cs="方正仿宋简体"/>
          <w:color w:val="auto"/>
          <w:sz w:val="32"/>
          <w:szCs w:val="32"/>
          <w:highlight w:val="none"/>
          <w:lang w:val="fr-FR"/>
        </w:rPr>
        <w:t>。其中</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公务接待费年初预算金额合计</w:t>
      </w: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790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元，年末决算金额合计</w:t>
      </w: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134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元</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偏差度</w:t>
      </w:r>
      <w:r>
        <w:rPr>
          <w:rFonts w:hint="default" w:ascii="Times New Roman" w:hAnsi="Times New Roman" w:eastAsia="方正仿宋简体" w:cs="Times New Roman"/>
          <w:color w:val="auto"/>
          <w:sz w:val="32"/>
          <w:szCs w:val="32"/>
          <w:highlight w:val="none"/>
          <w:lang w:val="fr-FR"/>
        </w:rPr>
        <w:t>36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65%</w:t>
      </w:r>
      <w:r>
        <w:rPr>
          <w:rFonts w:hint="eastAsia" w:ascii="方正仿宋简体" w:hAnsi="方正仿宋简体" w:eastAsia="方正仿宋简体" w:cs="方正仿宋简体"/>
          <w:color w:val="auto"/>
          <w:sz w:val="32"/>
          <w:szCs w:val="32"/>
          <w:highlight w:val="none"/>
          <w:lang w:val="fr-FR"/>
        </w:rPr>
        <w:t>；高海拔取暖费年初预算金额合计</w:t>
      </w:r>
      <w:r>
        <w:rPr>
          <w:rFonts w:hint="default" w:ascii="Times New Roman" w:hAnsi="Times New Roman" w:eastAsia="方正仿宋简体" w:cs="Times New Roman"/>
          <w:color w:val="auto"/>
          <w:sz w:val="32"/>
          <w:szCs w:val="32"/>
          <w:highlight w:val="none"/>
          <w:lang w:val="fr-FR"/>
        </w:rPr>
        <w:t>24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300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元，年末决算金额合计</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元，偏差度</w:t>
      </w:r>
      <w:r>
        <w:rPr>
          <w:rFonts w:hint="default" w:ascii="Times New Roman" w:hAnsi="Times New Roman" w:eastAsia="方正仿宋简体" w:cs="Times New Roman"/>
          <w:color w:val="auto"/>
          <w:sz w:val="32"/>
          <w:szCs w:val="32"/>
          <w:highlight w:val="none"/>
          <w:lang w:val="fr-FR"/>
        </w:rPr>
        <w:t>100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年将高海拔取暖费全部收回，调剂金额为</w:t>
      </w:r>
      <w:r>
        <w:rPr>
          <w:rFonts w:hint="default" w:ascii="Times New Roman" w:hAnsi="Times New Roman" w:eastAsia="方正仿宋简体" w:cs="Times New Roman"/>
          <w:color w:val="auto"/>
          <w:sz w:val="32"/>
          <w:szCs w:val="32"/>
          <w:highlight w:val="none"/>
          <w:lang w:val="fr-FR"/>
        </w:rPr>
        <w:t>24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300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元。</w:t>
      </w:r>
    </w:p>
    <w:p w14:paraId="51F3DF0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fr-FR" w:eastAsia="zh"/>
        </w:rPr>
        <w:t>5</w:t>
      </w:r>
      <w:r>
        <w:rPr>
          <w:rFonts w:hint="eastAsia" w:ascii="方正仿宋简体" w:hAnsi="方正仿宋简体" w:eastAsia="方正仿宋简体" w:cs="方正仿宋简体"/>
          <w:color w:val="auto"/>
          <w:sz w:val="32"/>
          <w:szCs w:val="32"/>
          <w:highlight w:val="none"/>
          <w:lang w:val="fr-FR" w:eastAsia="zh"/>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rPr>
        <w:t>分。</w:t>
      </w:r>
    </w:p>
    <w:p w14:paraId="22956C49">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）动态调整</w:t>
      </w:r>
    </w:p>
    <w:p w14:paraId="61BD3DE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eastAsia="zh-CN"/>
        </w:rPr>
      </w:pPr>
      <w:r>
        <w:rPr>
          <w:rFonts w:hint="eastAsia" w:ascii="方正仿宋简体" w:hAnsi="方正仿宋简体" w:eastAsia="方正仿宋简体" w:cs="方正仿宋简体"/>
          <w:color w:val="auto"/>
          <w:sz w:val="32"/>
          <w:szCs w:val="32"/>
          <w:highlight w:val="none"/>
          <w:lang w:val="fr-FR"/>
        </w:rPr>
        <w:t>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年部门绩效监控调整取消额为</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，根据可执行指标执行情况表显示当年年度预算总额为</w:t>
      </w:r>
      <w:r>
        <w:rPr>
          <w:rFonts w:hint="default" w:ascii="Times New Roman" w:hAnsi="Times New Roman" w:eastAsia="方正仿宋简体" w:cs="Times New Roman"/>
          <w:color w:val="auto"/>
          <w:sz w:val="32"/>
          <w:szCs w:val="32"/>
          <w:highlight w:val="none"/>
          <w:lang w:val="fr-FR"/>
        </w:rPr>
        <w:t>166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万元，年末未使用完指标结余注销金额（县级预算）为</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万元</w:t>
      </w:r>
      <w:r>
        <w:rPr>
          <w:rFonts w:hint="eastAsia" w:ascii="方正仿宋简体" w:hAnsi="方正仿宋简体" w:eastAsia="方正仿宋简体" w:cs="方正仿宋简体"/>
          <w:color w:val="auto"/>
          <w:sz w:val="32"/>
          <w:szCs w:val="32"/>
          <w:highlight w:val="none"/>
          <w:lang w:val="fr-FR" w:eastAsia="zh-CN"/>
        </w:rPr>
        <w:t>。</w:t>
      </w:r>
    </w:p>
    <w:p w14:paraId="67B9BB7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rPr>
        <w:t>分。</w:t>
      </w:r>
    </w:p>
    <w:p w14:paraId="2756E4FE">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3</w:t>
      </w:r>
      <w:r>
        <w:rPr>
          <w:rFonts w:hint="eastAsia" w:ascii="方正仿宋简体" w:hAnsi="方正仿宋简体" w:eastAsia="方正仿宋简体" w:cs="方正仿宋简体"/>
          <w:color w:val="auto"/>
          <w:sz w:val="32"/>
          <w:szCs w:val="32"/>
          <w:highlight w:val="none"/>
        </w:rPr>
        <w:t>）执行进度</w:t>
      </w:r>
    </w:p>
    <w:p w14:paraId="7F2093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根据县委编办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年度预算；决算报表以及</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年一体化平台“可执行指标执行情况表”，相关月份预算执行进度如下：</w:t>
      </w:r>
    </w:p>
    <w:p w14:paraId="4BDD01F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截至</w:t>
      </w:r>
      <w:r>
        <w:rPr>
          <w:rFonts w:hint="default" w:ascii="Times New Roman" w:hAnsi="Times New Roman" w:eastAsia="方正仿宋简体" w:cs="Times New Roman"/>
          <w:color w:val="auto"/>
          <w:sz w:val="32"/>
          <w:szCs w:val="32"/>
          <w:highlight w:val="none"/>
          <w:lang w:val="fr-FR"/>
        </w:rPr>
        <w:t>6</w:t>
      </w:r>
      <w:r>
        <w:rPr>
          <w:rFonts w:hint="eastAsia" w:ascii="方正仿宋简体" w:hAnsi="方正仿宋简体" w:eastAsia="方正仿宋简体" w:cs="方正仿宋简体"/>
          <w:color w:val="auto"/>
          <w:sz w:val="32"/>
          <w:szCs w:val="32"/>
          <w:highlight w:val="none"/>
          <w:lang w:val="fr-FR"/>
        </w:rPr>
        <w:t xml:space="preserve">月末累计实现预算支出 </w:t>
      </w:r>
      <w:r>
        <w:rPr>
          <w:rFonts w:hint="default" w:ascii="Times New Roman" w:hAnsi="Times New Roman" w:eastAsia="方正仿宋简体" w:cs="Times New Roman"/>
          <w:color w:val="auto"/>
          <w:sz w:val="32"/>
          <w:szCs w:val="32"/>
          <w:highlight w:val="none"/>
          <w:lang w:val="fr-FR"/>
        </w:rPr>
        <w:t>85</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41</w:t>
      </w:r>
      <w:r>
        <w:rPr>
          <w:rFonts w:hint="eastAsia" w:ascii="方正仿宋简体" w:hAnsi="方正仿宋简体" w:eastAsia="方正仿宋简体" w:cs="方正仿宋简体"/>
          <w:color w:val="auto"/>
          <w:sz w:val="32"/>
          <w:szCs w:val="32"/>
          <w:highlight w:val="none"/>
          <w:lang w:val="fr-FR"/>
        </w:rPr>
        <w:t xml:space="preserve"> 万元，占全年预算总额</w:t>
      </w:r>
      <w:r>
        <w:rPr>
          <w:rFonts w:hint="default" w:ascii="Times New Roman" w:hAnsi="Times New Roman" w:eastAsia="方正仿宋简体" w:cs="Times New Roman"/>
          <w:color w:val="auto"/>
          <w:sz w:val="32"/>
          <w:szCs w:val="32"/>
          <w:highlight w:val="none"/>
          <w:lang w:val="fr-FR"/>
        </w:rPr>
        <w:t>166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万元的</w:t>
      </w:r>
      <w:r>
        <w:rPr>
          <w:rFonts w:hint="default" w:ascii="Times New Roman" w:hAnsi="Times New Roman" w:eastAsia="方正仿宋简体" w:cs="Times New Roman"/>
          <w:color w:val="auto"/>
          <w:sz w:val="32"/>
          <w:szCs w:val="32"/>
          <w:highlight w:val="none"/>
          <w:lang w:val="fr-FR"/>
        </w:rPr>
        <w:t>51</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31%</w:t>
      </w:r>
      <w:r>
        <w:rPr>
          <w:rFonts w:hint="eastAsia" w:ascii="方正仿宋简体" w:hAnsi="方正仿宋简体" w:eastAsia="方正仿宋简体" w:cs="方正仿宋简体"/>
          <w:color w:val="auto"/>
          <w:sz w:val="32"/>
          <w:szCs w:val="32"/>
          <w:highlight w:val="none"/>
          <w:lang w:val="fr-FR"/>
        </w:rPr>
        <w:t>。</w:t>
      </w:r>
    </w:p>
    <w:p w14:paraId="6EFCB5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截至</w:t>
      </w:r>
      <w:r>
        <w:rPr>
          <w:rFonts w:hint="default" w:ascii="Times New Roman" w:hAnsi="Times New Roman" w:eastAsia="方正仿宋简体" w:cs="Times New Roman"/>
          <w:color w:val="auto"/>
          <w:sz w:val="32"/>
          <w:szCs w:val="32"/>
          <w:highlight w:val="none"/>
          <w:lang w:val="fr-FR"/>
        </w:rPr>
        <w:t>9</w:t>
      </w:r>
      <w:r>
        <w:rPr>
          <w:rFonts w:hint="eastAsia" w:ascii="方正仿宋简体" w:hAnsi="方正仿宋简体" w:eastAsia="方正仿宋简体" w:cs="方正仿宋简体"/>
          <w:color w:val="auto"/>
          <w:sz w:val="32"/>
          <w:szCs w:val="32"/>
          <w:highlight w:val="none"/>
          <w:lang w:val="fr-FR"/>
        </w:rPr>
        <w:t xml:space="preserve">月末累计实现预算支出 </w:t>
      </w:r>
      <w:r>
        <w:rPr>
          <w:rFonts w:hint="default" w:ascii="Times New Roman" w:hAnsi="Times New Roman" w:eastAsia="方正仿宋简体" w:cs="Times New Roman"/>
          <w:color w:val="auto"/>
          <w:sz w:val="32"/>
          <w:szCs w:val="32"/>
          <w:highlight w:val="none"/>
          <w:lang w:val="fr-FR"/>
        </w:rPr>
        <w:t>128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84</w:t>
      </w:r>
      <w:r>
        <w:rPr>
          <w:rFonts w:hint="eastAsia" w:ascii="方正仿宋简体" w:hAnsi="方正仿宋简体" w:eastAsia="方正仿宋简体" w:cs="方正仿宋简体"/>
          <w:color w:val="auto"/>
          <w:sz w:val="32"/>
          <w:szCs w:val="32"/>
          <w:highlight w:val="none"/>
          <w:lang w:val="fr-FR"/>
        </w:rPr>
        <w:t xml:space="preserve"> 万元，占全年预算总额</w:t>
      </w:r>
      <w:r>
        <w:rPr>
          <w:rFonts w:hint="default" w:ascii="Times New Roman" w:hAnsi="Times New Roman" w:eastAsia="方正仿宋简体" w:cs="Times New Roman"/>
          <w:color w:val="auto"/>
          <w:sz w:val="32"/>
          <w:szCs w:val="32"/>
          <w:highlight w:val="none"/>
          <w:lang w:val="fr-FR"/>
        </w:rPr>
        <w:t>166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万元的</w:t>
      </w:r>
      <w:r>
        <w:rPr>
          <w:rFonts w:hint="default" w:ascii="Times New Roman" w:hAnsi="Times New Roman" w:eastAsia="方正仿宋简体" w:cs="Times New Roman"/>
          <w:color w:val="auto"/>
          <w:sz w:val="32"/>
          <w:szCs w:val="32"/>
          <w:highlight w:val="none"/>
          <w:lang w:val="fr-FR"/>
        </w:rPr>
        <w:t>77</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40%</w:t>
      </w:r>
      <w:r>
        <w:rPr>
          <w:rFonts w:hint="eastAsia" w:ascii="方正仿宋简体" w:hAnsi="方正仿宋简体" w:eastAsia="方正仿宋简体" w:cs="方正仿宋简体"/>
          <w:color w:val="auto"/>
          <w:sz w:val="32"/>
          <w:szCs w:val="32"/>
          <w:highlight w:val="none"/>
          <w:lang w:val="fr-FR"/>
        </w:rPr>
        <w:t>。</w:t>
      </w:r>
    </w:p>
    <w:p w14:paraId="7D6D2538">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截至</w:t>
      </w:r>
      <w:r>
        <w:rPr>
          <w:rFonts w:hint="default" w:ascii="Times New Roman" w:hAnsi="Times New Roman" w:eastAsia="方正仿宋简体" w:cs="Times New Roman"/>
          <w:color w:val="auto"/>
          <w:sz w:val="32"/>
          <w:szCs w:val="32"/>
          <w:highlight w:val="none"/>
          <w:lang w:val="fr-FR"/>
        </w:rPr>
        <w:t>11</w:t>
      </w:r>
      <w:r>
        <w:rPr>
          <w:rFonts w:hint="eastAsia" w:ascii="方正仿宋简体" w:hAnsi="方正仿宋简体" w:eastAsia="方正仿宋简体" w:cs="方正仿宋简体"/>
          <w:color w:val="auto"/>
          <w:sz w:val="32"/>
          <w:szCs w:val="32"/>
          <w:highlight w:val="none"/>
          <w:lang w:val="fr-FR"/>
        </w:rPr>
        <w:t xml:space="preserve">月末实现累计预算支出 </w:t>
      </w:r>
      <w:r>
        <w:rPr>
          <w:rFonts w:hint="default" w:ascii="Times New Roman" w:hAnsi="Times New Roman" w:eastAsia="方正仿宋简体" w:cs="Times New Roman"/>
          <w:color w:val="auto"/>
          <w:sz w:val="32"/>
          <w:szCs w:val="32"/>
          <w:highlight w:val="none"/>
          <w:lang w:val="fr-FR"/>
        </w:rPr>
        <w:t>161</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59</w:t>
      </w:r>
      <w:r>
        <w:rPr>
          <w:rFonts w:hint="eastAsia" w:ascii="方正仿宋简体" w:hAnsi="方正仿宋简体" w:eastAsia="方正仿宋简体" w:cs="方正仿宋简体"/>
          <w:color w:val="auto"/>
          <w:sz w:val="32"/>
          <w:szCs w:val="32"/>
          <w:highlight w:val="none"/>
          <w:lang w:val="fr-FR"/>
        </w:rPr>
        <w:t xml:space="preserve"> 万元，占全年预算总额</w:t>
      </w:r>
      <w:r>
        <w:rPr>
          <w:rFonts w:hint="default" w:ascii="Times New Roman" w:hAnsi="Times New Roman" w:eastAsia="方正仿宋简体" w:cs="Times New Roman"/>
          <w:color w:val="auto"/>
          <w:sz w:val="32"/>
          <w:szCs w:val="32"/>
          <w:highlight w:val="none"/>
          <w:lang w:val="fr-FR"/>
        </w:rPr>
        <w:t>166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万元的</w:t>
      </w:r>
      <w:r>
        <w:rPr>
          <w:rFonts w:hint="default" w:ascii="Times New Roman" w:hAnsi="Times New Roman" w:eastAsia="方正仿宋简体" w:cs="Times New Roman"/>
          <w:color w:val="auto"/>
          <w:sz w:val="32"/>
          <w:szCs w:val="32"/>
          <w:highlight w:val="none"/>
          <w:lang w:val="fr-FR"/>
        </w:rPr>
        <w:t>97</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07%</w:t>
      </w:r>
      <w:r>
        <w:rPr>
          <w:rFonts w:hint="eastAsia" w:ascii="方正仿宋简体" w:hAnsi="方正仿宋简体" w:eastAsia="方正仿宋简体" w:cs="方正仿宋简体"/>
          <w:color w:val="auto"/>
          <w:sz w:val="32"/>
          <w:szCs w:val="32"/>
          <w:highlight w:val="none"/>
          <w:lang w:val="fr-FR"/>
        </w:rPr>
        <w:t xml:space="preserve">。                                 </w:t>
      </w:r>
    </w:p>
    <w:p w14:paraId="3F0CF77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fr-FR" w:eastAsia="zh"/>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p w14:paraId="679B2E5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预算执行</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指标分共计</w:t>
      </w:r>
      <w:r>
        <w:rPr>
          <w:rFonts w:hint="default" w:ascii="Times New Roman" w:hAnsi="Times New Roman" w:eastAsia="方正仿宋简体" w:cs="Times New Roman"/>
          <w:color w:val="auto"/>
          <w:sz w:val="32"/>
          <w:szCs w:val="32"/>
          <w:highlight w:val="none"/>
          <w:lang w:val="fr-FR" w:eastAsia="zh"/>
        </w:rPr>
        <w:t>3</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分，扣除</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25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fr-FR"/>
        </w:rPr>
        <w:t>分。</w:t>
      </w:r>
    </w:p>
    <w:p w14:paraId="28F3F602">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完成结果</w:t>
      </w:r>
    </w:p>
    <w:p w14:paraId="6AD9472A">
      <w:pPr>
        <w:pStyle w:val="2"/>
        <w:keepNext w:val="0"/>
        <w:keepLines w:val="0"/>
        <w:pageBreakBefore w:val="0"/>
        <w:kinsoku/>
        <w:wordWrap/>
        <w:overflowPunct/>
        <w:topLinePunct w:val="0"/>
        <w:autoSpaceDE/>
        <w:autoSpaceDN/>
        <w:bidi w:val="0"/>
        <w:spacing w:after="0" w:line="600" w:lineRule="exact"/>
        <w:ind w:left="0" w:firstLine="560"/>
        <w:rPr>
          <w:rFonts w:hint="eastAsia" w:ascii="方正仿宋简体" w:hAnsi="方正仿宋简体" w:eastAsia="方正仿宋简体" w:cs="方正仿宋简体"/>
          <w:color w:val="auto"/>
          <w:kern w:val="2"/>
          <w:sz w:val="32"/>
          <w:szCs w:val="32"/>
          <w:highlight w:val="none"/>
          <w:lang w:val="fr-FR" w:eastAsia="zh-CN" w:bidi="ar-SA"/>
        </w:rPr>
      </w:pPr>
      <w:r>
        <w:rPr>
          <w:rFonts w:hint="eastAsia" w:ascii="方正仿宋简体" w:hAnsi="方正仿宋简体" w:eastAsia="方正仿宋简体" w:cs="方正仿宋简体"/>
          <w:color w:val="auto"/>
          <w:kern w:val="2"/>
          <w:sz w:val="32"/>
          <w:szCs w:val="32"/>
          <w:highlight w:val="none"/>
          <w:lang w:val="fr-FR" w:eastAsia="zh-CN" w:bidi="ar-SA"/>
        </w:rPr>
        <w:t>二级指标“完成结果”下设两个三级指标分别为：预算完成和违规记录。</w:t>
      </w:r>
    </w:p>
    <w:p w14:paraId="44D84047">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1</w:t>
      </w:r>
      <w:r>
        <w:rPr>
          <w:rFonts w:hint="eastAsia" w:ascii="方正仿宋简体" w:hAnsi="方正仿宋简体" w:eastAsia="方正仿宋简体" w:cs="方正仿宋简体"/>
          <w:color w:val="auto"/>
          <w:sz w:val="32"/>
          <w:szCs w:val="32"/>
          <w:highlight w:val="none"/>
        </w:rPr>
        <w:t>）预算完成</w:t>
      </w:r>
    </w:p>
    <w:p w14:paraId="7CF34E4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根据县委编办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年决算报表及“可执行指标执行情况表”，县委编办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w:t>
      </w:r>
      <w:r>
        <w:rPr>
          <w:rFonts w:hint="default" w:ascii="Times New Roman" w:hAnsi="Times New Roman" w:eastAsia="方正仿宋简体" w:cs="Times New Roman"/>
          <w:color w:val="auto"/>
          <w:sz w:val="32"/>
          <w:szCs w:val="32"/>
          <w:highlight w:val="none"/>
          <w:lang w:val="fr-FR"/>
        </w:rPr>
        <w:t>12</w:t>
      </w:r>
      <w:r>
        <w:rPr>
          <w:rFonts w:hint="eastAsia" w:ascii="方正仿宋简体" w:hAnsi="方正仿宋简体" w:eastAsia="方正仿宋简体" w:cs="方正仿宋简体"/>
          <w:color w:val="auto"/>
          <w:sz w:val="32"/>
          <w:szCs w:val="32"/>
          <w:highlight w:val="none"/>
          <w:lang w:val="fr-FR"/>
        </w:rPr>
        <w:t>月实现预算支出</w:t>
      </w:r>
      <w:r>
        <w:rPr>
          <w:rFonts w:hint="default" w:ascii="Times New Roman" w:hAnsi="Times New Roman" w:eastAsia="方正仿宋简体" w:cs="Times New Roman"/>
          <w:color w:val="auto"/>
          <w:sz w:val="32"/>
          <w:szCs w:val="32"/>
          <w:highlight w:val="none"/>
          <w:lang w:val="fr-FR"/>
        </w:rPr>
        <w:t>166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万元，全年预算总额</w:t>
      </w:r>
      <w:r>
        <w:rPr>
          <w:rFonts w:hint="default" w:ascii="Times New Roman" w:hAnsi="Times New Roman" w:eastAsia="方正仿宋简体" w:cs="Times New Roman"/>
          <w:color w:val="auto"/>
          <w:sz w:val="32"/>
          <w:szCs w:val="32"/>
          <w:highlight w:val="none"/>
          <w:lang w:val="fr-FR"/>
        </w:rPr>
        <w:t>166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46</w:t>
      </w:r>
      <w:r>
        <w:rPr>
          <w:rFonts w:hint="eastAsia" w:ascii="方正仿宋简体" w:hAnsi="方正仿宋简体" w:eastAsia="方正仿宋简体" w:cs="方正仿宋简体"/>
          <w:color w:val="auto"/>
          <w:sz w:val="32"/>
          <w:szCs w:val="32"/>
          <w:highlight w:val="none"/>
          <w:lang w:val="fr-FR"/>
        </w:rPr>
        <w:t>万元，全年预算完成率为</w:t>
      </w:r>
      <w:r>
        <w:rPr>
          <w:rFonts w:hint="default" w:ascii="Times New Roman" w:hAnsi="Times New Roman" w:eastAsia="方正仿宋简体" w:cs="Times New Roman"/>
          <w:color w:val="auto"/>
          <w:sz w:val="32"/>
          <w:szCs w:val="32"/>
          <w:highlight w:val="none"/>
          <w:lang w:val="fr-FR"/>
        </w:rPr>
        <w:t>100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w:t>
      </w:r>
    </w:p>
    <w:p w14:paraId="4A928BD9">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fr-FR"/>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p w14:paraId="42DAFDA7">
      <w:pPr>
        <w:keepNext w:val="0"/>
        <w:keepLines w:val="0"/>
        <w:pageBreakBefore w:val="0"/>
        <w:numPr>
          <w:ilvl w:val="255"/>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w:t>
      </w:r>
      <w:r>
        <w:rPr>
          <w:rFonts w:hint="default" w:ascii="Times New Roman" w:hAnsi="Times New Roman" w:eastAsia="方正仿宋简体" w:cs="Times New Roman"/>
          <w:color w:val="auto"/>
          <w:sz w:val="32"/>
          <w:szCs w:val="32"/>
          <w:highlight w:val="none"/>
        </w:rPr>
        <w:t>2</w:t>
      </w:r>
      <w:r>
        <w:rPr>
          <w:rFonts w:hint="eastAsia" w:ascii="方正仿宋简体" w:hAnsi="方正仿宋简体" w:eastAsia="方正仿宋简体" w:cs="方正仿宋简体"/>
          <w:color w:val="auto"/>
          <w:sz w:val="32"/>
          <w:szCs w:val="32"/>
          <w:highlight w:val="none"/>
        </w:rPr>
        <w:t>）违规记录</w:t>
      </w:r>
    </w:p>
    <w:p w14:paraId="04E90CE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根据县委编办提供《中共泸定县委机构编制委员会办公室关于巡察反馈问题集中整改进展情况的报告》（泸委编办〔</w:t>
      </w:r>
      <w:r>
        <w:rPr>
          <w:rFonts w:hint="default" w:ascii="Times New Roman" w:hAnsi="Times New Roman" w:eastAsia="方正仿宋简体" w:cs="Times New Roman"/>
          <w:color w:val="auto"/>
          <w:sz w:val="32"/>
          <w:szCs w:val="32"/>
          <w:highlight w:val="none"/>
          <w:lang w:val="fr-FR"/>
        </w:rPr>
        <w:t>2024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14</w:t>
      </w:r>
      <w:r>
        <w:rPr>
          <w:rFonts w:hint="eastAsia" w:ascii="方正仿宋简体" w:hAnsi="方正仿宋简体" w:eastAsia="方正仿宋简体" w:cs="方正仿宋简体"/>
          <w:color w:val="auto"/>
          <w:sz w:val="32"/>
          <w:szCs w:val="32"/>
          <w:highlight w:val="none"/>
          <w:lang w:val="fr-FR"/>
        </w:rPr>
        <w:t>号）文件，</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w:t>
      </w:r>
      <w:r>
        <w:rPr>
          <w:rFonts w:hint="default" w:ascii="Times New Roman" w:hAnsi="Times New Roman" w:eastAsia="方正仿宋简体" w:cs="Times New Roman"/>
          <w:color w:val="auto"/>
          <w:sz w:val="32"/>
          <w:szCs w:val="32"/>
          <w:highlight w:val="none"/>
          <w:lang w:val="fr-FR"/>
        </w:rPr>
        <w:t>9</w:t>
      </w:r>
      <w:r>
        <w:rPr>
          <w:rFonts w:hint="eastAsia" w:ascii="方正仿宋简体" w:hAnsi="方正仿宋简体" w:eastAsia="方正仿宋简体" w:cs="方正仿宋简体"/>
          <w:color w:val="auto"/>
          <w:sz w:val="32"/>
          <w:szCs w:val="32"/>
          <w:highlight w:val="none"/>
          <w:lang w:val="fr-FR"/>
        </w:rPr>
        <w:t>月</w:t>
      </w:r>
      <w:r>
        <w:rPr>
          <w:rFonts w:hint="default" w:ascii="Times New Roman" w:hAnsi="Times New Roman" w:eastAsia="方正仿宋简体" w:cs="Times New Roman"/>
          <w:color w:val="auto"/>
          <w:sz w:val="32"/>
          <w:szCs w:val="32"/>
          <w:highlight w:val="none"/>
          <w:lang w:val="fr-FR"/>
        </w:rPr>
        <w:t>6</w:t>
      </w:r>
      <w:r>
        <w:rPr>
          <w:rFonts w:hint="eastAsia" w:ascii="方正仿宋简体" w:hAnsi="方正仿宋简体" w:eastAsia="方正仿宋简体" w:cs="方正仿宋简体"/>
          <w:color w:val="auto"/>
          <w:sz w:val="32"/>
          <w:szCs w:val="32"/>
          <w:highlight w:val="none"/>
          <w:lang w:val="fr-FR"/>
        </w:rPr>
        <w:t>日至</w:t>
      </w:r>
      <w:r>
        <w:rPr>
          <w:rFonts w:hint="default" w:ascii="Times New Roman" w:hAnsi="Times New Roman" w:eastAsia="方正仿宋简体" w:cs="Times New Roman"/>
          <w:color w:val="auto"/>
          <w:sz w:val="32"/>
          <w:szCs w:val="32"/>
          <w:highlight w:val="none"/>
          <w:lang w:val="fr-FR"/>
        </w:rPr>
        <w:t>9</w:t>
      </w:r>
      <w:r>
        <w:rPr>
          <w:rFonts w:hint="eastAsia" w:ascii="方正仿宋简体" w:hAnsi="方正仿宋简体" w:eastAsia="方正仿宋简体" w:cs="方正仿宋简体"/>
          <w:color w:val="auto"/>
          <w:sz w:val="32"/>
          <w:szCs w:val="32"/>
          <w:highlight w:val="none"/>
          <w:lang w:val="fr-FR"/>
        </w:rPr>
        <w:t>月</w:t>
      </w:r>
      <w:r>
        <w:rPr>
          <w:rFonts w:hint="default" w:ascii="Times New Roman" w:hAnsi="Times New Roman" w:eastAsia="方正仿宋简体" w:cs="Times New Roman"/>
          <w:color w:val="auto"/>
          <w:sz w:val="32"/>
          <w:szCs w:val="32"/>
          <w:highlight w:val="none"/>
          <w:lang w:val="fr-FR"/>
        </w:rPr>
        <w:t>20</w:t>
      </w:r>
      <w:r>
        <w:rPr>
          <w:rFonts w:hint="eastAsia" w:ascii="方正仿宋简体" w:hAnsi="方正仿宋简体" w:eastAsia="方正仿宋简体" w:cs="方正仿宋简体"/>
          <w:color w:val="auto"/>
          <w:sz w:val="32"/>
          <w:szCs w:val="32"/>
          <w:highlight w:val="none"/>
          <w:lang w:val="fr-FR"/>
        </w:rPr>
        <w:t>日，县委第三巡察组对县委编办进行了巡察</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并于</w:t>
      </w:r>
      <w:r>
        <w:rPr>
          <w:rFonts w:hint="default" w:ascii="Times New Roman" w:hAnsi="Times New Roman" w:eastAsia="方正仿宋简体" w:cs="Times New Roman"/>
          <w:color w:val="auto"/>
          <w:sz w:val="32"/>
          <w:szCs w:val="32"/>
          <w:highlight w:val="none"/>
          <w:lang w:val="fr-FR"/>
        </w:rPr>
        <w:t>2024</w:t>
      </w:r>
      <w:r>
        <w:rPr>
          <w:rFonts w:hint="eastAsia" w:ascii="方正仿宋简体" w:hAnsi="方正仿宋简体" w:eastAsia="方正仿宋简体" w:cs="方正仿宋简体"/>
          <w:color w:val="auto"/>
          <w:sz w:val="32"/>
          <w:szCs w:val="32"/>
          <w:highlight w:val="none"/>
          <w:lang w:val="fr-FR"/>
        </w:rPr>
        <w:t>年</w:t>
      </w: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月</w:t>
      </w:r>
      <w:r>
        <w:rPr>
          <w:rFonts w:hint="default" w:ascii="Times New Roman" w:hAnsi="Times New Roman" w:eastAsia="方正仿宋简体" w:cs="Times New Roman"/>
          <w:color w:val="auto"/>
          <w:sz w:val="32"/>
          <w:szCs w:val="32"/>
          <w:highlight w:val="none"/>
          <w:lang w:val="fr-FR"/>
        </w:rPr>
        <w:t>9</w:t>
      </w:r>
      <w:r>
        <w:rPr>
          <w:rFonts w:hint="eastAsia" w:ascii="方正仿宋简体" w:hAnsi="方正仿宋简体" w:eastAsia="方正仿宋简体" w:cs="方正仿宋简体"/>
          <w:color w:val="auto"/>
          <w:sz w:val="32"/>
          <w:szCs w:val="32"/>
          <w:highlight w:val="none"/>
          <w:lang w:val="fr-FR"/>
        </w:rPr>
        <w:t>日反馈巡察意见，</w:t>
      </w:r>
      <w:r>
        <w:rPr>
          <w:rFonts w:hint="eastAsia" w:ascii="方正仿宋简体" w:hAnsi="方正仿宋简体" w:eastAsia="方正仿宋简体" w:cs="方正仿宋简体"/>
          <w:color w:val="auto"/>
          <w:sz w:val="32"/>
          <w:szCs w:val="32"/>
          <w:highlight w:val="none"/>
          <w:lang w:val="en-US" w:eastAsia="zh-CN"/>
        </w:rPr>
        <w:t>在</w:t>
      </w:r>
      <w:r>
        <w:rPr>
          <w:rFonts w:hint="eastAsia" w:ascii="方正仿宋简体" w:hAnsi="方正仿宋简体" w:eastAsia="方正仿宋简体" w:cs="方正仿宋简体"/>
          <w:color w:val="auto"/>
          <w:sz w:val="32"/>
          <w:szCs w:val="32"/>
          <w:highlight w:val="none"/>
          <w:lang w:val="fr-FR"/>
        </w:rPr>
        <w:t>部门预算管理方面存在落实中央八项规定精神有欠缺（公车管理不规范）</w:t>
      </w:r>
      <w:r>
        <w:rPr>
          <w:rFonts w:hint="default" w:ascii="Times New Roman" w:hAnsi="Times New Roman" w:eastAsia="方正仿宋简体" w:cs="Times New Roman"/>
          <w:color w:val="auto"/>
          <w:sz w:val="32"/>
          <w:szCs w:val="32"/>
          <w:highlight w:val="none"/>
          <w:lang w:val="fr-FR"/>
        </w:rPr>
        <w:t>1</w:t>
      </w:r>
      <w:r>
        <w:rPr>
          <w:rFonts w:hint="eastAsia" w:ascii="方正仿宋简体" w:hAnsi="方正仿宋简体" w:eastAsia="方正仿宋简体" w:cs="方正仿宋简体"/>
          <w:color w:val="auto"/>
          <w:sz w:val="32"/>
          <w:szCs w:val="32"/>
          <w:highlight w:val="none"/>
          <w:lang w:val="fr-FR"/>
        </w:rPr>
        <w:t>个问题。</w:t>
      </w:r>
    </w:p>
    <w:p w14:paraId="25C0326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本项分值为</w:t>
      </w:r>
      <w:r>
        <w:rPr>
          <w:rFonts w:hint="default" w:ascii="Times New Roman" w:hAnsi="Times New Roman" w:eastAsia="方正仿宋简体" w:cs="Times New Roman"/>
          <w:color w:val="auto"/>
          <w:sz w:val="32"/>
          <w:szCs w:val="32"/>
          <w:highlight w:val="none"/>
          <w:lang w:val="fr-FR"/>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fr-FR"/>
        </w:rPr>
        <w:t>分。</w:t>
      </w:r>
    </w:p>
    <w:p w14:paraId="570D0F2B">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完成结果</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指标分共计</w:t>
      </w:r>
      <w:r>
        <w:rPr>
          <w:rFonts w:hint="default" w:ascii="Times New Roman" w:hAnsi="Times New Roman" w:eastAsia="方正仿宋简体" w:cs="Times New Roman"/>
          <w:color w:val="auto"/>
          <w:sz w:val="32"/>
          <w:szCs w:val="32"/>
          <w:highlight w:val="none"/>
          <w:lang w:val="fr-FR" w:eastAsia="zh"/>
        </w:rPr>
        <w:t>20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分，扣除</w:t>
      </w:r>
      <w:r>
        <w:rPr>
          <w:rFonts w:hint="default" w:ascii="Times New Roman" w:hAnsi="Times New Roman" w:eastAsia="方正仿宋简体" w:cs="Times New Roman"/>
          <w:color w:val="auto"/>
          <w:sz w:val="32"/>
          <w:szCs w:val="32"/>
          <w:highlight w:val="none"/>
          <w:lang w:val="fr-FR" w:eastAsia="zh"/>
        </w:rPr>
        <w:t>0</w:t>
      </w:r>
      <w:r>
        <w:rPr>
          <w:rFonts w:hint="eastAsia" w:ascii="方正仿宋简体" w:hAnsi="方正仿宋简体" w:eastAsia="方正仿宋简体" w:cs="方正仿宋简体"/>
          <w:color w:val="auto"/>
          <w:sz w:val="32"/>
          <w:szCs w:val="32"/>
          <w:highlight w:val="none"/>
          <w:lang w:val="fr-FR" w:eastAsia="zh"/>
        </w:rPr>
        <w:t>.</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lang w:val="fr-FR" w:eastAsia="zh"/>
        </w:rPr>
        <w:t>0</w:t>
      </w:r>
      <w:r>
        <w:rPr>
          <w:rFonts w:hint="eastAsia" w:ascii="方正仿宋简体" w:hAnsi="方正仿宋简体" w:eastAsia="方正仿宋简体" w:cs="方正仿宋简体"/>
          <w:color w:val="auto"/>
          <w:sz w:val="32"/>
          <w:szCs w:val="32"/>
          <w:highlight w:val="none"/>
          <w:lang w:val="fr-FR"/>
        </w:rPr>
        <w:t>分，此处得分为</w:t>
      </w:r>
      <w:r>
        <w:rPr>
          <w:rFonts w:hint="default" w:ascii="Times New Roman" w:hAnsi="Times New Roman" w:eastAsia="方正仿宋简体" w:cs="Times New Roman"/>
          <w:color w:val="auto"/>
          <w:sz w:val="32"/>
          <w:szCs w:val="32"/>
          <w:highlight w:val="none"/>
          <w:lang w:val="en-US" w:eastAsia="zh-CN"/>
        </w:rPr>
        <w:t>19</w:t>
      </w:r>
      <w:r>
        <w:rPr>
          <w:rFonts w:hint="eastAsia" w:ascii="方正仿宋简体" w:hAnsi="方正仿宋简体" w:eastAsia="方正仿宋简体" w:cs="方正仿宋简体"/>
          <w:color w:val="auto"/>
          <w:sz w:val="32"/>
          <w:szCs w:val="32"/>
          <w:highlight w:val="none"/>
          <w:lang w:val="fr-FR" w:eastAsia="zh"/>
        </w:rPr>
        <w:t>.</w:t>
      </w:r>
      <w:r>
        <w:rPr>
          <w:rFonts w:hint="default" w:ascii="Times New Roman" w:hAnsi="Times New Roman" w:eastAsia="方正仿宋简体" w:cs="Times New Roman"/>
          <w:color w:val="auto"/>
          <w:sz w:val="32"/>
          <w:szCs w:val="32"/>
          <w:highlight w:val="none"/>
          <w:lang w:val="en-US" w:eastAsia="zh-CN"/>
        </w:rPr>
        <w:t>5</w:t>
      </w:r>
      <w:r>
        <w:rPr>
          <w:rFonts w:hint="default" w:ascii="Times New Roman" w:hAnsi="Times New Roman" w:eastAsia="方正仿宋简体" w:cs="Times New Roman"/>
          <w:color w:val="auto"/>
          <w:sz w:val="32"/>
          <w:szCs w:val="32"/>
          <w:highlight w:val="none"/>
          <w:lang w:val="fr-FR" w:eastAsia="zh"/>
        </w:rPr>
        <w:t>0</w:t>
      </w:r>
      <w:r>
        <w:rPr>
          <w:rFonts w:hint="eastAsia" w:ascii="方正仿宋简体" w:hAnsi="方正仿宋简体" w:eastAsia="方正仿宋简体" w:cs="方正仿宋简体"/>
          <w:color w:val="auto"/>
          <w:sz w:val="32"/>
          <w:szCs w:val="32"/>
          <w:highlight w:val="none"/>
          <w:lang w:val="fr-FR"/>
        </w:rPr>
        <w:t>分。</w:t>
      </w:r>
    </w:p>
    <w:p w14:paraId="69CC418E">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信息公开</w:t>
      </w:r>
    </w:p>
    <w:p w14:paraId="2B68E03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信息公开</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下设一个三级指标为自评公开。</w:t>
      </w:r>
    </w:p>
    <w:p w14:paraId="1B642F8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eastAsia="zh-CN"/>
        </w:rPr>
        <w:t>根据在</w:t>
      </w:r>
      <w:r>
        <w:rPr>
          <w:rFonts w:hint="eastAsia" w:ascii="方正仿宋简体" w:hAnsi="方正仿宋简体" w:eastAsia="方正仿宋简体" w:cs="方正仿宋简体"/>
          <w:color w:val="auto"/>
          <w:sz w:val="32"/>
          <w:szCs w:val="32"/>
          <w:highlight w:val="none"/>
          <w:lang w:val="en-US" w:eastAsia="zh-CN"/>
        </w:rPr>
        <w:t>泸定县</w:t>
      </w:r>
      <w:r>
        <w:rPr>
          <w:rFonts w:hint="eastAsia" w:ascii="方正仿宋简体" w:hAnsi="方正仿宋简体" w:eastAsia="方正仿宋简体" w:cs="方正仿宋简体"/>
          <w:color w:val="auto"/>
          <w:sz w:val="32"/>
          <w:szCs w:val="32"/>
          <w:highlight w:val="none"/>
          <w:lang w:val="fr-FR" w:eastAsia="zh-CN"/>
        </w:rPr>
        <w:t>人民政府门户网站公开的资料和部门决算，</w:t>
      </w:r>
      <w:r>
        <w:rPr>
          <w:rFonts w:hint="eastAsia" w:ascii="方正仿宋简体" w:hAnsi="方正仿宋简体" w:eastAsia="方正仿宋简体" w:cs="方正仿宋简体"/>
          <w:color w:val="auto"/>
          <w:sz w:val="32"/>
          <w:szCs w:val="32"/>
          <w:highlight w:val="none"/>
          <w:lang w:val="en-US" w:eastAsia="zh-CN"/>
        </w:rPr>
        <w:t>县委编办</w:t>
      </w:r>
      <w:r>
        <w:rPr>
          <w:rFonts w:hint="eastAsia" w:ascii="方正仿宋简体" w:hAnsi="方正仿宋简体" w:eastAsia="方正仿宋简体" w:cs="方正仿宋简体"/>
          <w:color w:val="auto"/>
          <w:sz w:val="32"/>
          <w:szCs w:val="32"/>
          <w:highlight w:val="none"/>
          <w:lang w:val="fr-FR" w:eastAsia="zh-CN"/>
        </w:rPr>
        <w:t>在</w:t>
      </w:r>
      <w:r>
        <w:rPr>
          <w:rFonts w:hint="default" w:ascii="Times New Roman" w:hAnsi="Times New Roman" w:eastAsia="方正仿宋简体" w:cs="Times New Roman"/>
          <w:color w:val="auto"/>
          <w:sz w:val="32"/>
          <w:szCs w:val="32"/>
          <w:highlight w:val="none"/>
          <w:lang w:val="fr-FR" w:eastAsia="zh-CN"/>
        </w:rPr>
        <w:t>2023</w:t>
      </w:r>
      <w:r>
        <w:rPr>
          <w:rFonts w:hint="eastAsia" w:ascii="方正仿宋简体" w:hAnsi="方正仿宋简体" w:eastAsia="方正仿宋简体" w:cs="方正仿宋简体"/>
          <w:color w:val="auto"/>
          <w:sz w:val="32"/>
          <w:szCs w:val="32"/>
          <w:highlight w:val="none"/>
          <w:lang w:val="fr-FR" w:eastAsia="zh-CN"/>
        </w:rPr>
        <w:t>年</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fr-FR" w:eastAsia="zh-CN"/>
        </w:rPr>
        <w:t>月</w:t>
      </w:r>
      <w:r>
        <w:rPr>
          <w:rFonts w:hint="default" w:ascii="Times New Roman" w:hAnsi="Times New Roman" w:eastAsia="方正仿宋简体" w:cs="Times New Roman"/>
          <w:color w:val="auto"/>
          <w:sz w:val="32"/>
          <w:szCs w:val="32"/>
          <w:highlight w:val="none"/>
          <w:lang w:val="en-US" w:eastAsia="zh-CN"/>
        </w:rPr>
        <w:t>10</w:t>
      </w:r>
      <w:r>
        <w:rPr>
          <w:rFonts w:hint="eastAsia" w:ascii="方正仿宋简体" w:hAnsi="方正仿宋简体" w:eastAsia="方正仿宋简体" w:cs="方正仿宋简体"/>
          <w:color w:val="auto"/>
          <w:sz w:val="32"/>
          <w:szCs w:val="32"/>
          <w:highlight w:val="none"/>
          <w:lang w:val="fr-FR" w:eastAsia="zh-CN"/>
        </w:rPr>
        <w:t>日公开了</w:t>
      </w:r>
      <w:r>
        <w:rPr>
          <w:rFonts w:hint="default" w:ascii="Times New Roman" w:hAnsi="Times New Roman" w:eastAsia="方正仿宋简体" w:cs="Times New Roman"/>
          <w:color w:val="auto"/>
          <w:sz w:val="32"/>
          <w:szCs w:val="32"/>
          <w:highlight w:val="none"/>
          <w:lang w:val="fr-FR" w:eastAsia="zh-CN"/>
        </w:rPr>
        <w:t>2023</w:t>
      </w:r>
      <w:r>
        <w:rPr>
          <w:rFonts w:hint="eastAsia" w:ascii="方正仿宋简体" w:hAnsi="方正仿宋简体" w:eastAsia="方正仿宋简体" w:cs="方正仿宋简体"/>
          <w:color w:val="auto"/>
          <w:sz w:val="32"/>
          <w:szCs w:val="32"/>
          <w:highlight w:val="none"/>
          <w:lang w:val="fr-FR" w:eastAsia="zh-CN"/>
        </w:rPr>
        <w:t>年度部门预算，同时公开了部门整体支出绩效目标，</w:t>
      </w:r>
      <w:r>
        <w:rPr>
          <w:rFonts w:hint="default" w:ascii="Times New Roman" w:hAnsi="Times New Roman" w:eastAsia="方正仿宋简体" w:cs="Times New Roman"/>
          <w:color w:val="auto"/>
          <w:sz w:val="32"/>
          <w:szCs w:val="32"/>
          <w:highlight w:val="none"/>
          <w:lang w:val="fr-FR" w:eastAsia="zh-CN"/>
        </w:rPr>
        <w:t>2023</w:t>
      </w:r>
      <w:r>
        <w:rPr>
          <w:rFonts w:hint="eastAsia" w:ascii="方正仿宋简体" w:hAnsi="方正仿宋简体" w:eastAsia="方正仿宋简体" w:cs="方正仿宋简体"/>
          <w:color w:val="auto"/>
          <w:sz w:val="32"/>
          <w:szCs w:val="32"/>
          <w:highlight w:val="none"/>
          <w:lang w:val="fr-FR" w:eastAsia="zh-CN"/>
        </w:rPr>
        <w:t>年</w:t>
      </w:r>
      <w:r>
        <w:rPr>
          <w:rFonts w:hint="default" w:ascii="Times New Roman" w:hAnsi="Times New Roman" w:eastAsia="方正仿宋简体" w:cs="Times New Roman"/>
          <w:color w:val="auto"/>
          <w:sz w:val="32"/>
          <w:szCs w:val="32"/>
          <w:highlight w:val="none"/>
          <w:lang w:val="fr-FR" w:eastAsia="zh-CN"/>
        </w:rPr>
        <w:t>9</w:t>
      </w:r>
      <w:r>
        <w:rPr>
          <w:rFonts w:hint="eastAsia" w:ascii="方正仿宋简体" w:hAnsi="方正仿宋简体" w:eastAsia="方正仿宋简体" w:cs="方正仿宋简体"/>
          <w:color w:val="auto"/>
          <w:sz w:val="32"/>
          <w:szCs w:val="32"/>
          <w:highlight w:val="none"/>
          <w:lang w:val="fr-FR" w:eastAsia="zh-CN"/>
        </w:rPr>
        <w:t>月</w:t>
      </w:r>
      <w:r>
        <w:rPr>
          <w:rFonts w:hint="default" w:ascii="Times New Roman" w:hAnsi="Times New Roman" w:eastAsia="方正仿宋简体" w:cs="Times New Roman"/>
          <w:color w:val="auto"/>
          <w:sz w:val="32"/>
          <w:szCs w:val="32"/>
          <w:highlight w:val="none"/>
          <w:lang w:val="en-US" w:eastAsia="zh-CN"/>
        </w:rPr>
        <w:t>8</w:t>
      </w:r>
      <w:r>
        <w:rPr>
          <w:rFonts w:hint="eastAsia" w:ascii="方正仿宋简体" w:hAnsi="方正仿宋简体" w:eastAsia="方正仿宋简体" w:cs="方正仿宋简体"/>
          <w:color w:val="auto"/>
          <w:sz w:val="32"/>
          <w:szCs w:val="32"/>
          <w:highlight w:val="none"/>
          <w:lang w:val="fr-FR" w:eastAsia="zh-CN"/>
        </w:rPr>
        <w:t>日公开了</w:t>
      </w:r>
      <w:r>
        <w:rPr>
          <w:rFonts w:hint="default" w:ascii="Times New Roman" w:hAnsi="Times New Roman" w:eastAsia="方正仿宋简体" w:cs="Times New Roman"/>
          <w:color w:val="auto"/>
          <w:sz w:val="32"/>
          <w:szCs w:val="32"/>
          <w:highlight w:val="none"/>
          <w:lang w:val="fr-FR" w:eastAsia="zh-CN"/>
        </w:rPr>
        <w:t>2022</w:t>
      </w:r>
      <w:r>
        <w:rPr>
          <w:rFonts w:hint="eastAsia" w:ascii="方正仿宋简体" w:hAnsi="方正仿宋简体" w:eastAsia="方正仿宋简体" w:cs="方正仿宋简体"/>
          <w:color w:val="auto"/>
          <w:sz w:val="32"/>
          <w:szCs w:val="32"/>
          <w:highlight w:val="none"/>
          <w:lang w:val="fr-FR" w:eastAsia="zh-CN"/>
        </w:rPr>
        <w:t>年度部门决算，同时公开部门整体绩效自评报告；项目绩效目标完成情况以及项目自评表。截至绩效评价日（</w:t>
      </w:r>
      <w:r>
        <w:rPr>
          <w:rFonts w:hint="default" w:ascii="Times New Roman" w:hAnsi="Times New Roman" w:eastAsia="方正仿宋简体" w:cs="Times New Roman"/>
          <w:color w:val="auto"/>
          <w:sz w:val="32"/>
          <w:szCs w:val="32"/>
          <w:highlight w:val="none"/>
          <w:lang w:val="fr-FR" w:eastAsia="zh-CN"/>
        </w:rPr>
        <w:t>2024</w:t>
      </w:r>
      <w:r>
        <w:rPr>
          <w:rFonts w:hint="eastAsia" w:ascii="方正仿宋简体" w:hAnsi="方正仿宋简体" w:eastAsia="方正仿宋简体" w:cs="方正仿宋简体"/>
          <w:color w:val="auto"/>
          <w:sz w:val="32"/>
          <w:szCs w:val="32"/>
          <w:highlight w:val="none"/>
          <w:lang w:val="fr-FR" w:eastAsia="zh-CN"/>
        </w:rPr>
        <w:t>年</w:t>
      </w:r>
      <w:r>
        <w:rPr>
          <w:rFonts w:hint="default" w:ascii="Times New Roman" w:hAnsi="Times New Roman" w:eastAsia="方正仿宋简体" w:cs="Times New Roman"/>
          <w:color w:val="auto"/>
          <w:sz w:val="32"/>
          <w:szCs w:val="32"/>
          <w:highlight w:val="none"/>
          <w:lang w:val="en-US" w:eastAsia="zh-CN"/>
        </w:rPr>
        <w:t>7</w:t>
      </w:r>
      <w:r>
        <w:rPr>
          <w:rFonts w:hint="eastAsia" w:ascii="方正仿宋简体" w:hAnsi="方正仿宋简体" w:eastAsia="方正仿宋简体" w:cs="方正仿宋简体"/>
          <w:color w:val="auto"/>
          <w:sz w:val="32"/>
          <w:szCs w:val="32"/>
          <w:highlight w:val="none"/>
          <w:lang w:val="fr-FR" w:eastAsia="zh-CN"/>
        </w:rPr>
        <w:t>月</w:t>
      </w:r>
      <w:r>
        <w:rPr>
          <w:rFonts w:hint="default" w:ascii="Times New Roman" w:hAnsi="Times New Roman" w:eastAsia="方正仿宋简体" w:cs="Times New Roman"/>
          <w:color w:val="auto"/>
          <w:sz w:val="32"/>
          <w:szCs w:val="32"/>
          <w:highlight w:val="none"/>
          <w:lang w:val="fr-FR" w:eastAsia="zh-CN"/>
        </w:rPr>
        <w:t>1</w:t>
      </w:r>
      <w:r>
        <w:rPr>
          <w:rFonts w:hint="default" w:ascii="Times New Roman" w:hAnsi="Times New Roman" w:eastAsia="方正仿宋简体" w:cs="Times New Roman"/>
          <w:color w:val="auto"/>
          <w:sz w:val="32"/>
          <w:szCs w:val="32"/>
          <w:highlight w:val="none"/>
          <w:lang w:val="en-US" w:eastAsia="zh-CN"/>
        </w:rPr>
        <w:t>5</w:t>
      </w:r>
      <w:r>
        <w:rPr>
          <w:rFonts w:hint="eastAsia" w:ascii="方正仿宋简体" w:hAnsi="方正仿宋简体" w:eastAsia="方正仿宋简体" w:cs="方正仿宋简体"/>
          <w:color w:val="auto"/>
          <w:sz w:val="32"/>
          <w:szCs w:val="32"/>
          <w:highlight w:val="none"/>
          <w:lang w:val="fr-FR" w:eastAsia="zh-CN"/>
        </w:rPr>
        <w:t>日）还未公开</w:t>
      </w:r>
      <w:r>
        <w:rPr>
          <w:rFonts w:hint="default" w:ascii="Times New Roman" w:hAnsi="Times New Roman" w:eastAsia="方正仿宋简体" w:cs="Times New Roman"/>
          <w:color w:val="auto"/>
          <w:sz w:val="32"/>
          <w:szCs w:val="32"/>
          <w:highlight w:val="none"/>
          <w:lang w:val="fr-FR" w:eastAsia="zh-CN"/>
        </w:rPr>
        <w:t>2023</w:t>
      </w:r>
      <w:r>
        <w:rPr>
          <w:rFonts w:hint="eastAsia" w:ascii="方正仿宋简体" w:hAnsi="方正仿宋简体" w:eastAsia="方正仿宋简体" w:cs="方正仿宋简体"/>
          <w:color w:val="auto"/>
          <w:sz w:val="32"/>
          <w:szCs w:val="32"/>
          <w:highlight w:val="none"/>
          <w:lang w:val="fr-FR" w:eastAsia="zh-CN"/>
        </w:rPr>
        <w:t>年部门决算。</w:t>
      </w:r>
    </w:p>
    <w:p w14:paraId="4ADF518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信息公开</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指标分共计</w:t>
      </w:r>
      <w:r>
        <w:rPr>
          <w:rFonts w:hint="default" w:ascii="Times New Roman" w:hAnsi="Times New Roman" w:eastAsia="方正仿宋简体" w:cs="Times New Roman"/>
          <w:color w:val="auto"/>
          <w:sz w:val="32"/>
          <w:szCs w:val="32"/>
          <w:highlight w:val="none"/>
          <w:lang w:val="fr-FR"/>
        </w:rPr>
        <w:t>2</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分，扣除</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分，此项得分为</w:t>
      </w:r>
      <w:r>
        <w:rPr>
          <w:rFonts w:hint="default" w:ascii="Times New Roman" w:hAnsi="Times New Roman" w:eastAsia="方正仿宋简体" w:cs="Times New Roman"/>
          <w:color w:val="auto"/>
          <w:sz w:val="32"/>
          <w:szCs w:val="32"/>
          <w:highlight w:val="none"/>
          <w:lang w:val="fr-FR"/>
        </w:rPr>
        <w:t>2</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p w14:paraId="19A5BE0D">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整改反馈</w:t>
      </w:r>
    </w:p>
    <w:p w14:paraId="1B9DC6F4">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整改反馈</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下设两个三级指标为：结果整改和应用反馈。</w:t>
      </w:r>
    </w:p>
    <w:p w14:paraId="75EBD0E3">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rPr>
        <w:t>结果整改。</w:t>
      </w:r>
    </w:p>
    <w:p w14:paraId="53A4A77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根据县委编办提供《中共泸定县中共泸定县委机构编制委员会办公室关于巡察反馈问题集中整改进展情况的报告》（泸委编办〔</w:t>
      </w:r>
      <w:r>
        <w:rPr>
          <w:rFonts w:hint="default" w:ascii="Times New Roman" w:hAnsi="Times New Roman" w:eastAsia="方正仿宋简体" w:cs="Times New Roman"/>
          <w:color w:val="auto"/>
          <w:sz w:val="32"/>
          <w:szCs w:val="32"/>
          <w:highlight w:val="none"/>
          <w:lang w:val="fr-FR"/>
        </w:rPr>
        <w:t>2024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14</w:t>
      </w:r>
      <w:r>
        <w:rPr>
          <w:rFonts w:hint="eastAsia" w:ascii="方正仿宋简体" w:hAnsi="方正仿宋简体" w:eastAsia="方正仿宋简体" w:cs="方正仿宋简体"/>
          <w:color w:val="auto"/>
          <w:sz w:val="32"/>
          <w:szCs w:val="32"/>
          <w:highlight w:val="none"/>
          <w:lang w:val="fr-FR"/>
        </w:rPr>
        <w:t>号）文件及相关</w:t>
      </w:r>
      <w:r>
        <w:rPr>
          <w:rFonts w:hint="eastAsia" w:ascii="方正仿宋简体" w:hAnsi="方正仿宋简体" w:eastAsia="方正仿宋简体" w:cs="方正仿宋简体"/>
          <w:color w:val="auto"/>
          <w:sz w:val="32"/>
          <w:szCs w:val="32"/>
          <w:highlight w:val="none"/>
          <w:lang w:val="en-US" w:eastAsia="zh-CN"/>
        </w:rPr>
        <w:t>整改</w:t>
      </w:r>
      <w:r>
        <w:rPr>
          <w:rFonts w:hint="eastAsia" w:ascii="方正仿宋简体" w:hAnsi="方正仿宋简体" w:eastAsia="方正仿宋简体" w:cs="方正仿宋简体"/>
          <w:color w:val="auto"/>
          <w:sz w:val="32"/>
          <w:szCs w:val="32"/>
          <w:highlight w:val="none"/>
          <w:lang w:val="fr-FR"/>
        </w:rPr>
        <w:t>资料，</w:t>
      </w:r>
      <w:r>
        <w:rPr>
          <w:rFonts w:hint="eastAsia" w:ascii="方正仿宋简体" w:hAnsi="方正仿宋简体" w:eastAsia="方正仿宋简体" w:cs="方正仿宋简体"/>
          <w:color w:val="auto"/>
          <w:sz w:val="32"/>
          <w:szCs w:val="32"/>
          <w:highlight w:val="none"/>
          <w:lang w:val="fr-FR" w:eastAsia="zh-CN"/>
        </w:rPr>
        <w:t>县委编办</w:t>
      </w:r>
      <w:r>
        <w:rPr>
          <w:rFonts w:hint="eastAsia" w:ascii="方正仿宋简体" w:hAnsi="方正仿宋简体" w:eastAsia="方正仿宋简体" w:cs="方正仿宋简体"/>
          <w:color w:val="auto"/>
          <w:sz w:val="32"/>
          <w:szCs w:val="32"/>
          <w:highlight w:val="none"/>
          <w:lang w:val="fr-FR"/>
        </w:rPr>
        <w:t>已对发现问题进行整改。</w:t>
      </w:r>
    </w:p>
    <w:p w14:paraId="412D0578">
      <w:pPr>
        <w:keepNext w:val="0"/>
        <w:keepLines w:val="0"/>
        <w:pageBreakBefore w:val="0"/>
        <w:numPr>
          <w:ilvl w:val="0"/>
          <w:numId w:val="0"/>
        </w:numPr>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lang w:eastAsia="zh-CN"/>
        </w:rPr>
        <w:t>（</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eastAsia" w:ascii="方正仿宋简体" w:hAnsi="方正仿宋简体" w:eastAsia="方正仿宋简体" w:cs="方正仿宋简体"/>
          <w:color w:val="auto"/>
          <w:sz w:val="32"/>
          <w:szCs w:val="32"/>
          <w:highlight w:val="none"/>
        </w:rPr>
        <w:t>应用反馈。</w:t>
      </w:r>
    </w:p>
    <w:p w14:paraId="4145457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年度，县委编办已按照财政部门的要求，反馈了绩效结果应用方面的相关资料。</w:t>
      </w:r>
    </w:p>
    <w:p w14:paraId="132B32B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整改反馈</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指标分共计</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分，扣除</w:t>
      </w:r>
      <w:r>
        <w:rPr>
          <w:rFonts w:hint="default" w:ascii="Times New Roman" w:hAnsi="Times New Roman" w:eastAsia="方正仿宋简体" w:cs="Times New Roman"/>
          <w:color w:val="auto"/>
          <w:sz w:val="32"/>
          <w:szCs w:val="32"/>
          <w:highlight w:val="none"/>
          <w:lang w:val="fr-FR"/>
        </w:rPr>
        <w:t>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分，此项得分为</w:t>
      </w:r>
      <w:r>
        <w:rPr>
          <w:rFonts w:hint="default" w:ascii="Times New Roman" w:hAnsi="Times New Roman" w:eastAsia="方正仿宋简体" w:cs="Times New Roman"/>
          <w:color w:val="auto"/>
          <w:sz w:val="32"/>
          <w:szCs w:val="32"/>
          <w:highlight w:val="none"/>
          <w:lang w:val="fr-FR"/>
        </w:rPr>
        <w:t>8</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p w14:paraId="0BFE4BCB">
      <w:pPr>
        <w:keepNext w:val="0"/>
        <w:keepLines w:val="0"/>
        <w:pageBreakBefore w:val="0"/>
        <w:numPr>
          <w:ilvl w:val="0"/>
          <w:numId w:val="2"/>
        </w:numPr>
        <w:kinsoku/>
        <w:wordWrap/>
        <w:overflowPunct/>
        <w:topLinePunct w:val="0"/>
        <w:autoSpaceDE/>
        <w:autoSpaceDN/>
        <w:bidi w:val="0"/>
        <w:spacing w:line="600" w:lineRule="exact"/>
        <w:ind w:left="0" w:leftChars="0" w:firstLine="567" w:firstLineChars="0"/>
        <w:rPr>
          <w:rFonts w:hint="eastAsia" w:ascii="方正仿宋简体" w:hAnsi="方正仿宋简体" w:eastAsia="方正仿宋简体" w:cs="方正仿宋简体"/>
          <w:color w:val="auto"/>
          <w:sz w:val="32"/>
          <w:szCs w:val="32"/>
          <w:highlight w:val="none"/>
        </w:rPr>
      </w:pPr>
      <w:r>
        <w:rPr>
          <w:rFonts w:hint="eastAsia" w:ascii="方正仿宋简体" w:hAnsi="方正仿宋简体" w:eastAsia="方正仿宋简体" w:cs="方正仿宋简体"/>
          <w:color w:val="auto"/>
          <w:sz w:val="32"/>
          <w:szCs w:val="32"/>
          <w:highlight w:val="none"/>
        </w:rPr>
        <w:t>自评质量</w:t>
      </w:r>
    </w:p>
    <w:p w14:paraId="1757AA7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自评质量</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下设一个三级指标为：自评准确。</w:t>
      </w:r>
    </w:p>
    <w:p w14:paraId="4050DC12">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eastAsia="zh-CN"/>
        </w:rPr>
        <w:t>县委编办</w:t>
      </w:r>
      <w:r>
        <w:rPr>
          <w:rFonts w:hint="default" w:ascii="Times New Roman" w:hAnsi="Times New Roman" w:eastAsia="方正仿宋简体" w:cs="Times New Roman"/>
          <w:color w:val="auto"/>
          <w:sz w:val="32"/>
          <w:szCs w:val="32"/>
          <w:highlight w:val="none"/>
          <w:lang w:val="fr-FR"/>
        </w:rPr>
        <w:t>2023</w:t>
      </w:r>
      <w:r>
        <w:rPr>
          <w:rFonts w:hint="eastAsia" w:ascii="方正仿宋简体" w:hAnsi="方正仿宋简体" w:eastAsia="方正仿宋简体" w:cs="方正仿宋简体"/>
          <w:color w:val="auto"/>
          <w:sz w:val="32"/>
          <w:szCs w:val="32"/>
          <w:highlight w:val="none"/>
          <w:lang w:val="fr-FR"/>
        </w:rPr>
        <w:t>年部门整体支出自评得分为</w:t>
      </w:r>
      <w:r>
        <w:rPr>
          <w:rFonts w:hint="default" w:ascii="Times New Roman" w:hAnsi="Times New Roman" w:eastAsia="方正仿宋简体" w:cs="Times New Roman"/>
          <w:color w:val="auto"/>
          <w:sz w:val="32"/>
          <w:szCs w:val="32"/>
          <w:highlight w:val="none"/>
          <w:lang w:val="fr-FR"/>
        </w:rPr>
        <w:t>83</w:t>
      </w:r>
      <w:r>
        <w:rPr>
          <w:rFonts w:hint="eastAsia" w:ascii="方正仿宋简体" w:hAnsi="方正仿宋简体" w:eastAsia="方正仿宋简体" w:cs="方正仿宋简体"/>
          <w:color w:val="auto"/>
          <w:sz w:val="32"/>
          <w:szCs w:val="32"/>
          <w:highlight w:val="none"/>
          <w:lang w:val="fr-FR"/>
        </w:rPr>
        <w:t>分（未包含自评质量）。评价工作组初步评分</w:t>
      </w:r>
      <w:r>
        <w:rPr>
          <w:rFonts w:hint="default" w:ascii="Times New Roman" w:hAnsi="Times New Roman" w:eastAsia="方正仿宋简体" w:cs="Times New Roman"/>
          <w:color w:val="auto"/>
          <w:sz w:val="32"/>
          <w:szCs w:val="32"/>
          <w:highlight w:val="none"/>
          <w:lang w:val="en-US" w:eastAsia="zh-CN"/>
        </w:rPr>
        <w:t>77</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84</w:t>
      </w:r>
      <w:r>
        <w:rPr>
          <w:rFonts w:hint="eastAsia" w:ascii="方正仿宋简体" w:hAnsi="方正仿宋简体" w:eastAsia="方正仿宋简体" w:cs="方正仿宋简体"/>
          <w:color w:val="auto"/>
          <w:sz w:val="32"/>
          <w:szCs w:val="32"/>
          <w:highlight w:val="none"/>
          <w:lang w:val="fr-FR"/>
        </w:rPr>
        <w:t>分（不含自评质量</w:t>
      </w:r>
      <w:r>
        <w:rPr>
          <w:rFonts w:hint="default" w:ascii="Times New Roman" w:hAnsi="Times New Roman" w:eastAsia="方正仿宋简体" w:cs="Times New Roman"/>
          <w:color w:val="auto"/>
          <w:sz w:val="32"/>
          <w:szCs w:val="32"/>
          <w:highlight w:val="none"/>
          <w:lang w:val="fr-FR"/>
        </w:rPr>
        <w:t>10</w:t>
      </w:r>
      <w:r>
        <w:rPr>
          <w:rFonts w:hint="eastAsia" w:ascii="方正仿宋简体" w:hAnsi="方正仿宋简体" w:eastAsia="方正仿宋简体" w:cs="方正仿宋简体"/>
          <w:color w:val="auto"/>
          <w:sz w:val="32"/>
          <w:szCs w:val="32"/>
          <w:highlight w:val="none"/>
          <w:lang w:val="fr-FR"/>
        </w:rPr>
        <w:t>分），自评差异率</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22</w:t>
      </w:r>
      <w:r>
        <w:rPr>
          <w:rFonts w:hint="default" w:ascii="Times New Roman" w:hAnsi="Times New Roman" w:eastAsia="方正仿宋简体" w:cs="Times New Roman"/>
          <w:color w:val="auto"/>
          <w:sz w:val="32"/>
          <w:szCs w:val="32"/>
          <w:highlight w:val="none"/>
          <w:lang w:val="fr-FR"/>
        </w:rPr>
        <w:t>%</w:t>
      </w:r>
      <w:r>
        <w:rPr>
          <w:rFonts w:hint="eastAsia" w:ascii="方正仿宋简体" w:hAnsi="方正仿宋简体" w:eastAsia="方正仿宋简体" w:cs="方正仿宋简体"/>
          <w:color w:val="auto"/>
          <w:sz w:val="32"/>
          <w:szCs w:val="32"/>
          <w:highlight w:val="none"/>
          <w:lang w:val="fr-FR"/>
        </w:rPr>
        <w:t>。</w:t>
      </w:r>
    </w:p>
    <w:p w14:paraId="4FED53AA">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fr-FR"/>
        </w:rPr>
        <w:t>二级指标</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自评质量</w:t>
      </w:r>
      <w:r>
        <w:rPr>
          <w:rFonts w:hint="eastAsia" w:ascii="方正仿宋简体" w:hAnsi="方正仿宋简体" w:eastAsia="方正仿宋简体" w:cs="方正仿宋简体"/>
          <w:color w:val="auto"/>
          <w:sz w:val="32"/>
          <w:szCs w:val="32"/>
          <w:highlight w:val="none"/>
          <w:lang w:val="fr-FR" w:eastAsia="zh-CN"/>
        </w:rPr>
        <w:t>”</w:t>
      </w:r>
      <w:r>
        <w:rPr>
          <w:rFonts w:hint="eastAsia" w:ascii="方正仿宋简体" w:hAnsi="方正仿宋简体" w:eastAsia="方正仿宋简体" w:cs="方正仿宋简体"/>
          <w:color w:val="auto"/>
          <w:sz w:val="32"/>
          <w:szCs w:val="32"/>
          <w:highlight w:val="none"/>
          <w:lang w:val="fr-FR"/>
        </w:rPr>
        <w:t>指标分共计</w:t>
      </w:r>
      <w:r>
        <w:rPr>
          <w:rFonts w:hint="default" w:ascii="Times New Roman" w:hAnsi="Times New Roman" w:eastAsia="方正仿宋简体" w:cs="Times New Roman"/>
          <w:color w:val="auto"/>
          <w:sz w:val="32"/>
          <w:szCs w:val="32"/>
          <w:highlight w:val="none"/>
          <w:lang w:val="fr-FR"/>
        </w:rPr>
        <w:t>10</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分，扣除</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分，得分为</w:t>
      </w:r>
      <w:r>
        <w:rPr>
          <w:rFonts w:hint="default" w:ascii="Times New Roman" w:hAnsi="Times New Roman" w:eastAsia="方正仿宋简体" w:cs="Times New Roman"/>
          <w:color w:val="auto"/>
          <w:sz w:val="32"/>
          <w:szCs w:val="32"/>
          <w:highlight w:val="none"/>
          <w:lang w:val="en-US" w:eastAsia="zh-CN"/>
        </w:rPr>
        <w:t>6</w:t>
      </w:r>
      <w:r>
        <w:rPr>
          <w:rFonts w:hint="eastAsia" w:ascii="方正仿宋简体" w:hAnsi="方正仿宋简体" w:eastAsia="方正仿宋简体" w:cs="方正仿宋简体"/>
          <w:color w:val="auto"/>
          <w:sz w:val="32"/>
          <w:szCs w:val="32"/>
          <w:highlight w:val="none"/>
          <w:lang w:val="fr-FR"/>
        </w:rPr>
        <w:t>.</w:t>
      </w:r>
      <w:r>
        <w:rPr>
          <w:rFonts w:hint="default" w:ascii="Times New Roman" w:hAnsi="Times New Roman" w:eastAsia="方正仿宋简体" w:cs="Times New Roman"/>
          <w:color w:val="auto"/>
          <w:sz w:val="32"/>
          <w:szCs w:val="32"/>
          <w:highlight w:val="none"/>
          <w:lang w:val="fr-FR"/>
        </w:rPr>
        <w:t>00</w:t>
      </w:r>
      <w:r>
        <w:rPr>
          <w:rFonts w:hint="eastAsia" w:ascii="方正仿宋简体" w:hAnsi="方正仿宋简体" w:eastAsia="方正仿宋简体" w:cs="方正仿宋简体"/>
          <w:color w:val="auto"/>
          <w:sz w:val="32"/>
          <w:szCs w:val="32"/>
          <w:highlight w:val="none"/>
          <w:lang w:val="fr-FR"/>
        </w:rPr>
        <w:t>分。</w:t>
      </w:r>
    </w:p>
    <w:bookmarkEnd w:id="3"/>
    <w:p w14:paraId="6478B652">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46" w:name="_Toc30515"/>
      <w:bookmarkStart w:id="147" w:name="_Toc823448808"/>
      <w:bookmarkStart w:id="148" w:name="_Toc5060"/>
      <w:bookmarkStart w:id="149" w:name="_Toc248033833"/>
      <w:bookmarkStart w:id="150" w:name="_Toc14032"/>
      <w:bookmarkStart w:id="151" w:name="_Toc10734"/>
      <w:bookmarkStart w:id="152" w:name="_Toc13460"/>
      <w:bookmarkStart w:id="153" w:name="_Toc7622"/>
      <w:bookmarkStart w:id="154" w:name="_Toc14657"/>
      <w:bookmarkStart w:id="155" w:name="_Toc21218"/>
      <w:bookmarkStart w:id="156" w:name="_Toc4350"/>
      <w:bookmarkStart w:id="157" w:name="_Toc19973"/>
      <w:bookmarkStart w:id="158" w:name="_Toc8336"/>
      <w:r>
        <w:rPr>
          <w:rFonts w:hint="eastAsia" w:ascii="方正黑体简体" w:hAnsi="方正黑体简体" w:eastAsia="方正黑体简体" w:cs="方正黑体简体"/>
          <w:color w:val="auto"/>
          <w:kern w:val="0"/>
          <w:sz w:val="32"/>
          <w:szCs w:val="32"/>
          <w:highlight w:val="none"/>
          <w:shd w:val="clear" w:color="auto" w:fill="FFFFFF"/>
          <w:lang w:val="en-US" w:eastAsia="zh-CN"/>
        </w:rPr>
        <w:t>五</w:t>
      </w:r>
      <w:r>
        <w:rPr>
          <w:rFonts w:hint="eastAsia" w:ascii="方正黑体简体" w:hAnsi="方正黑体简体" w:eastAsia="方正黑体简体" w:cs="方正黑体简体"/>
          <w:color w:val="auto"/>
          <w:kern w:val="0"/>
          <w:sz w:val="32"/>
          <w:szCs w:val="32"/>
          <w:highlight w:val="none"/>
          <w:shd w:val="clear" w:color="auto" w:fill="FFFFFF"/>
        </w:rPr>
        <w:t>、存在的主要问题</w:t>
      </w:r>
      <w:bookmarkEnd w:id="146"/>
      <w:bookmarkEnd w:id="147"/>
      <w:bookmarkEnd w:id="148"/>
      <w:bookmarkEnd w:id="149"/>
      <w:bookmarkEnd w:id="150"/>
      <w:bookmarkEnd w:id="151"/>
      <w:bookmarkEnd w:id="152"/>
      <w:bookmarkEnd w:id="153"/>
      <w:bookmarkEnd w:id="154"/>
      <w:bookmarkEnd w:id="155"/>
      <w:bookmarkEnd w:id="156"/>
    </w:p>
    <w:p w14:paraId="7C445CE4">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楷体简体" w:hAnsi="方正楷体简体" w:eastAsia="方正楷体简体" w:cs="方正楷体简体"/>
          <w:color w:val="auto"/>
          <w:kern w:val="0"/>
          <w:sz w:val="32"/>
          <w:szCs w:val="32"/>
          <w:highlight w:val="none"/>
          <w:shd w:val="clear" w:color="auto" w:fill="FFFFFF"/>
          <w:lang w:val="zh-CN" w:eastAsia="zh"/>
        </w:rPr>
      </w:pPr>
      <w:bookmarkStart w:id="159" w:name="_Toc9656"/>
      <w:bookmarkStart w:id="160" w:name="_Toc29510"/>
      <w:bookmarkStart w:id="161" w:name="_Toc8389"/>
      <w:bookmarkStart w:id="162" w:name="_Toc8770"/>
      <w:bookmarkStart w:id="163" w:name="_Toc3386"/>
      <w:bookmarkStart w:id="164" w:name="_Toc28053"/>
      <w:bookmarkStart w:id="165" w:name="_Toc2519"/>
      <w:bookmarkStart w:id="166" w:name="_Toc28289"/>
      <w:bookmarkStart w:id="167" w:name="_Toc28522"/>
      <w:bookmarkStart w:id="168" w:name="_Toc352795849"/>
      <w:r>
        <w:rPr>
          <w:rFonts w:hint="eastAsia" w:ascii="方正楷体简体" w:hAnsi="方正楷体简体" w:eastAsia="方正楷体简体" w:cs="方正楷体简体"/>
          <w:color w:val="auto"/>
          <w:kern w:val="0"/>
          <w:sz w:val="32"/>
          <w:szCs w:val="32"/>
          <w:highlight w:val="none"/>
          <w:shd w:val="clear" w:color="auto" w:fill="FFFFFF"/>
          <w:lang w:val="zh-CN"/>
        </w:rPr>
        <w:t>（一）</w:t>
      </w:r>
      <w:bookmarkEnd w:id="159"/>
      <w:bookmarkEnd w:id="160"/>
      <w:bookmarkEnd w:id="161"/>
      <w:bookmarkEnd w:id="162"/>
      <w:bookmarkEnd w:id="163"/>
      <w:r>
        <w:rPr>
          <w:rFonts w:hint="eastAsia" w:ascii="方正楷体简体" w:hAnsi="方正楷体简体" w:eastAsia="方正楷体简体" w:cs="方正楷体简体"/>
          <w:color w:val="auto"/>
          <w:kern w:val="0"/>
          <w:sz w:val="32"/>
          <w:szCs w:val="32"/>
          <w:highlight w:val="none"/>
          <w:shd w:val="clear" w:color="auto" w:fill="FFFFFF"/>
          <w:lang w:val="en-US" w:eastAsia="zh-CN"/>
        </w:rPr>
        <w:t>绩效目标编制不规范</w:t>
      </w:r>
      <w:bookmarkEnd w:id="164"/>
      <w:bookmarkEnd w:id="165"/>
      <w:bookmarkEnd w:id="166"/>
      <w:bookmarkEnd w:id="167"/>
    </w:p>
    <w:bookmarkEnd w:id="168"/>
    <w:p w14:paraId="42801640">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169" w:name="_Toc771997543"/>
      <w:bookmarkStart w:id="170" w:name="_Toc464104487"/>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指标设置不合理。根据县委编办部门整体绩效目标表，编制时效指标、生态效益指标、可持续发展影响指标设置不合理，其中编制时效指标“深化事业单位改革”，指标值“完成”，该项指标设置与时效指标不匹配；编制生态效益指标“创新事业单位监管方式”，与生态效益指标不匹配；编制可持续影响指标“动态调整全县机构编制事项”，与可持续影响指标不匹配。</w:t>
      </w:r>
    </w:p>
    <w:p w14:paraId="69E33B25">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.指标设置不完整。根据“编制管理各项工作经费”项目绩效目标表，指标设置涵盖质量、时效、社会效益、经济成本以及满意度指标，但未编制数量指标，指标设置不完整。</w:t>
      </w:r>
    </w:p>
    <w:p w14:paraId="04520069">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color="auto" w:fill="FFFFFF"/>
          <w:lang w:eastAsia="zh"/>
        </w:rPr>
      </w:pPr>
      <w:bookmarkStart w:id="171" w:name="_Toc25183"/>
      <w:bookmarkStart w:id="172" w:name="_Toc13752"/>
      <w:bookmarkStart w:id="173" w:name="_Toc3456"/>
      <w:bookmarkStart w:id="174" w:name="_Toc14486"/>
      <w:r>
        <w:rPr>
          <w:rFonts w:hint="eastAsia" w:ascii="方正楷体简体" w:hAnsi="方正楷体简体" w:eastAsia="方正楷体简体" w:cs="方正楷体简体"/>
          <w:color w:val="auto"/>
          <w:kern w:val="0"/>
          <w:sz w:val="32"/>
          <w:szCs w:val="32"/>
          <w:highlight w:val="none"/>
          <w:shd w:val="clear" w:fill="FFFFFF"/>
          <w:lang w:val="en-US" w:eastAsia="zh" w:bidi="ar-SA"/>
        </w:rPr>
        <w:t>（二）</w:t>
      </w:r>
      <w:r>
        <w:rPr>
          <w:rFonts w:hint="eastAsia" w:ascii="方正楷体简体" w:hAnsi="方正楷体简体" w:eastAsia="方正楷体简体" w:cs="方正楷体简体"/>
          <w:color w:val="auto"/>
          <w:kern w:val="0"/>
          <w:sz w:val="32"/>
          <w:szCs w:val="32"/>
          <w:highlight w:val="none"/>
          <w:shd w:val="clear" w:color="auto" w:fill="FFFFFF"/>
          <w:lang w:eastAsia="zh"/>
        </w:rPr>
        <w:t>预算编制不准确</w:t>
      </w:r>
      <w:bookmarkEnd w:id="171"/>
      <w:bookmarkEnd w:id="172"/>
      <w:bookmarkEnd w:id="173"/>
      <w:bookmarkEnd w:id="174"/>
    </w:p>
    <w:p w14:paraId="2B9CEAA3">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175" w:name="_Toc10426"/>
      <w:bookmarkStart w:id="176" w:name="_Toc3240"/>
      <w:bookmarkStart w:id="177" w:name="_Toc31629"/>
      <w:bookmarkStart w:id="178" w:name="_Toc22968"/>
      <w:bookmarkStart w:id="179" w:name="_Toc15651"/>
      <w:r>
        <w:rPr>
          <w:rFonts w:hint="eastAsia" w:ascii="方正仿宋简体" w:hAnsi="方正仿宋简体" w:eastAsia="方正仿宋简体" w:cs="方正仿宋简体"/>
          <w:color w:val="auto"/>
          <w:sz w:val="32"/>
          <w:szCs w:val="32"/>
          <w:highlight w:val="none"/>
          <w:lang w:val="en-US" w:eastAsia="zh-CN"/>
        </w:rPr>
        <w:t>根据县委编办</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年预算、决算以及“可执行指标执行情况表”，本次重点关注</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年县委编办日常公用经费、项目支出中“办公费、印刷费、电费、印刷费、物业管理费”等</w:t>
      </w:r>
      <w:r>
        <w:rPr>
          <w:rFonts w:hint="default" w:ascii="Times New Roman" w:hAnsi="Times New Roman" w:eastAsia="方正仿宋简体" w:cs="Times New Roman"/>
          <w:color w:val="auto"/>
          <w:sz w:val="32"/>
          <w:szCs w:val="32"/>
          <w:highlight w:val="none"/>
          <w:lang w:val="en-US" w:eastAsia="zh-CN"/>
        </w:rPr>
        <w:t>12</w:t>
      </w:r>
      <w:r>
        <w:rPr>
          <w:rFonts w:hint="eastAsia" w:ascii="方正仿宋简体" w:hAnsi="方正仿宋简体" w:eastAsia="方正仿宋简体" w:cs="方正仿宋简体"/>
          <w:color w:val="auto"/>
          <w:sz w:val="32"/>
          <w:szCs w:val="32"/>
          <w:highlight w:val="none"/>
          <w:lang w:val="en-US" w:eastAsia="zh-CN"/>
        </w:rPr>
        <w:t>个科目，重点关注科目年初预算数合计</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46</w:t>
      </w:r>
      <w:r>
        <w:rPr>
          <w:rFonts w:hint="eastAsia" w:ascii="方正仿宋简体" w:hAnsi="方正仿宋简体" w:eastAsia="方正仿宋简体" w:cs="方正仿宋简体"/>
          <w:color w:val="auto"/>
          <w:sz w:val="32"/>
          <w:szCs w:val="32"/>
          <w:highlight w:val="none"/>
          <w:lang w:val="en-US" w:eastAsia="zh-CN"/>
        </w:rPr>
        <w:t xml:space="preserve"> 万元，决算数合计</w:t>
      </w:r>
      <w:r>
        <w:rPr>
          <w:rFonts w:hint="default" w:ascii="Times New Roman" w:hAnsi="Times New Roman" w:eastAsia="方正仿宋简体" w:cs="Times New Roman"/>
          <w:color w:val="auto"/>
          <w:sz w:val="32"/>
          <w:szCs w:val="32"/>
          <w:highlight w:val="none"/>
          <w:lang w:val="en-US" w:eastAsia="zh-CN"/>
        </w:rPr>
        <w:t>13</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09</w:t>
      </w:r>
      <w:r>
        <w:rPr>
          <w:rFonts w:hint="eastAsia" w:ascii="方正仿宋简体" w:hAnsi="方正仿宋简体" w:eastAsia="方正仿宋简体" w:cs="方正仿宋简体"/>
          <w:color w:val="auto"/>
          <w:sz w:val="32"/>
          <w:szCs w:val="32"/>
          <w:highlight w:val="none"/>
          <w:lang w:val="en-US" w:eastAsia="zh-CN"/>
        </w:rPr>
        <w:t>万元，总体预决算偏差率</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47%</w:t>
      </w:r>
      <w:r>
        <w:rPr>
          <w:rFonts w:hint="eastAsia" w:ascii="方正仿宋简体" w:hAnsi="方正仿宋简体" w:eastAsia="方正仿宋简体" w:cs="方正仿宋简体"/>
          <w:color w:val="auto"/>
          <w:sz w:val="32"/>
          <w:szCs w:val="32"/>
          <w:highlight w:val="none"/>
          <w:lang w:val="en-US" w:eastAsia="zh-CN"/>
        </w:rPr>
        <w:t>。其中公务接待费年初预算金额合计</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790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元，年末决算金额合计</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134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元，偏差度</w:t>
      </w:r>
      <w:r>
        <w:rPr>
          <w:rFonts w:hint="default" w:ascii="Times New Roman" w:hAnsi="Times New Roman" w:eastAsia="方正仿宋简体" w:cs="Times New Roman"/>
          <w:color w:val="auto"/>
          <w:sz w:val="32"/>
          <w:szCs w:val="32"/>
          <w:highlight w:val="none"/>
          <w:lang w:val="en-US" w:eastAsia="zh-CN"/>
        </w:rPr>
        <w:t>36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；高海拔取暖费年初预算金额合计</w:t>
      </w:r>
      <w:r>
        <w:rPr>
          <w:rFonts w:hint="default" w:ascii="Times New Roman" w:hAnsi="Times New Roman" w:eastAsia="方正仿宋简体" w:cs="Times New Roman"/>
          <w:color w:val="auto"/>
          <w:sz w:val="32"/>
          <w:szCs w:val="32"/>
          <w:highlight w:val="none"/>
          <w:lang w:val="en-US" w:eastAsia="zh-CN"/>
        </w:rPr>
        <w:t>24</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元，年末决算金额合计</w:t>
      </w:r>
      <w:r>
        <w:rPr>
          <w:rFonts w:hint="default" w:ascii="Times New Roman" w:hAnsi="Times New Roman" w:eastAsia="方正仿宋简体" w:cs="Times New Roman"/>
          <w:color w:val="auto"/>
          <w:sz w:val="32"/>
          <w:szCs w:val="32"/>
          <w:highlight w:val="none"/>
          <w:lang w:val="en-US" w:eastAsia="zh-CN"/>
        </w:rPr>
        <w:t>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元，偏差度</w:t>
      </w:r>
      <w:r>
        <w:rPr>
          <w:rFonts w:hint="default" w:ascii="Times New Roman" w:hAnsi="Times New Roman" w:eastAsia="方正仿宋简体" w:cs="Times New Roman"/>
          <w:color w:val="auto"/>
          <w:sz w:val="32"/>
          <w:szCs w:val="32"/>
          <w:highlight w:val="none"/>
          <w:lang w:val="en-US" w:eastAsia="zh-CN"/>
        </w:rPr>
        <w:t>100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w:t>
      </w:r>
    </w:p>
    <w:p w14:paraId="6C7F124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fill="FFFFFF"/>
          <w:lang w:val="en-US" w:eastAsia="zh" w:bidi="ar-SA"/>
        </w:rPr>
      </w:pPr>
      <w:bookmarkStart w:id="180" w:name="_Toc21888"/>
      <w:bookmarkStart w:id="181" w:name="_Toc18604"/>
      <w:bookmarkStart w:id="182" w:name="_Toc18422"/>
      <w:bookmarkStart w:id="183" w:name="_Toc32194"/>
      <w:r>
        <w:rPr>
          <w:rFonts w:hint="eastAsia" w:ascii="方正楷体简体" w:hAnsi="方正楷体简体" w:eastAsia="方正楷体简体" w:cs="方正楷体简体"/>
          <w:color w:val="auto"/>
          <w:kern w:val="0"/>
          <w:sz w:val="32"/>
          <w:szCs w:val="32"/>
          <w:highlight w:val="none"/>
          <w:shd w:val="clear" w:fill="FFFFFF"/>
          <w:lang w:val="en-US" w:eastAsia="zh" w:bidi="ar-SA"/>
        </w:rPr>
        <w:t>（三）制度</w:t>
      </w:r>
      <w:bookmarkEnd w:id="180"/>
      <w:r>
        <w:rPr>
          <w:rFonts w:hint="eastAsia" w:ascii="方正楷体简体" w:hAnsi="方正楷体简体" w:eastAsia="方正楷体简体" w:cs="方正楷体简体"/>
          <w:color w:val="auto"/>
          <w:kern w:val="0"/>
          <w:sz w:val="32"/>
          <w:szCs w:val="32"/>
          <w:highlight w:val="none"/>
          <w:shd w:val="clear" w:fill="FFFFFF"/>
          <w:lang w:val="en-US" w:eastAsia="zh-CN" w:bidi="ar-SA"/>
        </w:rPr>
        <w:t>建设不完善</w:t>
      </w:r>
      <w:bookmarkEnd w:id="181"/>
      <w:bookmarkEnd w:id="182"/>
      <w:bookmarkEnd w:id="183"/>
    </w:p>
    <w:p w14:paraId="74043F5E">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经查</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17</w:t>
      </w:r>
      <w:r>
        <w:rPr>
          <w:rFonts w:hint="eastAsia" w:ascii="方正仿宋简体" w:hAnsi="方正仿宋简体" w:eastAsia="方正仿宋简体" w:cs="方正仿宋简体"/>
          <w:color w:val="auto"/>
          <w:sz w:val="32"/>
          <w:szCs w:val="32"/>
          <w:highlight w:val="none"/>
          <w:lang w:val="en-US" w:eastAsia="zh-CN"/>
        </w:rPr>
        <w:t>号凭证，支付垫付加班餐费用</w:t>
      </w:r>
      <w:r>
        <w:rPr>
          <w:rFonts w:hint="default" w:ascii="Times New Roman" w:hAnsi="Times New Roman" w:eastAsia="方正仿宋简体" w:cs="Times New Roman"/>
          <w:color w:val="auto"/>
          <w:sz w:val="32"/>
          <w:szCs w:val="32"/>
          <w:highlight w:val="none"/>
          <w:lang w:val="en-US" w:eastAsia="zh-CN"/>
        </w:rPr>
        <w:t>185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20</w:t>
      </w:r>
      <w:r>
        <w:rPr>
          <w:rFonts w:hint="eastAsia" w:ascii="方正仿宋简体" w:hAnsi="方正仿宋简体" w:eastAsia="方正仿宋简体" w:cs="方正仿宋简体"/>
          <w:color w:val="auto"/>
          <w:sz w:val="32"/>
          <w:szCs w:val="32"/>
          <w:highlight w:val="none"/>
          <w:lang w:val="en-US" w:eastAsia="zh-CN"/>
        </w:rPr>
        <w:t>号凭证，县委编办支付工作加班餐费用</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426</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元。经了解，加班餐费标准为</w:t>
      </w:r>
      <w:r>
        <w:rPr>
          <w:rFonts w:hint="default" w:ascii="Times New Roman" w:hAnsi="Times New Roman" w:eastAsia="方正仿宋简体" w:cs="Times New Roman"/>
          <w:color w:val="auto"/>
          <w:sz w:val="32"/>
          <w:szCs w:val="32"/>
          <w:highlight w:val="none"/>
          <w:lang w:val="en-US" w:eastAsia="zh-CN"/>
        </w:rPr>
        <w:t>50</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元/人，但无相关制度文件，按照惯例标准发放，建议县委编办补充加班餐费相关管理制度。</w:t>
      </w:r>
    </w:p>
    <w:p w14:paraId="3BC33EE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fill="FFFFFF"/>
          <w:lang w:val="en-US" w:eastAsia="zh" w:bidi="ar-SA"/>
        </w:rPr>
      </w:pPr>
      <w:bookmarkStart w:id="184" w:name="_Toc29394"/>
      <w:bookmarkStart w:id="185" w:name="_Toc11151"/>
      <w:bookmarkStart w:id="186" w:name="_Toc9590"/>
      <w:bookmarkStart w:id="187" w:name="_Toc9022"/>
      <w:r>
        <w:rPr>
          <w:rFonts w:hint="eastAsia" w:ascii="方正楷体简体" w:hAnsi="方正楷体简体" w:eastAsia="方正楷体简体" w:cs="方正楷体简体"/>
          <w:color w:val="auto"/>
          <w:kern w:val="0"/>
          <w:sz w:val="32"/>
          <w:szCs w:val="32"/>
          <w:highlight w:val="none"/>
          <w:shd w:val="clear" w:fill="FFFFFF"/>
          <w:lang w:val="en-US" w:eastAsia="zh" w:bidi="ar-SA"/>
        </w:rPr>
        <w:t>（四）费用报销依据不充分</w:t>
      </w:r>
      <w:bookmarkEnd w:id="184"/>
      <w:bookmarkEnd w:id="185"/>
      <w:bookmarkEnd w:id="186"/>
      <w:bookmarkEnd w:id="187"/>
    </w:p>
    <w:p w14:paraId="25E7072D">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经查</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16</w:t>
      </w:r>
      <w:r>
        <w:rPr>
          <w:rFonts w:hint="eastAsia" w:ascii="方正仿宋简体" w:hAnsi="方正仿宋简体" w:eastAsia="方正仿宋简体" w:cs="方正仿宋简体"/>
          <w:color w:val="auto"/>
          <w:sz w:val="32"/>
          <w:szCs w:val="32"/>
          <w:highlight w:val="none"/>
          <w:lang w:val="en-US" w:eastAsia="zh-CN"/>
        </w:rPr>
        <w:t>号凭证，支付泸定县吉泽新能源技术有限贵公司编办分担的伙食团燃油费</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575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11</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9</w:t>
      </w:r>
      <w:r>
        <w:rPr>
          <w:rFonts w:hint="eastAsia" w:ascii="方正仿宋简体" w:hAnsi="方正仿宋简体" w:eastAsia="方正仿宋简体" w:cs="方正仿宋简体"/>
          <w:color w:val="auto"/>
          <w:sz w:val="32"/>
          <w:szCs w:val="32"/>
          <w:highlight w:val="none"/>
          <w:lang w:val="en-US" w:eastAsia="zh-CN"/>
        </w:rPr>
        <w:t>号凭证，支付杜永霞县委编办伙食团公杂费</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165</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65</w:t>
      </w:r>
      <w:r>
        <w:rPr>
          <w:rFonts w:hint="eastAsia" w:ascii="方正仿宋简体" w:hAnsi="方正仿宋简体" w:eastAsia="方正仿宋简体" w:cs="方正仿宋简体"/>
          <w:color w:val="auto"/>
          <w:sz w:val="32"/>
          <w:szCs w:val="32"/>
          <w:highlight w:val="none"/>
          <w:lang w:val="en-US" w:eastAsia="zh-CN"/>
        </w:rPr>
        <w:t>元（厨房日用品开支）；</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4</w:t>
      </w:r>
      <w:r>
        <w:rPr>
          <w:rFonts w:hint="eastAsia" w:ascii="方正仿宋简体" w:hAnsi="方正仿宋简体" w:eastAsia="方正仿宋简体" w:cs="方正仿宋简体"/>
          <w:color w:val="auto"/>
          <w:sz w:val="32"/>
          <w:szCs w:val="32"/>
          <w:highlight w:val="none"/>
          <w:lang w:val="en-US" w:eastAsia="zh-CN"/>
        </w:rPr>
        <w:t>月</w:t>
      </w:r>
      <w:r>
        <w:rPr>
          <w:rFonts w:hint="default" w:ascii="Times New Roman" w:hAnsi="Times New Roman" w:eastAsia="方正仿宋简体" w:cs="Times New Roman"/>
          <w:color w:val="auto"/>
          <w:sz w:val="32"/>
          <w:szCs w:val="32"/>
          <w:highlight w:val="none"/>
          <w:lang w:val="en-US" w:eastAsia="zh-CN"/>
        </w:rPr>
        <w:t>21</w:t>
      </w:r>
      <w:r>
        <w:rPr>
          <w:rFonts w:hint="eastAsia" w:ascii="方正仿宋简体" w:hAnsi="方正仿宋简体" w:eastAsia="方正仿宋简体" w:cs="方正仿宋简体"/>
          <w:color w:val="auto"/>
          <w:sz w:val="32"/>
          <w:szCs w:val="32"/>
          <w:highlight w:val="none"/>
          <w:lang w:val="en-US" w:eastAsia="zh-CN"/>
        </w:rPr>
        <w:t>号凭证，支付孙开祥（泸定县孙开祥蔬菜水果经营部法人）</w:t>
      </w:r>
      <w:r>
        <w:rPr>
          <w:rFonts w:hint="default" w:ascii="Times New Roman" w:hAnsi="Times New Roman" w:eastAsia="方正仿宋简体" w:cs="Times New Roman"/>
          <w:color w:val="auto"/>
          <w:sz w:val="32"/>
          <w:szCs w:val="32"/>
          <w:highlight w:val="none"/>
          <w:lang w:val="en-US" w:eastAsia="zh-CN"/>
        </w:rPr>
        <w:t>2023</w:t>
      </w:r>
      <w:r>
        <w:rPr>
          <w:rFonts w:hint="eastAsia" w:ascii="方正仿宋简体" w:hAnsi="方正仿宋简体" w:eastAsia="方正仿宋简体" w:cs="方正仿宋简体"/>
          <w:color w:val="auto"/>
          <w:sz w:val="32"/>
          <w:szCs w:val="32"/>
          <w:highlight w:val="none"/>
          <w:lang w:val="en-US" w:eastAsia="zh-CN"/>
        </w:rPr>
        <w:t>年</w:t>
      </w:r>
      <w:r>
        <w:rPr>
          <w:rFonts w:hint="default" w:ascii="Times New Roman" w:hAnsi="Times New Roman" w:eastAsia="方正仿宋简体" w:cs="Times New Roman"/>
          <w:color w:val="auto"/>
          <w:sz w:val="32"/>
          <w:szCs w:val="32"/>
          <w:highlight w:val="none"/>
          <w:lang w:val="en-US" w:eastAsia="zh-CN"/>
        </w:rPr>
        <w:t>1</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3</w:t>
      </w:r>
      <w:r>
        <w:rPr>
          <w:rFonts w:hint="eastAsia" w:ascii="方正仿宋简体" w:hAnsi="方正仿宋简体" w:eastAsia="方正仿宋简体" w:cs="方正仿宋简体"/>
          <w:color w:val="auto"/>
          <w:sz w:val="32"/>
          <w:szCs w:val="32"/>
          <w:highlight w:val="none"/>
          <w:lang w:val="en-US" w:eastAsia="zh-CN"/>
        </w:rPr>
        <w:t>月伙食团购买蔬菜单位补助部分费用</w:t>
      </w:r>
      <w:r>
        <w:rPr>
          <w:rFonts w:hint="default" w:ascii="Times New Roman" w:hAnsi="Times New Roman" w:eastAsia="方正仿宋简体" w:cs="Times New Roman"/>
          <w:color w:val="auto"/>
          <w:sz w:val="32"/>
          <w:szCs w:val="32"/>
          <w:highlight w:val="none"/>
          <w:lang w:val="en-US" w:eastAsia="zh-CN"/>
        </w:rPr>
        <w:t>2</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079</w:t>
      </w:r>
      <w:r>
        <w:rPr>
          <w:rFonts w:hint="eastAsia" w:ascii="方正仿宋简体" w:hAnsi="方正仿宋简体" w:eastAsia="方正仿宋简体" w:cs="方正仿宋简体"/>
          <w:color w:val="auto"/>
          <w:sz w:val="32"/>
          <w:szCs w:val="32"/>
          <w:highlight w:val="none"/>
          <w:lang w:val="en-US" w:eastAsia="zh-CN"/>
        </w:rPr>
        <w:t>.</w:t>
      </w:r>
      <w:r>
        <w:rPr>
          <w:rFonts w:hint="default" w:ascii="Times New Roman" w:hAnsi="Times New Roman" w:eastAsia="方正仿宋简体" w:cs="Times New Roman"/>
          <w:color w:val="auto"/>
          <w:sz w:val="32"/>
          <w:szCs w:val="32"/>
          <w:highlight w:val="none"/>
          <w:lang w:val="en-US" w:eastAsia="zh-CN"/>
        </w:rPr>
        <w:t>00</w:t>
      </w:r>
      <w:r>
        <w:rPr>
          <w:rFonts w:hint="eastAsia" w:ascii="方正仿宋简体" w:hAnsi="方正仿宋简体" w:eastAsia="方正仿宋简体" w:cs="方正仿宋简体"/>
          <w:color w:val="auto"/>
          <w:sz w:val="32"/>
          <w:szCs w:val="32"/>
          <w:highlight w:val="none"/>
          <w:lang w:val="en-US" w:eastAsia="zh-CN"/>
        </w:rPr>
        <w:t>元。据了解，县委办与县融媒体中心等四个单位共同承担食堂相关费用，并根据相关比列进行费用分摊支付给食堂，三笔凭证中未附费用分摊明细，且费用应支付给食堂。</w:t>
      </w:r>
    </w:p>
    <w:p w14:paraId="4EFDC167">
      <w:pPr>
        <w:keepNext w:val="0"/>
        <w:keepLines w:val="0"/>
        <w:pageBreakBefore w:val="0"/>
        <w:kinsoku/>
        <w:wordWrap/>
        <w:overflowPunct/>
        <w:topLinePunct w:val="0"/>
        <w:autoSpaceDE/>
        <w:autoSpaceDN/>
        <w:bidi w:val="0"/>
        <w:spacing w:line="600" w:lineRule="exact"/>
        <w:ind w:left="0" w:leftChars="0" w:right="0" w:rightChars="0" w:firstLine="560"/>
        <w:outlineLvl w:val="0"/>
        <w:rPr>
          <w:rFonts w:hint="eastAsia" w:ascii="方正黑体简体" w:hAnsi="方正黑体简体" w:eastAsia="方正黑体简体" w:cs="方正黑体简体"/>
          <w:color w:val="auto"/>
          <w:kern w:val="0"/>
          <w:sz w:val="32"/>
          <w:szCs w:val="32"/>
          <w:highlight w:val="none"/>
          <w:shd w:val="clear" w:color="auto" w:fill="FFFFFF"/>
        </w:rPr>
      </w:pPr>
      <w:bookmarkStart w:id="188" w:name="_Toc5049"/>
      <w:bookmarkStart w:id="189" w:name="_Toc31083"/>
      <w:bookmarkStart w:id="190" w:name="_Toc11461"/>
      <w:bookmarkStart w:id="191" w:name="_Toc1950"/>
      <w:r>
        <w:rPr>
          <w:rFonts w:hint="eastAsia" w:ascii="方正黑体简体" w:hAnsi="方正黑体简体" w:eastAsia="方正黑体简体" w:cs="方正黑体简体"/>
          <w:color w:val="auto"/>
          <w:kern w:val="0"/>
          <w:sz w:val="32"/>
          <w:szCs w:val="32"/>
          <w:highlight w:val="none"/>
          <w:shd w:val="clear" w:color="auto" w:fill="FFFFFF"/>
          <w:lang w:val="en-US" w:eastAsia="zh-CN"/>
        </w:rPr>
        <w:t>六</w:t>
      </w:r>
      <w:r>
        <w:rPr>
          <w:rFonts w:hint="eastAsia" w:ascii="方正黑体简体" w:hAnsi="方正黑体简体" w:eastAsia="方正黑体简体" w:cs="方正黑体简体"/>
          <w:color w:val="auto"/>
          <w:kern w:val="0"/>
          <w:sz w:val="32"/>
          <w:szCs w:val="32"/>
          <w:highlight w:val="none"/>
          <w:shd w:val="clear" w:color="auto" w:fill="FFFFFF"/>
        </w:rPr>
        <w:t>、相关措施建议</w:t>
      </w:r>
      <w:bookmarkEnd w:id="169"/>
      <w:bookmarkEnd w:id="170"/>
      <w:bookmarkEnd w:id="175"/>
      <w:bookmarkEnd w:id="176"/>
      <w:bookmarkEnd w:id="177"/>
      <w:bookmarkEnd w:id="178"/>
      <w:bookmarkEnd w:id="179"/>
      <w:bookmarkEnd w:id="188"/>
      <w:bookmarkEnd w:id="189"/>
      <w:bookmarkEnd w:id="190"/>
      <w:bookmarkEnd w:id="191"/>
    </w:p>
    <w:p w14:paraId="51A15295">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fill="FFFFFF"/>
          <w:lang w:val="en-US" w:eastAsia="zh-CN" w:bidi="ar-SA"/>
        </w:rPr>
      </w:pPr>
      <w:bookmarkStart w:id="192" w:name="_Toc19941"/>
      <w:bookmarkStart w:id="193" w:name="_Toc10202"/>
      <w:bookmarkStart w:id="194" w:name="_Toc22365"/>
      <w:bookmarkStart w:id="195" w:name="_Toc16889"/>
      <w:bookmarkStart w:id="196" w:name="_Toc25014"/>
      <w:bookmarkStart w:id="197" w:name="_Toc19759"/>
      <w:bookmarkStart w:id="198" w:name="_Toc10843"/>
      <w:bookmarkStart w:id="199" w:name="_Toc10383"/>
      <w:bookmarkStart w:id="200" w:name="_Toc24440"/>
      <w:r>
        <w:rPr>
          <w:rFonts w:hint="eastAsia" w:ascii="方正楷体简体" w:hAnsi="方正楷体简体" w:eastAsia="方正楷体简体" w:cs="方正楷体简体"/>
          <w:color w:val="auto"/>
          <w:kern w:val="0"/>
          <w:sz w:val="32"/>
          <w:szCs w:val="32"/>
          <w:highlight w:val="none"/>
          <w:shd w:val="clear" w:fill="FFFFFF"/>
          <w:lang w:val="en-US" w:eastAsia="zh" w:bidi="ar-SA"/>
        </w:rPr>
        <w:t>（一）</w:t>
      </w:r>
      <w:bookmarkEnd w:id="192"/>
      <w:bookmarkEnd w:id="193"/>
      <w:bookmarkEnd w:id="194"/>
      <w:bookmarkEnd w:id="195"/>
      <w:bookmarkEnd w:id="196"/>
      <w:bookmarkEnd w:id="197"/>
      <w:bookmarkEnd w:id="198"/>
      <w:bookmarkEnd w:id="199"/>
      <w:r>
        <w:rPr>
          <w:rFonts w:hint="eastAsia" w:ascii="方正楷体简体" w:hAnsi="方正楷体简体" w:eastAsia="方正楷体简体" w:cs="方正楷体简体"/>
          <w:color w:val="auto"/>
          <w:kern w:val="0"/>
          <w:sz w:val="32"/>
          <w:szCs w:val="32"/>
          <w:highlight w:val="none"/>
          <w:shd w:val="clear" w:fill="FFFFFF"/>
          <w:lang w:val="en-US" w:eastAsia="zh-CN" w:bidi="ar-SA"/>
        </w:rPr>
        <w:t>针对“绩效目标编制不规范”的建议</w:t>
      </w:r>
      <w:bookmarkEnd w:id="200"/>
    </w:p>
    <w:p w14:paraId="49E10E7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bookmarkStart w:id="201" w:name="_Toc12805"/>
      <w:bookmarkStart w:id="202" w:name="_Toc24455"/>
      <w:bookmarkStart w:id="203" w:name="_Toc7397"/>
      <w:bookmarkStart w:id="204" w:name="_Toc31667"/>
      <w:bookmarkStart w:id="205" w:name="_Toc22132"/>
      <w:r>
        <w:rPr>
          <w:rFonts w:hint="eastAsia" w:ascii="方正仿宋简体" w:hAnsi="方正仿宋简体" w:eastAsia="方正仿宋简体" w:cs="方正仿宋简体"/>
          <w:color w:val="auto"/>
          <w:sz w:val="32"/>
          <w:szCs w:val="32"/>
          <w:highlight w:val="none"/>
          <w:lang w:val="en-US" w:eastAsia="zh-CN"/>
        </w:rPr>
        <w:t>建议：县委编办一是落实绩效管理主体责任，扎实开展前期调研，收集项目相关数据，科学合理测算绩效目标；二是制定编制绩效目标工作流程，重点突出财务部门的审核责任，要求各业务部门在上报绩效目标时，需提供目标值测算依据。</w:t>
      </w:r>
    </w:p>
    <w:p w14:paraId="2DF82E7A">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fill="FFFFFF"/>
          <w:lang w:val="en-US" w:eastAsia="zh-CN" w:bidi="ar-SA"/>
        </w:rPr>
      </w:pPr>
      <w:bookmarkStart w:id="206" w:name="_Toc8484"/>
      <w:bookmarkStart w:id="207" w:name="_Toc25533"/>
      <w:bookmarkStart w:id="208" w:name="_Toc27187"/>
      <w:bookmarkStart w:id="209" w:name="_Toc25930"/>
      <w:r>
        <w:rPr>
          <w:rFonts w:hint="eastAsia" w:ascii="方正楷体简体" w:hAnsi="方正楷体简体" w:eastAsia="方正楷体简体" w:cs="方正楷体简体"/>
          <w:color w:val="auto"/>
          <w:kern w:val="0"/>
          <w:sz w:val="32"/>
          <w:szCs w:val="32"/>
          <w:highlight w:val="none"/>
          <w:shd w:val="clear" w:fill="FFFFFF"/>
          <w:lang w:val="en-US" w:eastAsia="zh" w:bidi="ar-SA"/>
        </w:rPr>
        <w:t>（二）</w:t>
      </w:r>
      <w:bookmarkEnd w:id="201"/>
      <w:bookmarkEnd w:id="202"/>
      <w:bookmarkEnd w:id="203"/>
      <w:bookmarkEnd w:id="204"/>
      <w:bookmarkEnd w:id="205"/>
      <w:bookmarkEnd w:id="206"/>
      <w:bookmarkEnd w:id="207"/>
      <w:bookmarkEnd w:id="208"/>
      <w:r>
        <w:rPr>
          <w:rFonts w:hint="eastAsia" w:ascii="方正楷体简体" w:hAnsi="方正楷体简体" w:eastAsia="方正楷体简体" w:cs="方正楷体简体"/>
          <w:color w:val="auto"/>
          <w:kern w:val="0"/>
          <w:sz w:val="32"/>
          <w:szCs w:val="32"/>
          <w:highlight w:val="none"/>
          <w:shd w:val="clear" w:fill="FFFFFF"/>
          <w:lang w:val="en-US" w:eastAsia="zh-CN" w:bidi="ar-SA"/>
        </w:rPr>
        <w:t>针对“</w:t>
      </w:r>
      <w:r>
        <w:rPr>
          <w:rFonts w:hint="eastAsia" w:ascii="方正楷体简体" w:hAnsi="方正楷体简体" w:eastAsia="方正楷体简体" w:cs="方正楷体简体"/>
          <w:color w:val="auto"/>
          <w:kern w:val="0"/>
          <w:sz w:val="32"/>
          <w:szCs w:val="32"/>
          <w:highlight w:val="none"/>
          <w:shd w:val="clear" w:fill="FFFFFF"/>
          <w:lang w:val="en-US" w:eastAsia="zh" w:bidi="ar-SA"/>
        </w:rPr>
        <w:t>预算编制不准确</w:t>
      </w:r>
      <w:r>
        <w:rPr>
          <w:rFonts w:hint="eastAsia" w:ascii="方正楷体简体" w:hAnsi="方正楷体简体" w:eastAsia="方正楷体简体" w:cs="方正楷体简体"/>
          <w:color w:val="auto"/>
          <w:kern w:val="0"/>
          <w:sz w:val="32"/>
          <w:szCs w:val="32"/>
          <w:highlight w:val="none"/>
          <w:shd w:val="clear" w:fill="FFFFFF"/>
          <w:lang w:val="en-US" w:eastAsia="zh-CN" w:bidi="ar-SA"/>
        </w:rPr>
        <w:t>”的建议</w:t>
      </w:r>
      <w:bookmarkEnd w:id="209"/>
    </w:p>
    <w:p w14:paraId="0DEDFB67">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CN"/>
        </w:rPr>
      </w:pPr>
      <w:r>
        <w:rPr>
          <w:rFonts w:hint="eastAsia" w:ascii="方正仿宋简体" w:hAnsi="方正仿宋简体" w:eastAsia="方正仿宋简体" w:cs="方正仿宋简体"/>
          <w:color w:val="auto"/>
          <w:sz w:val="32"/>
          <w:szCs w:val="32"/>
          <w:highlight w:val="none"/>
          <w:lang w:val="en-US" w:eastAsia="zh-CN"/>
        </w:rPr>
        <w:t>建议：县委编办一是加强部门前期各项费用预算测算，全面搜集对比往年费用支出数据，准确编制部门预算；二是可以采取“一校验、三比对、一复核”的方法，严把预算编制源头关，确保预算审核数据的客观公正。</w:t>
      </w:r>
    </w:p>
    <w:p w14:paraId="26E7ABBB">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fill="FFFFFF"/>
          <w:lang w:val="en-US" w:eastAsia="zh-CN" w:bidi="ar-SA"/>
        </w:rPr>
      </w:pPr>
      <w:bookmarkStart w:id="210" w:name="_Toc12267"/>
      <w:bookmarkStart w:id="211" w:name="_Toc13583"/>
      <w:bookmarkStart w:id="212" w:name="_Toc26373"/>
      <w:bookmarkStart w:id="213" w:name="_Toc30565"/>
      <w:r>
        <w:rPr>
          <w:rFonts w:hint="eastAsia" w:ascii="方正楷体简体" w:hAnsi="方正楷体简体" w:eastAsia="方正楷体简体" w:cs="方正楷体简体"/>
          <w:color w:val="auto"/>
          <w:kern w:val="0"/>
          <w:sz w:val="32"/>
          <w:szCs w:val="32"/>
          <w:highlight w:val="none"/>
          <w:shd w:val="clear" w:fill="FFFFFF"/>
          <w:lang w:val="en-US" w:eastAsia="zh-CN" w:bidi="ar-SA"/>
        </w:rPr>
        <w:t>（三）针对“</w:t>
      </w:r>
      <w:r>
        <w:rPr>
          <w:rFonts w:hint="eastAsia" w:ascii="方正楷体简体" w:hAnsi="方正楷体简体" w:eastAsia="方正楷体简体" w:cs="方正楷体简体"/>
          <w:color w:val="auto"/>
          <w:kern w:val="0"/>
          <w:sz w:val="32"/>
          <w:szCs w:val="32"/>
          <w:highlight w:val="none"/>
          <w:shd w:val="clear" w:fill="FFFFFF"/>
          <w:lang w:val="en-US" w:eastAsia="zh" w:bidi="ar-SA"/>
        </w:rPr>
        <w:t>制度建设不完善</w:t>
      </w:r>
      <w:r>
        <w:rPr>
          <w:rFonts w:hint="eastAsia" w:ascii="方正楷体简体" w:hAnsi="方正楷体简体" w:eastAsia="方正楷体简体" w:cs="方正楷体简体"/>
          <w:color w:val="auto"/>
          <w:kern w:val="0"/>
          <w:sz w:val="32"/>
          <w:szCs w:val="32"/>
          <w:highlight w:val="none"/>
          <w:shd w:val="clear" w:fill="FFFFFF"/>
          <w:lang w:val="en-US" w:eastAsia="zh-CN" w:bidi="ar-SA"/>
        </w:rPr>
        <w:t>”的建议</w:t>
      </w:r>
      <w:bookmarkEnd w:id="210"/>
      <w:bookmarkEnd w:id="211"/>
      <w:bookmarkEnd w:id="212"/>
      <w:bookmarkEnd w:id="213"/>
    </w:p>
    <w:p w14:paraId="2483B7DF">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fr-FR"/>
        </w:rPr>
      </w:pPr>
      <w:r>
        <w:rPr>
          <w:rFonts w:hint="eastAsia" w:ascii="方正仿宋简体" w:hAnsi="方正仿宋简体" w:eastAsia="方正仿宋简体" w:cs="方正仿宋简体"/>
          <w:color w:val="auto"/>
          <w:sz w:val="32"/>
          <w:szCs w:val="32"/>
          <w:highlight w:val="none"/>
          <w:lang w:val="en-US" w:eastAsia="zh-CN"/>
        </w:rPr>
        <w:t>建议：县委编办一是对现有各项管理制度进一步细化，责任落实人、加大费用监管力度；二是针对单位各项费用报销，建立具体的管理制度，明确费用报销范围及标准，费用报销有依有据，保障资金使用合规、有效。</w:t>
      </w:r>
    </w:p>
    <w:p w14:paraId="6C852CF1">
      <w:pPr>
        <w:keepNext w:val="0"/>
        <w:keepLines w:val="0"/>
        <w:pageBreakBefore w:val="0"/>
        <w:numPr>
          <w:ilvl w:val="0"/>
          <w:numId w:val="0"/>
        </w:numPr>
        <w:kinsoku/>
        <w:wordWrap/>
        <w:overflowPunct/>
        <w:topLinePunct w:val="0"/>
        <w:autoSpaceDE/>
        <w:autoSpaceDN/>
        <w:bidi w:val="0"/>
        <w:spacing w:line="600" w:lineRule="exact"/>
        <w:ind w:left="0" w:leftChars="0" w:firstLine="640" w:firstLineChars="200"/>
        <w:outlineLvl w:val="1"/>
        <w:rPr>
          <w:rFonts w:hint="eastAsia" w:ascii="方正楷体简体" w:hAnsi="方正楷体简体" w:eastAsia="方正楷体简体" w:cs="方正楷体简体"/>
          <w:color w:val="auto"/>
          <w:kern w:val="0"/>
          <w:sz w:val="32"/>
          <w:szCs w:val="32"/>
          <w:highlight w:val="none"/>
          <w:shd w:val="clear" w:fill="FFFFFF"/>
          <w:lang w:val="en-US" w:eastAsia="zh-CN" w:bidi="ar-SA"/>
        </w:rPr>
      </w:pPr>
      <w:bookmarkStart w:id="214" w:name="_Toc158"/>
      <w:bookmarkStart w:id="215" w:name="_Toc24189"/>
      <w:bookmarkStart w:id="216" w:name="_Toc13132"/>
      <w:bookmarkStart w:id="217" w:name="_Toc19699"/>
      <w:r>
        <w:rPr>
          <w:rFonts w:hint="eastAsia" w:ascii="方正楷体简体" w:hAnsi="方正楷体简体" w:eastAsia="方正楷体简体" w:cs="方正楷体简体"/>
          <w:color w:val="auto"/>
          <w:kern w:val="0"/>
          <w:sz w:val="32"/>
          <w:szCs w:val="32"/>
          <w:highlight w:val="none"/>
          <w:shd w:val="clear" w:fill="FFFFFF"/>
          <w:lang w:val="en-US" w:eastAsia="zh" w:bidi="ar-SA"/>
        </w:rPr>
        <w:t>（</w:t>
      </w:r>
      <w:r>
        <w:rPr>
          <w:rFonts w:hint="eastAsia" w:ascii="方正楷体简体" w:hAnsi="方正楷体简体" w:eastAsia="方正楷体简体" w:cs="方正楷体简体"/>
          <w:color w:val="auto"/>
          <w:kern w:val="0"/>
          <w:sz w:val="32"/>
          <w:szCs w:val="32"/>
          <w:highlight w:val="none"/>
          <w:shd w:val="clear" w:fill="FFFFFF"/>
          <w:lang w:val="en-US" w:eastAsia="zh-CN" w:bidi="ar-SA"/>
        </w:rPr>
        <w:t>四</w:t>
      </w:r>
      <w:r>
        <w:rPr>
          <w:rFonts w:hint="eastAsia" w:ascii="方正楷体简体" w:hAnsi="方正楷体简体" w:eastAsia="方正楷体简体" w:cs="方正楷体简体"/>
          <w:color w:val="auto"/>
          <w:kern w:val="0"/>
          <w:sz w:val="32"/>
          <w:szCs w:val="32"/>
          <w:highlight w:val="none"/>
          <w:shd w:val="clear" w:fill="FFFFFF"/>
          <w:lang w:val="en-US" w:eastAsia="zh" w:bidi="ar-SA"/>
        </w:rPr>
        <w:t>）</w:t>
      </w:r>
      <w:r>
        <w:rPr>
          <w:rFonts w:hint="eastAsia" w:ascii="方正楷体简体" w:hAnsi="方正楷体简体" w:eastAsia="方正楷体简体" w:cs="方正楷体简体"/>
          <w:color w:val="auto"/>
          <w:kern w:val="0"/>
          <w:sz w:val="32"/>
          <w:szCs w:val="32"/>
          <w:highlight w:val="none"/>
          <w:shd w:val="clear" w:fill="FFFFFF"/>
          <w:lang w:val="en-US" w:eastAsia="zh-CN" w:bidi="ar-SA"/>
        </w:rPr>
        <w:t>针对“</w:t>
      </w:r>
      <w:r>
        <w:rPr>
          <w:rFonts w:hint="eastAsia" w:ascii="方正楷体简体" w:hAnsi="方正楷体简体" w:eastAsia="方正楷体简体" w:cs="方正楷体简体"/>
          <w:color w:val="auto"/>
          <w:kern w:val="0"/>
          <w:sz w:val="32"/>
          <w:szCs w:val="32"/>
          <w:highlight w:val="none"/>
          <w:shd w:val="clear" w:fill="FFFFFF"/>
          <w:lang w:val="en-US" w:eastAsia="zh" w:bidi="ar-SA"/>
        </w:rPr>
        <w:t>费用报销依据不充分</w:t>
      </w:r>
      <w:r>
        <w:rPr>
          <w:rFonts w:hint="eastAsia" w:ascii="方正楷体简体" w:hAnsi="方正楷体简体" w:eastAsia="方正楷体简体" w:cs="方正楷体简体"/>
          <w:color w:val="auto"/>
          <w:kern w:val="0"/>
          <w:sz w:val="32"/>
          <w:szCs w:val="32"/>
          <w:highlight w:val="none"/>
          <w:shd w:val="clear" w:fill="FFFFFF"/>
          <w:lang w:val="en-US" w:eastAsia="zh-CN" w:bidi="ar-SA"/>
        </w:rPr>
        <w:t>”的建议</w:t>
      </w:r>
      <w:bookmarkEnd w:id="214"/>
      <w:bookmarkEnd w:id="215"/>
      <w:bookmarkEnd w:id="216"/>
      <w:bookmarkEnd w:id="217"/>
    </w:p>
    <w:p w14:paraId="1817930C">
      <w:pPr>
        <w:keepNext w:val="0"/>
        <w:keepLines w:val="0"/>
        <w:pageBreakBefore w:val="0"/>
        <w:kinsoku/>
        <w:wordWrap/>
        <w:overflowPunct/>
        <w:topLinePunct w:val="0"/>
        <w:autoSpaceDE/>
        <w:autoSpaceDN/>
        <w:bidi w:val="0"/>
        <w:spacing w:line="600" w:lineRule="exact"/>
        <w:ind w:left="0" w:leftChars="0" w:right="0" w:rightChars="0" w:firstLine="560"/>
        <w:rPr>
          <w:rFonts w:hint="eastAsia" w:ascii="方正仿宋简体" w:hAnsi="方正仿宋简体" w:eastAsia="方正仿宋简体" w:cs="方正仿宋简体"/>
          <w:color w:val="auto"/>
          <w:sz w:val="32"/>
          <w:szCs w:val="32"/>
          <w:highlight w:val="none"/>
          <w:lang w:val="en-US" w:eastAsia="zh"/>
        </w:rPr>
      </w:pPr>
      <w:r>
        <w:rPr>
          <w:rFonts w:hint="eastAsia" w:ascii="方正仿宋简体" w:hAnsi="方正仿宋简体" w:eastAsia="方正仿宋简体" w:cs="方正仿宋简体"/>
          <w:color w:val="auto"/>
          <w:sz w:val="32"/>
          <w:szCs w:val="32"/>
          <w:highlight w:val="none"/>
          <w:lang w:val="en-US" w:eastAsia="zh-CN"/>
        </w:rPr>
        <w:t>建议县：委编办一是加强财务人员培训力度，提高财务人员职业专业性，二是建议应进一步强化单位职能职责履行情况，对各项费用使用情况进行实时监管，做到资金使用合规、有效。</w:t>
      </w:r>
    </w:p>
    <w:p w14:paraId="7DCAA2FF">
      <w:pPr>
        <w:keepNext w:val="0"/>
        <w:keepLines w:val="0"/>
        <w:pageBreakBefore w:val="0"/>
        <w:kinsoku/>
        <w:wordWrap/>
        <w:overflowPunct/>
        <w:topLinePunct w:val="0"/>
        <w:autoSpaceDE/>
        <w:autoSpaceDN/>
        <w:bidi w:val="0"/>
        <w:spacing w:line="600" w:lineRule="exact"/>
        <w:ind w:left="0" w:firstLine="560"/>
        <w:rPr>
          <w:rFonts w:hint="eastAsia" w:ascii="方正仿宋简体" w:hAnsi="方正仿宋简体" w:eastAsia="方正仿宋简体" w:cs="方正仿宋简体"/>
          <w:color w:val="auto"/>
          <w:sz w:val="32"/>
          <w:szCs w:val="32"/>
          <w:highlight w:val="none"/>
          <w:shd w:val="clear" w:color="auto" w:fill="FFFFFF"/>
        </w:rPr>
      </w:pPr>
    </w:p>
    <w:p w14:paraId="41CD81EA">
      <w:pPr>
        <w:keepNext w:val="0"/>
        <w:keepLines w:val="0"/>
        <w:pageBreakBefore w:val="0"/>
        <w:kinsoku/>
        <w:wordWrap/>
        <w:overflowPunct/>
        <w:topLinePunct w:val="0"/>
        <w:autoSpaceDE/>
        <w:autoSpaceDN/>
        <w:bidi w:val="0"/>
        <w:spacing w:line="600" w:lineRule="exact"/>
        <w:ind w:left="1598" w:leftChars="228" w:hanging="960" w:hangingChars="300"/>
        <w:rPr>
          <w:rFonts w:hint="eastAsia" w:ascii="方正仿宋简体" w:hAnsi="方正仿宋简体" w:eastAsia="方正仿宋简体" w:cs="方正仿宋简体"/>
          <w:color w:val="auto"/>
          <w:sz w:val="32"/>
          <w:szCs w:val="32"/>
          <w:highlight w:val="none"/>
          <w:lang w:eastAsia="zh"/>
        </w:rPr>
      </w:pPr>
      <w:r>
        <w:rPr>
          <w:rFonts w:hint="eastAsia" w:ascii="方正仿宋简体" w:hAnsi="方正仿宋简体" w:eastAsia="方正仿宋简体" w:cs="方正仿宋简体"/>
          <w:color w:val="auto"/>
          <w:sz w:val="32"/>
          <w:szCs w:val="32"/>
          <w:highlight w:val="none"/>
          <w:shd w:val="clear" w:color="auto" w:fill="FFFFFF"/>
        </w:rPr>
        <w:t>附件</w:t>
      </w:r>
      <w:bookmarkEnd w:id="157"/>
      <w:bookmarkEnd w:id="158"/>
      <w:r>
        <w:rPr>
          <w:rFonts w:hint="eastAsia" w:ascii="方正仿宋简体" w:hAnsi="方正仿宋简体" w:eastAsia="方正仿宋简体" w:cs="方正仿宋简体"/>
          <w:color w:val="auto"/>
          <w:sz w:val="32"/>
          <w:szCs w:val="32"/>
          <w:highlight w:val="none"/>
          <w:shd w:val="clear" w:color="auto" w:fill="FFFFFF"/>
          <w:lang w:eastAsia="zh"/>
        </w:rPr>
        <w:t>：</w:t>
      </w:r>
      <w:r>
        <w:rPr>
          <w:rFonts w:hint="eastAsia" w:ascii="方正仿宋简体" w:hAnsi="方正仿宋简体" w:eastAsia="方正仿宋简体" w:cs="方正仿宋简体"/>
          <w:color w:val="auto"/>
          <w:sz w:val="32"/>
          <w:szCs w:val="32"/>
          <w:highlight w:val="none"/>
          <w:shd w:val="clear" w:color="auto" w:fill="FFFFFF"/>
          <w:lang w:val="fr-FR" w:eastAsia="zh"/>
        </w:rPr>
        <w:t>中共泸定县委机构编制委员会办公室</w:t>
      </w:r>
      <w:r>
        <w:rPr>
          <w:rFonts w:hint="eastAsia" w:ascii="方正仿宋简体" w:hAnsi="方正仿宋简体" w:eastAsia="方正仿宋简体" w:cs="方正仿宋简体"/>
          <w:color w:val="auto"/>
          <w:sz w:val="32"/>
          <w:szCs w:val="32"/>
          <w:highlight w:val="none"/>
          <w:lang w:eastAsia="zh"/>
        </w:rPr>
        <w:t>部门整体支出绩效评价指标评分表</w:t>
      </w:r>
    </w:p>
    <w:p w14:paraId="3A5D8035">
      <w:pPr>
        <w:rPr>
          <w:rFonts w:hint="eastAsia" w:ascii="方正仿宋简体" w:hAnsi="方正仿宋简体" w:eastAsia="方正仿宋简体" w:cs="方正仿宋简体"/>
          <w:color w:val="auto"/>
          <w:sz w:val="32"/>
          <w:szCs w:val="32"/>
          <w:highlight w:val="none"/>
          <w:lang w:eastAsia="zh"/>
        </w:rPr>
      </w:pPr>
      <w:bookmarkStart w:id="218" w:name="_GoBack"/>
      <w:bookmarkEnd w:id="218"/>
    </w:p>
    <w:p w14:paraId="0DC4767D">
      <w:pPr>
        <w:pStyle w:val="2"/>
        <w:rPr>
          <w:rFonts w:hint="eastAsia"/>
          <w:highlight w:val="none"/>
          <w:lang w:eastAsia="zh"/>
        </w:rPr>
      </w:pPr>
    </w:p>
    <w:p w14:paraId="6C77B4ED">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val="en-US" w:eastAsia="zh-CN"/>
        </w:rPr>
      </w:pPr>
      <w:r>
        <w:rPr>
          <w:rFonts w:hint="eastAsia" w:ascii="方正仿宋简体" w:hAnsi="方正仿宋简体" w:eastAsia="方正仿宋简体" w:cs="方正仿宋简体"/>
          <w:b w:val="0"/>
          <w:bCs w:val="0"/>
          <w:sz w:val="32"/>
          <w:szCs w:val="32"/>
          <w:highlight w:val="none"/>
          <w:lang w:eastAsia="zh-CN"/>
        </w:rPr>
        <w:t>　　　　</w:t>
      </w:r>
    </w:p>
    <w:p w14:paraId="2B19F59B">
      <w:pPr>
        <w:keepNext w:val="0"/>
        <w:keepLines w:val="0"/>
        <w:pageBreakBefore w:val="0"/>
        <w:widowControl w:val="0"/>
        <w:kinsoku/>
        <w:wordWrap/>
        <w:overflowPunct/>
        <w:topLinePunct w:val="0"/>
        <w:autoSpaceDE/>
        <w:autoSpaceDN/>
        <w:bidi w:val="0"/>
        <w:adjustRightInd/>
        <w:snapToGrid/>
        <w:spacing w:line="600" w:lineRule="exact"/>
        <w:ind w:left="0"/>
        <w:jc w:val="center"/>
        <w:textAlignment w:val="auto"/>
        <w:rPr>
          <w:rFonts w:hint="eastAsia" w:ascii="方正仿宋简体" w:hAnsi="方正仿宋简体" w:eastAsia="方正仿宋简体" w:cs="方正仿宋简体"/>
          <w:b w:val="0"/>
          <w:bCs w:val="0"/>
          <w:sz w:val="32"/>
          <w:szCs w:val="32"/>
          <w:highlight w:val="none"/>
          <w:lang w:eastAsia="zh-CN"/>
        </w:rPr>
      </w:pPr>
      <w:r>
        <w:rPr>
          <w:rFonts w:hint="eastAsia" w:ascii="方正仿宋简体" w:hAnsi="方正仿宋简体" w:eastAsia="方正仿宋简体" w:cs="方正仿宋简体"/>
          <w:b w:val="0"/>
          <w:bCs w:val="0"/>
          <w:sz w:val="32"/>
          <w:szCs w:val="32"/>
          <w:highlight w:val="none"/>
          <w:lang w:eastAsia="zh-CN"/>
        </w:rPr>
        <w:t>　　　　　　　　　　　</w:t>
      </w:r>
      <w:r>
        <w:rPr>
          <w:rFonts w:hint="eastAsia" w:ascii="方正仿宋简体" w:hAnsi="方正仿宋简体" w:eastAsia="方正仿宋简体" w:cs="方正仿宋简体"/>
          <w:b w:val="0"/>
          <w:bCs w:val="0"/>
          <w:sz w:val="32"/>
          <w:szCs w:val="32"/>
          <w:highlight w:val="none"/>
        </w:rPr>
        <w:t>二〇二四年九月一日</w:t>
      </w:r>
    </w:p>
    <w:p w14:paraId="41AC1466">
      <w:pPr>
        <w:pStyle w:val="2"/>
        <w:keepNext w:val="0"/>
        <w:keepLines w:val="0"/>
        <w:pageBreakBefore w:val="0"/>
        <w:kinsoku/>
        <w:wordWrap/>
        <w:overflowPunct/>
        <w:topLinePunct w:val="0"/>
        <w:autoSpaceDE/>
        <w:autoSpaceDN/>
        <w:bidi w:val="0"/>
        <w:spacing w:after="0" w:line="600" w:lineRule="exact"/>
        <w:ind w:left="0" w:firstLine="560"/>
        <w:jc w:val="right"/>
        <w:rPr>
          <w:rFonts w:hint="eastAsia" w:ascii="方正仿宋简体" w:hAnsi="方正仿宋简体" w:eastAsia="方正仿宋简体" w:cs="方正仿宋简体"/>
          <w:b/>
          <w:bCs/>
          <w:color w:val="auto"/>
          <w:sz w:val="32"/>
          <w:szCs w:val="32"/>
          <w:highlight w:val="none"/>
          <w:lang w:val="en-US" w:eastAsia="zh"/>
        </w:rPr>
      </w:pPr>
    </w:p>
    <w:sectPr>
      <w:headerReference r:id="rId5" w:type="default"/>
      <w:footerReference r:id="rId6" w:type="default"/>
      <w:pgSz w:w="11906" w:h="16838"/>
      <w:pgMar w:top="2098" w:right="1531" w:bottom="1871" w:left="1531" w:header="850" w:footer="992" w:gutter="0"/>
      <w:pgNumType w:fmt="decimal" w:start="1"/>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panose1 w:val="03000509000000000000"/>
    <w:charset w:val="86"/>
    <w:family w:val="auto"/>
    <w:pitch w:val="default"/>
    <w:sig w:usb0="00000001" w:usb1="080E0000" w:usb2="00000000" w:usb3="00000000" w:csb0="00040000" w:csb1="00000000"/>
    <w:embedRegular r:id="rId1" w:fontKey="{73E02CC1-2377-461A-84AF-15419B1C5648}"/>
  </w:font>
  <w:font w:name="楷体">
    <w:panose1 w:val="02010609060101010101"/>
    <w:charset w:val="86"/>
    <w:family w:val="modern"/>
    <w:pitch w:val="default"/>
    <w:sig w:usb0="800002BF" w:usb1="38CF7CFA" w:usb2="00000016" w:usb3="00000000" w:csb0="00040001" w:csb1="00000000"/>
  </w:font>
  <w:font w:name="等线 Light">
    <w:panose1 w:val="02010600030101010101"/>
    <w:charset w:val="86"/>
    <w:family w:val="auto"/>
    <w:pitch w:val="default"/>
    <w:sig w:usb0="A00002BF" w:usb1="38CF7CFA" w:usb2="00000016" w:usb3="00000000" w:csb0="0004000F" w:csb1="00000000"/>
  </w:font>
  <w:font w:name="方正黑体简体">
    <w:panose1 w:val="03000509000000000000"/>
    <w:charset w:val="86"/>
    <w:family w:val="auto"/>
    <w:pitch w:val="default"/>
    <w:sig w:usb0="00000001" w:usb1="080E0000" w:usb2="00000000" w:usb3="00000000" w:csb0="00040000" w:csb1="00000000"/>
    <w:embedRegular r:id="rId2" w:fontKey="{86444E8E-7272-4E93-8B1E-FA1F491EC14C}"/>
  </w:font>
  <w:font w:name="方正小标宋简体">
    <w:panose1 w:val="03000509000000000000"/>
    <w:charset w:val="86"/>
    <w:family w:val="auto"/>
    <w:pitch w:val="default"/>
    <w:sig w:usb0="00000001" w:usb1="080E0000" w:usb2="00000000" w:usb3="00000000" w:csb0="00040000" w:csb1="00000000"/>
    <w:embedRegular r:id="rId3" w:fontKey="{B9BC84E3-9412-4791-9093-1C59AD6DF845}"/>
  </w:font>
  <w:font w:name="方正楷体简体">
    <w:panose1 w:val="02000000000000000000"/>
    <w:charset w:val="86"/>
    <w:family w:val="auto"/>
    <w:pitch w:val="default"/>
    <w:sig w:usb0="00000001" w:usb1="080E0000" w:usb2="00000000" w:usb3="00000000" w:csb0="00040000" w:csb1="00000000"/>
    <w:embedRegular r:id="rId4" w:fontKey="{CE9479F9-F877-41CD-8DA6-D0493C83DF0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0"/>
      <w:ind w:firstLine="0" w:firstLineChars="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0"/>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0"/>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67E6988"/>
    <w:multiLevelType w:val="singleLevel"/>
    <w:tmpl w:val="467E6988"/>
    <w:lvl w:ilvl="0" w:tentative="0">
      <w:start w:val="3"/>
      <w:numFmt w:val="decimal"/>
      <w:suff w:val="nothing"/>
      <w:lvlText w:val="%1."/>
      <w:lvlJc w:val="left"/>
      <w:pPr>
        <w:ind w:left="0" w:firstLine="567"/>
      </w:pPr>
      <w:rPr>
        <w:rFonts w:hint="default" w:ascii="Times New Roman" w:hAnsi="Times New Roman" w:cs="Times New Roman"/>
        <w:sz w:val="32"/>
        <w:szCs w:val="32"/>
      </w:r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4"/>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FhZjA1ZDYwZTQyOTVmYzkxZGI0NDg1YWQ3Njk0Yjg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B56978"/>
    <w:rsid w:val="034B0AC6"/>
    <w:rsid w:val="03BD26AA"/>
    <w:rsid w:val="03C46413"/>
    <w:rsid w:val="03F043C9"/>
    <w:rsid w:val="03F5560D"/>
    <w:rsid w:val="05370DC3"/>
    <w:rsid w:val="05704583"/>
    <w:rsid w:val="05AE5131"/>
    <w:rsid w:val="06E2185D"/>
    <w:rsid w:val="074574B7"/>
    <w:rsid w:val="077F711D"/>
    <w:rsid w:val="0815093A"/>
    <w:rsid w:val="08280844"/>
    <w:rsid w:val="08321414"/>
    <w:rsid w:val="08CA0DBA"/>
    <w:rsid w:val="0AA10A64"/>
    <w:rsid w:val="0AAA2B3A"/>
    <w:rsid w:val="0BD10723"/>
    <w:rsid w:val="0C82214A"/>
    <w:rsid w:val="0CC90B55"/>
    <w:rsid w:val="0D4639D6"/>
    <w:rsid w:val="0D7C008D"/>
    <w:rsid w:val="0DA06897"/>
    <w:rsid w:val="0DF462ED"/>
    <w:rsid w:val="0DF90060"/>
    <w:rsid w:val="0E19564B"/>
    <w:rsid w:val="0E522B49"/>
    <w:rsid w:val="0E5E23AA"/>
    <w:rsid w:val="0E6050D4"/>
    <w:rsid w:val="0E7F3C56"/>
    <w:rsid w:val="0EE4486D"/>
    <w:rsid w:val="0EF40828"/>
    <w:rsid w:val="0EF610D2"/>
    <w:rsid w:val="0EF97BEC"/>
    <w:rsid w:val="0F207817"/>
    <w:rsid w:val="0F24115F"/>
    <w:rsid w:val="0F7D48CD"/>
    <w:rsid w:val="0F895427"/>
    <w:rsid w:val="0FA36556"/>
    <w:rsid w:val="10607EBA"/>
    <w:rsid w:val="10A609B0"/>
    <w:rsid w:val="10C177C0"/>
    <w:rsid w:val="10FB12CE"/>
    <w:rsid w:val="11034D52"/>
    <w:rsid w:val="11641A35"/>
    <w:rsid w:val="11A54F88"/>
    <w:rsid w:val="1256364C"/>
    <w:rsid w:val="12F71BB3"/>
    <w:rsid w:val="13445E84"/>
    <w:rsid w:val="13463C67"/>
    <w:rsid w:val="134E407D"/>
    <w:rsid w:val="136916A0"/>
    <w:rsid w:val="144B4CE8"/>
    <w:rsid w:val="14827494"/>
    <w:rsid w:val="14DA48CB"/>
    <w:rsid w:val="155B04E5"/>
    <w:rsid w:val="15762967"/>
    <w:rsid w:val="15C0420D"/>
    <w:rsid w:val="16310CFC"/>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F776D6"/>
    <w:rsid w:val="1B0B2AA5"/>
    <w:rsid w:val="1B397CEE"/>
    <w:rsid w:val="1BDF6BC8"/>
    <w:rsid w:val="1C2C3D72"/>
    <w:rsid w:val="1C535707"/>
    <w:rsid w:val="1C580E62"/>
    <w:rsid w:val="1C624536"/>
    <w:rsid w:val="1C975E00"/>
    <w:rsid w:val="1D046172"/>
    <w:rsid w:val="1D4F18C5"/>
    <w:rsid w:val="1D9A1CE4"/>
    <w:rsid w:val="1DD67D6F"/>
    <w:rsid w:val="1ED16069"/>
    <w:rsid w:val="1ED24185"/>
    <w:rsid w:val="1ED35C04"/>
    <w:rsid w:val="1ED903FD"/>
    <w:rsid w:val="1EE16233"/>
    <w:rsid w:val="1EFB57A6"/>
    <w:rsid w:val="1F406C39"/>
    <w:rsid w:val="1FD20322"/>
    <w:rsid w:val="1FE92B41"/>
    <w:rsid w:val="1FFEDEEE"/>
    <w:rsid w:val="201E1FEE"/>
    <w:rsid w:val="202E7632"/>
    <w:rsid w:val="20533B33"/>
    <w:rsid w:val="207456E4"/>
    <w:rsid w:val="20CB7E98"/>
    <w:rsid w:val="21184C3F"/>
    <w:rsid w:val="21352BD9"/>
    <w:rsid w:val="21CC56B8"/>
    <w:rsid w:val="21F711A6"/>
    <w:rsid w:val="22460F43"/>
    <w:rsid w:val="22612BC4"/>
    <w:rsid w:val="2297354C"/>
    <w:rsid w:val="22F7E8FF"/>
    <w:rsid w:val="234C0C7F"/>
    <w:rsid w:val="23F46FD7"/>
    <w:rsid w:val="24283899"/>
    <w:rsid w:val="24436E8F"/>
    <w:rsid w:val="248C4080"/>
    <w:rsid w:val="24C04FDC"/>
    <w:rsid w:val="259C15A5"/>
    <w:rsid w:val="25F533FB"/>
    <w:rsid w:val="26331263"/>
    <w:rsid w:val="263F3713"/>
    <w:rsid w:val="265058AE"/>
    <w:rsid w:val="265F3B15"/>
    <w:rsid w:val="269C2300"/>
    <w:rsid w:val="271534C4"/>
    <w:rsid w:val="271E56C4"/>
    <w:rsid w:val="27391076"/>
    <w:rsid w:val="273B0505"/>
    <w:rsid w:val="277338DD"/>
    <w:rsid w:val="27F31AB9"/>
    <w:rsid w:val="27F60C89"/>
    <w:rsid w:val="27FFC5C7"/>
    <w:rsid w:val="282B56B9"/>
    <w:rsid w:val="28371A2F"/>
    <w:rsid w:val="284452E7"/>
    <w:rsid w:val="28757938"/>
    <w:rsid w:val="28950ECF"/>
    <w:rsid w:val="291B3F45"/>
    <w:rsid w:val="294B0B24"/>
    <w:rsid w:val="29581F66"/>
    <w:rsid w:val="29942B89"/>
    <w:rsid w:val="2A0E67EA"/>
    <w:rsid w:val="2A14341E"/>
    <w:rsid w:val="2A257690"/>
    <w:rsid w:val="2A817549"/>
    <w:rsid w:val="2ADB2B70"/>
    <w:rsid w:val="2B2D6383"/>
    <w:rsid w:val="2B625A5F"/>
    <w:rsid w:val="2BBE5215"/>
    <w:rsid w:val="2BD70482"/>
    <w:rsid w:val="2C2F0835"/>
    <w:rsid w:val="2CBB4441"/>
    <w:rsid w:val="2CC80ED2"/>
    <w:rsid w:val="2CD1263C"/>
    <w:rsid w:val="2CF37A27"/>
    <w:rsid w:val="2CF74E38"/>
    <w:rsid w:val="2D241E80"/>
    <w:rsid w:val="2D324D1A"/>
    <w:rsid w:val="2D525A3B"/>
    <w:rsid w:val="2D6319D3"/>
    <w:rsid w:val="2DE812E1"/>
    <w:rsid w:val="2E222864"/>
    <w:rsid w:val="2E750BE6"/>
    <w:rsid w:val="2E7B50BC"/>
    <w:rsid w:val="2EA8720D"/>
    <w:rsid w:val="2EAE40F8"/>
    <w:rsid w:val="2ED1320F"/>
    <w:rsid w:val="2F040BD9"/>
    <w:rsid w:val="2F3274A5"/>
    <w:rsid w:val="2FBBA5AB"/>
    <w:rsid w:val="2FEF2A5C"/>
    <w:rsid w:val="3052247A"/>
    <w:rsid w:val="3090670D"/>
    <w:rsid w:val="312B48AF"/>
    <w:rsid w:val="32A47AB4"/>
    <w:rsid w:val="32CB27BC"/>
    <w:rsid w:val="33105381"/>
    <w:rsid w:val="336B6A5B"/>
    <w:rsid w:val="337B49B9"/>
    <w:rsid w:val="33EB569F"/>
    <w:rsid w:val="33FA0C54"/>
    <w:rsid w:val="34113BD6"/>
    <w:rsid w:val="34140406"/>
    <w:rsid w:val="342C7375"/>
    <w:rsid w:val="34B42BB5"/>
    <w:rsid w:val="34C73C1C"/>
    <w:rsid w:val="350D6544"/>
    <w:rsid w:val="36001598"/>
    <w:rsid w:val="360308FA"/>
    <w:rsid w:val="36870F62"/>
    <w:rsid w:val="369B1CB2"/>
    <w:rsid w:val="36B5203E"/>
    <w:rsid w:val="36BF54EC"/>
    <w:rsid w:val="36C17759"/>
    <w:rsid w:val="36DC449D"/>
    <w:rsid w:val="36F34D9D"/>
    <w:rsid w:val="36F56951"/>
    <w:rsid w:val="37A00EBF"/>
    <w:rsid w:val="37E36263"/>
    <w:rsid w:val="37EE368E"/>
    <w:rsid w:val="38C96200"/>
    <w:rsid w:val="38D85C62"/>
    <w:rsid w:val="390E6F8C"/>
    <w:rsid w:val="39131F2C"/>
    <w:rsid w:val="39374DDA"/>
    <w:rsid w:val="393C614A"/>
    <w:rsid w:val="39411EEC"/>
    <w:rsid w:val="39935632"/>
    <w:rsid w:val="39C40983"/>
    <w:rsid w:val="3A3949DD"/>
    <w:rsid w:val="3A4A7C37"/>
    <w:rsid w:val="3A7649A2"/>
    <w:rsid w:val="3A81279A"/>
    <w:rsid w:val="3AE5274E"/>
    <w:rsid w:val="3B072D35"/>
    <w:rsid w:val="3B3301C2"/>
    <w:rsid w:val="3B626037"/>
    <w:rsid w:val="3BD70C1C"/>
    <w:rsid w:val="3C4B567C"/>
    <w:rsid w:val="3C837FE5"/>
    <w:rsid w:val="3CB15DE8"/>
    <w:rsid w:val="3D1F22E5"/>
    <w:rsid w:val="3D2F1C7B"/>
    <w:rsid w:val="3D3960CA"/>
    <w:rsid w:val="3D997564"/>
    <w:rsid w:val="3DB744C0"/>
    <w:rsid w:val="3DFC2E05"/>
    <w:rsid w:val="3E432DCF"/>
    <w:rsid w:val="3E8E1632"/>
    <w:rsid w:val="3F5605BF"/>
    <w:rsid w:val="3F7B5870"/>
    <w:rsid w:val="3FAD280D"/>
    <w:rsid w:val="3FAFC9F3"/>
    <w:rsid w:val="3FBD0AA0"/>
    <w:rsid w:val="3FBFE8A3"/>
    <w:rsid w:val="3FBFF11E"/>
    <w:rsid w:val="3FC78042"/>
    <w:rsid w:val="3FCF6EEE"/>
    <w:rsid w:val="3FFA9567"/>
    <w:rsid w:val="3FFBC9EC"/>
    <w:rsid w:val="3FFFEA14"/>
    <w:rsid w:val="400D7690"/>
    <w:rsid w:val="4069560F"/>
    <w:rsid w:val="412070D7"/>
    <w:rsid w:val="41DC7289"/>
    <w:rsid w:val="41FD2ABB"/>
    <w:rsid w:val="421C165C"/>
    <w:rsid w:val="428B71EF"/>
    <w:rsid w:val="42A2347D"/>
    <w:rsid w:val="43251644"/>
    <w:rsid w:val="43802285"/>
    <w:rsid w:val="43A7F1A6"/>
    <w:rsid w:val="43D2284D"/>
    <w:rsid w:val="43ED42A2"/>
    <w:rsid w:val="44865DC2"/>
    <w:rsid w:val="44986F84"/>
    <w:rsid w:val="44A86EA6"/>
    <w:rsid w:val="44B03869"/>
    <w:rsid w:val="44C716C3"/>
    <w:rsid w:val="44FE2B7A"/>
    <w:rsid w:val="45221C05"/>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D23684"/>
    <w:rsid w:val="49D913CB"/>
    <w:rsid w:val="49F243D5"/>
    <w:rsid w:val="4A1A39A0"/>
    <w:rsid w:val="4A3F0AC3"/>
    <w:rsid w:val="4AFA2C7B"/>
    <w:rsid w:val="4B0435C5"/>
    <w:rsid w:val="4B58271A"/>
    <w:rsid w:val="4B6B11A9"/>
    <w:rsid w:val="4B9C6B82"/>
    <w:rsid w:val="4BDE4024"/>
    <w:rsid w:val="4C1635B0"/>
    <w:rsid w:val="4C907F6D"/>
    <w:rsid w:val="4CAE35BE"/>
    <w:rsid w:val="4CFC2039"/>
    <w:rsid w:val="4D6E449B"/>
    <w:rsid w:val="4F0A34DF"/>
    <w:rsid w:val="4F5F5C7E"/>
    <w:rsid w:val="4F7241B1"/>
    <w:rsid w:val="4FCD04DF"/>
    <w:rsid w:val="4FF7181A"/>
    <w:rsid w:val="4FFE309A"/>
    <w:rsid w:val="507D0BBC"/>
    <w:rsid w:val="507E6B2A"/>
    <w:rsid w:val="51290B58"/>
    <w:rsid w:val="51381763"/>
    <w:rsid w:val="51960840"/>
    <w:rsid w:val="51E2208C"/>
    <w:rsid w:val="52265F38"/>
    <w:rsid w:val="52EF2BDF"/>
    <w:rsid w:val="535B753F"/>
    <w:rsid w:val="543748C0"/>
    <w:rsid w:val="54B716A8"/>
    <w:rsid w:val="55516FE9"/>
    <w:rsid w:val="55681707"/>
    <w:rsid w:val="55AC2CD2"/>
    <w:rsid w:val="55B812E3"/>
    <w:rsid w:val="55D82153"/>
    <w:rsid w:val="561A2F05"/>
    <w:rsid w:val="56A7003A"/>
    <w:rsid w:val="575D29C4"/>
    <w:rsid w:val="577B4EF8"/>
    <w:rsid w:val="57950BEC"/>
    <w:rsid w:val="579A41D9"/>
    <w:rsid w:val="57BD01C5"/>
    <w:rsid w:val="57BE73BD"/>
    <w:rsid w:val="57C56C55"/>
    <w:rsid w:val="57E13BCA"/>
    <w:rsid w:val="57EAF5E5"/>
    <w:rsid w:val="58334AD1"/>
    <w:rsid w:val="5864421C"/>
    <w:rsid w:val="5901172B"/>
    <w:rsid w:val="59561F19"/>
    <w:rsid w:val="596B1981"/>
    <w:rsid w:val="59821BED"/>
    <w:rsid w:val="59CF4D9E"/>
    <w:rsid w:val="59E24AD2"/>
    <w:rsid w:val="5A8B50BF"/>
    <w:rsid w:val="5AB4383C"/>
    <w:rsid w:val="5AED719F"/>
    <w:rsid w:val="5B0A7A07"/>
    <w:rsid w:val="5B1433B1"/>
    <w:rsid w:val="5B353327"/>
    <w:rsid w:val="5B3C271A"/>
    <w:rsid w:val="5B3F384B"/>
    <w:rsid w:val="5B5F5E1B"/>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7C5B9B"/>
    <w:rsid w:val="5EB1D3F4"/>
    <w:rsid w:val="5EDB5F93"/>
    <w:rsid w:val="5F246AEA"/>
    <w:rsid w:val="5F3B183F"/>
    <w:rsid w:val="5F562031"/>
    <w:rsid w:val="5F774ACC"/>
    <w:rsid w:val="5F9C373E"/>
    <w:rsid w:val="5FB823B1"/>
    <w:rsid w:val="5FBF7263"/>
    <w:rsid w:val="5FCF84ED"/>
    <w:rsid w:val="5FDFC83C"/>
    <w:rsid w:val="5FF7A0DE"/>
    <w:rsid w:val="60017C7C"/>
    <w:rsid w:val="6020741B"/>
    <w:rsid w:val="608914CC"/>
    <w:rsid w:val="6094289E"/>
    <w:rsid w:val="60F11867"/>
    <w:rsid w:val="615C16D6"/>
    <w:rsid w:val="618A3DC3"/>
    <w:rsid w:val="61C15430"/>
    <w:rsid w:val="62102CE3"/>
    <w:rsid w:val="62222B09"/>
    <w:rsid w:val="62311D7E"/>
    <w:rsid w:val="62350D51"/>
    <w:rsid w:val="627C5614"/>
    <w:rsid w:val="62A274F4"/>
    <w:rsid w:val="62BA58E1"/>
    <w:rsid w:val="62BA758E"/>
    <w:rsid w:val="62BB6119"/>
    <w:rsid w:val="62D11B87"/>
    <w:rsid w:val="630D7F41"/>
    <w:rsid w:val="636C18B0"/>
    <w:rsid w:val="637F5A87"/>
    <w:rsid w:val="63A71F74"/>
    <w:rsid w:val="64FE5F84"/>
    <w:rsid w:val="652F1904"/>
    <w:rsid w:val="65BF660F"/>
    <w:rsid w:val="65C7404D"/>
    <w:rsid w:val="65F17436"/>
    <w:rsid w:val="66173DA3"/>
    <w:rsid w:val="66BB8914"/>
    <w:rsid w:val="66C0483B"/>
    <w:rsid w:val="66CC410D"/>
    <w:rsid w:val="66EE54A9"/>
    <w:rsid w:val="67152FB8"/>
    <w:rsid w:val="67551304"/>
    <w:rsid w:val="676254A4"/>
    <w:rsid w:val="678D0D6C"/>
    <w:rsid w:val="67AB4C59"/>
    <w:rsid w:val="67D8ED11"/>
    <w:rsid w:val="684306E9"/>
    <w:rsid w:val="68723580"/>
    <w:rsid w:val="68994500"/>
    <w:rsid w:val="69172000"/>
    <w:rsid w:val="697F1380"/>
    <w:rsid w:val="699A1F8A"/>
    <w:rsid w:val="69A93917"/>
    <w:rsid w:val="6A4A3BFD"/>
    <w:rsid w:val="6B43739A"/>
    <w:rsid w:val="6BFFA4D9"/>
    <w:rsid w:val="6C196A9A"/>
    <w:rsid w:val="6C225202"/>
    <w:rsid w:val="6C75429C"/>
    <w:rsid w:val="6C7D23DE"/>
    <w:rsid w:val="6C862912"/>
    <w:rsid w:val="6CFA1652"/>
    <w:rsid w:val="6CFD7E08"/>
    <w:rsid w:val="6D0F4A6A"/>
    <w:rsid w:val="6D3D4391"/>
    <w:rsid w:val="6D8E68B6"/>
    <w:rsid w:val="6DB91B96"/>
    <w:rsid w:val="6DCD214C"/>
    <w:rsid w:val="6E3C3302"/>
    <w:rsid w:val="6E7E0482"/>
    <w:rsid w:val="6E7F1593"/>
    <w:rsid w:val="6EC3F98A"/>
    <w:rsid w:val="6EFE7E0F"/>
    <w:rsid w:val="6F5F3DDC"/>
    <w:rsid w:val="6FBF4705"/>
    <w:rsid w:val="6FC06BC3"/>
    <w:rsid w:val="6FC24E02"/>
    <w:rsid w:val="6FCD2B35"/>
    <w:rsid w:val="6FEFDAF3"/>
    <w:rsid w:val="6FF658FB"/>
    <w:rsid w:val="6FFB1FF0"/>
    <w:rsid w:val="6FFEF6BD"/>
    <w:rsid w:val="70756248"/>
    <w:rsid w:val="70E817A2"/>
    <w:rsid w:val="70EF71B7"/>
    <w:rsid w:val="70FAFB2A"/>
    <w:rsid w:val="710C1A48"/>
    <w:rsid w:val="716138A0"/>
    <w:rsid w:val="71753151"/>
    <w:rsid w:val="71A73D3E"/>
    <w:rsid w:val="71D4087A"/>
    <w:rsid w:val="71E34413"/>
    <w:rsid w:val="71FE401B"/>
    <w:rsid w:val="727D4F24"/>
    <w:rsid w:val="72822E9E"/>
    <w:rsid w:val="72A146DD"/>
    <w:rsid w:val="72A70FAA"/>
    <w:rsid w:val="72B34E05"/>
    <w:rsid w:val="72DD1E82"/>
    <w:rsid w:val="73113F43"/>
    <w:rsid w:val="734944D8"/>
    <w:rsid w:val="7357511D"/>
    <w:rsid w:val="737446DD"/>
    <w:rsid w:val="737A3B75"/>
    <w:rsid w:val="737C1264"/>
    <w:rsid w:val="739B12EB"/>
    <w:rsid w:val="74D774D1"/>
    <w:rsid w:val="74E42203"/>
    <w:rsid w:val="751F197F"/>
    <w:rsid w:val="75297601"/>
    <w:rsid w:val="752C5839"/>
    <w:rsid w:val="758650B4"/>
    <w:rsid w:val="759E9462"/>
    <w:rsid w:val="75AB7F59"/>
    <w:rsid w:val="75D9457B"/>
    <w:rsid w:val="7613520C"/>
    <w:rsid w:val="76595CC4"/>
    <w:rsid w:val="76772062"/>
    <w:rsid w:val="76937428"/>
    <w:rsid w:val="76EEE66D"/>
    <w:rsid w:val="76EF82A2"/>
    <w:rsid w:val="76FBFBCD"/>
    <w:rsid w:val="76FF72F0"/>
    <w:rsid w:val="77245415"/>
    <w:rsid w:val="77503BA8"/>
    <w:rsid w:val="77BDFB3C"/>
    <w:rsid w:val="77BF2551"/>
    <w:rsid w:val="77CB4ADD"/>
    <w:rsid w:val="77F50D0E"/>
    <w:rsid w:val="77FCCDF3"/>
    <w:rsid w:val="782E0A91"/>
    <w:rsid w:val="788E7EA5"/>
    <w:rsid w:val="78F74A7F"/>
    <w:rsid w:val="7922343B"/>
    <w:rsid w:val="7926388B"/>
    <w:rsid w:val="79521C10"/>
    <w:rsid w:val="795E17F1"/>
    <w:rsid w:val="795FF9E4"/>
    <w:rsid w:val="79D42C0A"/>
    <w:rsid w:val="79FFF26D"/>
    <w:rsid w:val="7A267238"/>
    <w:rsid w:val="7A30225F"/>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4E5235"/>
    <w:rsid w:val="7D7B61FA"/>
    <w:rsid w:val="7D7D8DD1"/>
    <w:rsid w:val="7D9F8B72"/>
    <w:rsid w:val="7DA069F3"/>
    <w:rsid w:val="7DBBA20B"/>
    <w:rsid w:val="7DC66335"/>
    <w:rsid w:val="7DDEDC0D"/>
    <w:rsid w:val="7DEF7A8A"/>
    <w:rsid w:val="7DF3FD3E"/>
    <w:rsid w:val="7DF7F354"/>
    <w:rsid w:val="7DFB0575"/>
    <w:rsid w:val="7E6B12CB"/>
    <w:rsid w:val="7E7273D9"/>
    <w:rsid w:val="7E7F81E4"/>
    <w:rsid w:val="7E8D051D"/>
    <w:rsid w:val="7EACC565"/>
    <w:rsid w:val="7EB151EC"/>
    <w:rsid w:val="7EBB205B"/>
    <w:rsid w:val="7EBF2D50"/>
    <w:rsid w:val="7ECF1D1B"/>
    <w:rsid w:val="7ED22AB7"/>
    <w:rsid w:val="7ED7E605"/>
    <w:rsid w:val="7EDD74B9"/>
    <w:rsid w:val="7EF62516"/>
    <w:rsid w:val="7EFFE568"/>
    <w:rsid w:val="7F15746B"/>
    <w:rsid w:val="7F4B6054"/>
    <w:rsid w:val="7F5ABD7A"/>
    <w:rsid w:val="7F5CEBBD"/>
    <w:rsid w:val="7F7D7081"/>
    <w:rsid w:val="7F824F8C"/>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3">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4">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rPr>
      <w:rFonts w:ascii="Calibri" w:hAnsi="Calibri"/>
      <w:kern w:val="0"/>
      <w:szCs w:val="20"/>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Indent"/>
    <w:basedOn w:val="1"/>
    <w:link w:val="40"/>
    <w:semiHidden/>
    <w:unhideWhenUsed/>
    <w:qFormat/>
    <w:uiPriority w:val="99"/>
    <w:pPr>
      <w:ind w:firstLine="640"/>
    </w:pPr>
    <w:rPr>
      <w:rFonts w:ascii="Calibri" w:hAnsi="Calibri" w:eastAsia="宋体" w:cs="Times New Roman"/>
      <w:sz w:val="32"/>
      <w:szCs w:val="24"/>
    </w:rPr>
  </w:style>
  <w:style w:type="paragraph" w:styleId="8">
    <w:name w:val="toc 3"/>
    <w:basedOn w:val="1"/>
    <w:next w:val="1"/>
    <w:semiHidden/>
    <w:unhideWhenUsed/>
    <w:qFormat/>
    <w:uiPriority w:val="39"/>
    <w:pPr>
      <w:ind w:left="840" w:leftChars="400"/>
    </w:pPr>
  </w:style>
  <w:style w:type="paragraph" w:styleId="9">
    <w:name w:val="Body Text Indent 2"/>
    <w:basedOn w:val="1"/>
    <w:qFormat/>
    <w:uiPriority w:val="0"/>
    <w:pPr>
      <w:ind w:firstLine="645"/>
      <w:outlineLvl w:val="0"/>
    </w:pPr>
    <w:rPr>
      <w:rFonts w:ascii="仿宋_GB2312"/>
      <w:spacing w:val="-4"/>
      <w:sz w:val="32"/>
    </w:rPr>
  </w:style>
  <w:style w:type="paragraph" w:styleId="10">
    <w:name w:val="footer"/>
    <w:basedOn w:val="1"/>
    <w:link w:val="26"/>
    <w:unhideWhenUsed/>
    <w:qFormat/>
    <w:uiPriority w:val="99"/>
    <w:pPr>
      <w:tabs>
        <w:tab w:val="center" w:pos="4153"/>
        <w:tab w:val="right" w:pos="8306"/>
      </w:tabs>
      <w:snapToGrid w:val="0"/>
      <w:jc w:val="left"/>
    </w:pPr>
    <w:rPr>
      <w:sz w:val="18"/>
      <w:szCs w:val="18"/>
    </w:rPr>
  </w:style>
  <w:style w:type="paragraph" w:styleId="11">
    <w:name w:val="header"/>
    <w:basedOn w:val="1"/>
    <w:next w:val="1"/>
    <w:link w:val="25"/>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tabs>
        <w:tab w:val="left" w:pos="709"/>
        <w:tab w:val="right" w:leader="dot" w:pos="8296"/>
      </w:tabs>
    </w:pPr>
  </w:style>
  <w:style w:type="paragraph" w:styleId="13">
    <w:name w:val="toc 2"/>
    <w:basedOn w:val="1"/>
    <w:next w:val="1"/>
    <w:unhideWhenUsed/>
    <w:qFormat/>
    <w:uiPriority w:val="39"/>
    <w:pPr>
      <w:ind w:left="420" w:leftChars="200"/>
    </w:pPr>
  </w:style>
  <w:style w:type="paragraph" w:styleId="14">
    <w:name w:val="Normal (Web)"/>
    <w:basedOn w:val="1"/>
    <w:unhideWhenUsed/>
    <w:qFormat/>
    <w:uiPriority w:val="99"/>
    <w:pPr>
      <w:spacing w:before="100" w:beforeAutospacing="1" w:after="100" w:afterAutospacing="1"/>
      <w:jc w:val="left"/>
    </w:pPr>
    <w:rPr>
      <w:rFonts w:cs="Times New Roman"/>
      <w:kern w:val="0"/>
      <w:sz w:val="24"/>
    </w:rPr>
  </w:style>
  <w:style w:type="paragraph" w:styleId="15">
    <w:name w:val="Title"/>
    <w:basedOn w:val="1"/>
    <w:link w:val="39"/>
    <w:qFormat/>
    <w:uiPriority w:val="10"/>
    <w:pPr>
      <w:spacing w:before="240" w:after="60"/>
      <w:jc w:val="center"/>
      <w:outlineLvl w:val="0"/>
    </w:pPr>
    <w:rPr>
      <w:rFonts w:ascii="Arial" w:hAnsi="Arial"/>
      <w:b/>
      <w:sz w:val="32"/>
    </w:rPr>
  </w:style>
  <w:style w:type="paragraph" w:styleId="16">
    <w:name w:val="Body Text First Indent 2"/>
    <w:basedOn w:val="7"/>
    <w:qFormat/>
    <w:uiPriority w:val="0"/>
    <w:pPr>
      <w:ind w:firstLine="420"/>
    </w:pPr>
  </w:style>
  <w:style w:type="table" w:styleId="18">
    <w:name w:val="Table Grid"/>
    <w:basedOn w:val="17"/>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Emphasis"/>
    <w:basedOn w:val="19"/>
    <w:qFormat/>
    <w:uiPriority w:val="20"/>
    <w:rPr>
      <w:i/>
    </w:rPr>
  </w:style>
  <w:style w:type="character" w:styleId="21">
    <w:name w:val="Hyperlink"/>
    <w:unhideWhenUsed/>
    <w:qFormat/>
    <w:uiPriority w:val="99"/>
    <w:rPr>
      <w:color w:val="4D4D4D"/>
      <w:u w:val="none"/>
    </w:rPr>
  </w:style>
  <w:style w:type="character" w:styleId="22">
    <w:name w:val="annotation reference"/>
    <w:basedOn w:val="19"/>
    <w:semiHidden/>
    <w:unhideWhenUsed/>
    <w:qFormat/>
    <w:uiPriority w:val="99"/>
    <w:rPr>
      <w:sz w:val="21"/>
      <w:szCs w:val="21"/>
    </w:rPr>
  </w:style>
  <w:style w:type="paragraph" w:customStyle="1" w:styleId="23">
    <w:name w:val="Default"/>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4">
    <w:name w:val="常用样式（方正仿宋简）"/>
    <w:basedOn w:val="1"/>
    <w:qFormat/>
    <w:uiPriority w:val="0"/>
    <w:pPr>
      <w:spacing w:line="560" w:lineRule="exact"/>
      <w:ind w:firstLine="640"/>
    </w:pPr>
    <w:rPr>
      <w:rFonts w:eastAsia="方正仿宋简体"/>
      <w:sz w:val="32"/>
    </w:rPr>
  </w:style>
  <w:style w:type="character" w:customStyle="1" w:styleId="25">
    <w:name w:val="页眉 字符"/>
    <w:basedOn w:val="19"/>
    <w:link w:val="11"/>
    <w:qFormat/>
    <w:uiPriority w:val="99"/>
    <w:rPr>
      <w:sz w:val="18"/>
      <w:szCs w:val="18"/>
    </w:rPr>
  </w:style>
  <w:style w:type="character" w:customStyle="1" w:styleId="26">
    <w:name w:val="页脚 字符"/>
    <w:basedOn w:val="19"/>
    <w:link w:val="10"/>
    <w:qFormat/>
    <w:uiPriority w:val="99"/>
    <w:rPr>
      <w:sz w:val="18"/>
      <w:szCs w:val="18"/>
    </w:rPr>
  </w:style>
  <w:style w:type="character" w:customStyle="1" w:styleId="27">
    <w:name w:val="font11"/>
    <w:basedOn w:val="19"/>
    <w:qFormat/>
    <w:uiPriority w:val="0"/>
    <w:rPr>
      <w:rFonts w:hint="eastAsia" w:ascii="宋体" w:hAnsi="宋体" w:eastAsia="宋体" w:cs="宋体"/>
      <w:color w:val="000000"/>
      <w:sz w:val="21"/>
      <w:szCs w:val="21"/>
      <w:u w:val="none"/>
    </w:rPr>
  </w:style>
  <w:style w:type="character" w:customStyle="1" w:styleId="28">
    <w:name w:val="font01"/>
    <w:basedOn w:val="19"/>
    <w:qFormat/>
    <w:uiPriority w:val="0"/>
    <w:rPr>
      <w:rFonts w:hint="default" w:ascii="Calibri" w:hAnsi="Calibri" w:cs="Calibri"/>
      <w:color w:val="000000"/>
      <w:sz w:val="21"/>
      <w:szCs w:val="21"/>
      <w:u w:val="none"/>
    </w:rPr>
  </w:style>
  <w:style w:type="character" w:customStyle="1" w:styleId="29">
    <w:name w:val="font71"/>
    <w:basedOn w:val="19"/>
    <w:qFormat/>
    <w:uiPriority w:val="0"/>
    <w:rPr>
      <w:rFonts w:hint="eastAsia" w:ascii="仿宋" w:hAnsi="仿宋" w:eastAsia="仿宋" w:cs="仿宋"/>
      <w:b/>
      <w:color w:val="000000"/>
      <w:sz w:val="24"/>
      <w:szCs w:val="24"/>
      <w:u w:val="none"/>
    </w:rPr>
  </w:style>
  <w:style w:type="character" w:customStyle="1" w:styleId="30">
    <w:name w:val="font51"/>
    <w:basedOn w:val="19"/>
    <w:qFormat/>
    <w:uiPriority w:val="0"/>
    <w:rPr>
      <w:rFonts w:hint="eastAsia" w:ascii="仿宋" w:hAnsi="仿宋" w:eastAsia="仿宋" w:cs="仿宋"/>
      <w:color w:val="000000"/>
      <w:sz w:val="24"/>
      <w:szCs w:val="24"/>
      <w:u w:val="none"/>
    </w:rPr>
  </w:style>
  <w:style w:type="character" w:customStyle="1" w:styleId="31">
    <w:name w:val="font31"/>
    <w:basedOn w:val="19"/>
    <w:qFormat/>
    <w:uiPriority w:val="0"/>
    <w:rPr>
      <w:rFonts w:hint="eastAsia" w:ascii="宋体" w:hAnsi="宋体" w:eastAsia="宋体" w:cs="宋体"/>
      <w:b/>
      <w:color w:val="000000"/>
      <w:sz w:val="22"/>
      <w:szCs w:val="22"/>
      <w:u w:val="none"/>
    </w:rPr>
  </w:style>
  <w:style w:type="character" w:customStyle="1" w:styleId="32">
    <w:name w:val="font21"/>
    <w:basedOn w:val="19"/>
    <w:qFormat/>
    <w:uiPriority w:val="0"/>
    <w:rPr>
      <w:rFonts w:hint="eastAsia" w:ascii="宋体" w:hAnsi="宋体" w:eastAsia="宋体" w:cs="宋体"/>
      <w:color w:val="000000"/>
      <w:sz w:val="20"/>
      <w:szCs w:val="20"/>
      <w:u w:val="none"/>
    </w:rPr>
  </w:style>
  <w:style w:type="character" w:customStyle="1" w:styleId="33">
    <w:name w:val="font41"/>
    <w:basedOn w:val="19"/>
    <w:qFormat/>
    <w:uiPriority w:val="0"/>
    <w:rPr>
      <w:rFonts w:hint="default" w:ascii="Times New Roman" w:hAnsi="Times New Roman" w:cs="Times New Roman"/>
      <w:b/>
      <w:color w:val="000000"/>
      <w:sz w:val="20"/>
      <w:szCs w:val="20"/>
      <w:u w:val="none"/>
    </w:rPr>
  </w:style>
  <w:style w:type="paragraph" w:customStyle="1" w:styleId="34">
    <w:name w:val="WPSOffice手动目录 1"/>
    <w:qFormat/>
    <w:uiPriority w:val="0"/>
    <w:rPr>
      <w:rFonts w:ascii="Times New Roman" w:hAnsi="Times New Roman" w:eastAsia="宋体" w:cs="Times New Roman"/>
      <w:lang w:val="en-US" w:eastAsia="zh-CN" w:bidi="ar-SA"/>
    </w:rPr>
  </w:style>
  <w:style w:type="paragraph" w:customStyle="1" w:styleId="3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6">
    <w:name w:val="表格"/>
    <w:basedOn w:val="1"/>
    <w:qFormat/>
    <w:uiPriority w:val="0"/>
    <w:rPr>
      <w:rFonts w:hint="eastAsia"/>
      <w:kern w:val="0"/>
      <w:sz w:val="24"/>
      <w:szCs w:val="20"/>
    </w:rPr>
  </w:style>
  <w:style w:type="paragraph" w:customStyle="1" w:styleId="37">
    <w:name w:val="正文文本1"/>
    <w:basedOn w:val="1"/>
    <w:qFormat/>
    <w:uiPriority w:val="0"/>
    <w:pPr>
      <w:spacing w:line="386" w:lineRule="auto"/>
    </w:pPr>
    <w:rPr>
      <w:rFonts w:ascii="楷体" w:hAnsi="楷体" w:eastAsia="楷体" w:cs="楷体"/>
      <w:sz w:val="19"/>
      <w:szCs w:val="19"/>
      <w:lang w:val="zh-CN" w:bidi="zh-CN"/>
    </w:rPr>
  </w:style>
  <w:style w:type="paragraph" w:customStyle="1" w:styleId="38">
    <w:name w:val="页眉或页脚 (2)"/>
    <w:basedOn w:val="1"/>
    <w:qFormat/>
    <w:uiPriority w:val="0"/>
    <w:rPr>
      <w:rFonts w:eastAsia="Times New Roman" w:cs="Times New Roman"/>
      <w:sz w:val="20"/>
      <w:szCs w:val="20"/>
      <w:lang w:val="zh-CN" w:bidi="zh-CN"/>
    </w:rPr>
  </w:style>
  <w:style w:type="character" w:customStyle="1" w:styleId="39">
    <w:name w:val="标题 字符"/>
    <w:basedOn w:val="19"/>
    <w:link w:val="15"/>
    <w:qFormat/>
    <w:uiPriority w:val="0"/>
    <w:rPr>
      <w:rFonts w:ascii="等线 Light" w:hAnsi="等线 Light" w:eastAsia="等线 Light" w:cs="Times New Roman"/>
      <w:b/>
      <w:bCs/>
      <w:kern w:val="2"/>
      <w:sz w:val="32"/>
      <w:szCs w:val="32"/>
    </w:rPr>
  </w:style>
  <w:style w:type="character" w:customStyle="1" w:styleId="40">
    <w:name w:val="正文文本缩进 字符"/>
    <w:basedOn w:val="19"/>
    <w:link w:val="7"/>
    <w:qFormat/>
    <w:uiPriority w:val="0"/>
    <w:rPr>
      <w:kern w:val="2"/>
      <w:sz w:val="32"/>
      <w:szCs w:val="24"/>
    </w:rPr>
  </w:style>
  <w:style w:type="paragraph" w:customStyle="1" w:styleId="41">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2">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3">
    <w:name w:val="15"/>
    <w:basedOn w:val="19"/>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Microsoft</Company>
  <Pages>16</Pages>
  <Words>2802</Words>
  <Characters>2974</Characters>
  <Lines>1</Lines>
  <Paragraphs>1</Paragraphs>
  <TotalTime>0</TotalTime>
  <ScaleCrop>false</ScaleCrop>
  <LinksUpToDate>false</LinksUpToDate>
  <CharactersWithSpaces>2984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李国宝</cp:lastModifiedBy>
  <cp:lastPrinted>2024-11-08T07:51:00Z</cp:lastPrinted>
  <dcterms:modified xsi:type="dcterms:W3CDTF">2025-01-07T08:38:21Z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0323C17550B84971857CA4630E76FAC8</vt:lpwstr>
  </property>
  <property fmtid="{D5CDD505-2E9C-101B-9397-08002B2CF9AE}" pid="4" name="KSOTemplateDocerSaveRecord">
    <vt:lpwstr>eyJoZGlkIjoiYmY5MTQzM2Y2MjhkOWQ1NmZmZTE1NGI0MjUxY2FhMTEiLCJ1c2VySWQiOiIxNDU4NzAyMTI0In0=</vt:lpwstr>
  </property>
</Properties>
</file>