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0F26538B">
      <w:pPr>
        <w:keepNext w:val="0"/>
        <w:keepLines w:val="0"/>
        <w:pageBreakBefore w:val="0"/>
        <w:widowControl/>
        <w:kinsoku/>
        <w:wordWrap/>
        <w:overflowPunct/>
        <w:topLinePunct w:val="0"/>
        <w:autoSpaceDE/>
        <w:autoSpaceDN/>
        <w:bidi w:val="0"/>
        <w:adjustRightInd/>
        <w:snapToGrid/>
        <w:spacing w:line="600" w:lineRule="exact"/>
        <w:ind w:left="0" w:leftChars="0"/>
        <w:jc w:val="center"/>
        <w:textAlignment w:val="auto"/>
        <w:rPr>
          <w:rFonts w:hint="eastAsia" w:ascii="方正黑体简体" w:hAnsi="方正黑体简体" w:eastAsia="方正黑体简体" w:cs="方正黑体简体"/>
          <w:color w:val="333333"/>
          <w:kern w:val="0"/>
          <w:sz w:val="44"/>
          <w:szCs w:val="44"/>
          <w:highlight w:val="none"/>
        </w:rPr>
      </w:pPr>
      <w:r>
        <w:rPr>
          <w:rFonts w:hint="eastAsia" w:ascii="方正黑体简体" w:hAnsi="方正黑体简体" w:eastAsia="方正黑体简体" w:cs="方正黑体简体"/>
          <w:color w:val="auto"/>
          <w:kern w:val="0"/>
          <w:sz w:val="44"/>
          <w:szCs w:val="44"/>
          <w:highlight w:val="none"/>
        </w:rPr>
        <w:t>部门整体支出绩效评价</w:t>
      </w:r>
    </w:p>
    <w:p w14:paraId="555E23A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0A553982">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4909B08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77BE8AB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5DE63C82">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4B95209C">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rPr>
        <w:t>被评价单位名称：泸定县烹坝镇人民政府</w:t>
      </w:r>
    </w:p>
    <w:p w14:paraId="2BDA8DEB">
      <w:pPr>
        <w:keepNext w:val="0"/>
        <w:keepLines w:val="0"/>
        <w:pageBreakBefore w:val="0"/>
        <w:kinsoku/>
        <w:wordWrap/>
        <w:overflowPunct/>
        <w:topLinePunct w:val="0"/>
        <w:autoSpaceDE/>
        <w:autoSpaceDN/>
        <w:bidi w:val="0"/>
        <w:adjustRightInd/>
        <w:snapToGrid/>
        <w:spacing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25A70CCE">
      <w:pPr>
        <w:pStyle w:val="2"/>
        <w:keepNext w:val="0"/>
        <w:keepLines w:val="0"/>
        <w:pageBreakBefore w:val="0"/>
        <w:kinsoku/>
        <w:wordWrap/>
        <w:overflowPunct/>
        <w:topLinePunct w:val="0"/>
        <w:autoSpaceDE/>
        <w:autoSpaceDN/>
        <w:bidi w:val="0"/>
        <w:adjustRightInd/>
        <w:snapToGrid/>
        <w:spacing w:after="0"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025EE6A0">
      <w:pPr>
        <w:keepNext w:val="0"/>
        <w:keepLines w:val="0"/>
        <w:pageBreakBefore w:val="0"/>
        <w:widowControl/>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color w:val="333333"/>
          <w:kern w:val="0"/>
          <w:sz w:val="32"/>
          <w:szCs w:val="32"/>
          <w:highlight w:val="none"/>
        </w:rPr>
      </w:pPr>
    </w:p>
    <w:p w14:paraId="4F58F678">
      <w:pPr>
        <w:pStyle w:val="2"/>
        <w:rPr>
          <w:rFonts w:hint="eastAsia" w:ascii="方正仿宋简体" w:hAnsi="方正仿宋简体" w:eastAsia="方正仿宋简体" w:cs="方正仿宋简体"/>
          <w:color w:val="333333"/>
          <w:kern w:val="0"/>
          <w:sz w:val="32"/>
          <w:szCs w:val="32"/>
          <w:highlight w:val="none"/>
        </w:rPr>
      </w:pPr>
    </w:p>
    <w:p w14:paraId="7A11F250">
      <w:pPr>
        <w:pStyle w:val="2"/>
        <w:rPr>
          <w:rFonts w:hint="eastAsia" w:ascii="方正仿宋简体" w:hAnsi="方正仿宋简体" w:eastAsia="方正仿宋简体" w:cs="方正仿宋简体"/>
          <w:color w:val="333333"/>
          <w:kern w:val="0"/>
          <w:sz w:val="32"/>
          <w:szCs w:val="32"/>
          <w:highlight w:val="none"/>
        </w:rPr>
      </w:pPr>
    </w:p>
    <w:p w14:paraId="1FFB9EDA">
      <w:pPr>
        <w:pStyle w:val="2"/>
        <w:rPr>
          <w:rFonts w:hint="eastAsia" w:ascii="方正仿宋简体" w:hAnsi="方正仿宋简体" w:eastAsia="方正仿宋简体" w:cs="方正仿宋简体"/>
          <w:color w:val="333333"/>
          <w:kern w:val="0"/>
          <w:sz w:val="32"/>
          <w:szCs w:val="32"/>
          <w:highlight w:val="none"/>
        </w:rPr>
      </w:pPr>
    </w:p>
    <w:p w14:paraId="77565BF3">
      <w:pPr>
        <w:pStyle w:val="2"/>
        <w:rPr>
          <w:rFonts w:hint="eastAsia" w:ascii="方正仿宋简体" w:hAnsi="方正仿宋简体" w:eastAsia="方正仿宋简体" w:cs="方正仿宋简体"/>
          <w:color w:val="333333"/>
          <w:kern w:val="0"/>
          <w:sz w:val="32"/>
          <w:szCs w:val="32"/>
          <w:highlight w:val="none"/>
        </w:rPr>
      </w:pPr>
    </w:p>
    <w:p w14:paraId="14DBB894">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4C44CB00">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062C928D">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47CF95F4">
      <w:pPr>
        <w:keepNext w:val="0"/>
        <w:keepLines w:val="0"/>
        <w:pageBreakBefore w:val="0"/>
        <w:kinsoku/>
        <w:wordWrap/>
        <w:overflowPunct/>
        <w:topLinePunct w:val="0"/>
        <w:autoSpaceDE/>
        <w:autoSpaceDN/>
        <w:bidi w:val="0"/>
        <w:spacing w:line="600" w:lineRule="exact"/>
        <w:ind w:left="0" w:leftChars="0" w:firstLine="0" w:firstLineChars="0"/>
        <w:jc w:val="center"/>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lang w:eastAsia="zh-CN"/>
        </w:rPr>
        <w:t>泸定县烹坝镇人民政府</w:t>
      </w:r>
    </w:p>
    <w:p w14:paraId="55DD2393">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sz w:val="44"/>
          <w:szCs w:val="44"/>
          <w:highlight w:val="none"/>
        </w:rPr>
      </w:pPr>
      <w:bookmarkStart w:id="0" w:name="_Toc27398"/>
      <w:r>
        <w:rPr>
          <w:rFonts w:hint="default" w:ascii="Times New Roman" w:hAnsi="Times New Roman" w:eastAsia="方正小标宋简体" w:cs="Times New Roman"/>
          <w:sz w:val="44"/>
          <w:szCs w:val="44"/>
          <w:highlight w:val="none"/>
          <w:lang w:eastAsia="zh"/>
        </w:rPr>
        <w:t>2023</w:t>
      </w:r>
      <w:r>
        <w:rPr>
          <w:rFonts w:hint="eastAsia" w:ascii="方正小标宋简体" w:hAnsi="方正小标宋简体" w:eastAsia="方正小标宋简体" w:cs="方正小标宋简体"/>
          <w:sz w:val="44"/>
          <w:szCs w:val="44"/>
          <w:highlight w:val="none"/>
        </w:rPr>
        <w:t>年部门整体支出绩效评价报告</w:t>
      </w:r>
      <w:bookmarkEnd w:id="0"/>
    </w:p>
    <w:p w14:paraId="39A64A32">
      <w:pPr>
        <w:pStyle w:val="17"/>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highlight w:val="none"/>
          <w:lang w:val="fr-FR"/>
        </w:rPr>
      </w:pPr>
    </w:p>
    <w:p w14:paraId="5EB4AE5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pPr>
      <w:bookmarkStart w:id="1" w:name="_Toc8938"/>
      <w:bookmarkStart w:id="2" w:name="_Toc26210"/>
      <w:bookmarkStart w:id="3" w:name="_Toc6252"/>
    </w:p>
    <w:p w14:paraId="23B3807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pPr>
      <w:r>
        <w:rPr>
          <w:rFonts w:hint="eastAsia" w:ascii="方正仿宋简体" w:hAnsi="方正仿宋简体" w:eastAsia="方正仿宋简体" w:cs="方正仿宋简体"/>
          <w:color w:val="auto"/>
          <w:sz w:val="32"/>
          <w:szCs w:val="32"/>
          <w:highlight w:val="none"/>
          <w:lang w:val="en-US" w:eastAsia="zh-CN"/>
        </w:rPr>
        <w:t>依据《</w:t>
      </w:r>
      <w:r>
        <w:rPr>
          <w:rFonts w:hint="eastAsia" w:ascii="方正仿宋简体" w:hAnsi="方正仿宋简体" w:eastAsia="方正仿宋简体" w:cs="方正仿宋简体"/>
          <w:color w:val="auto"/>
          <w:sz w:val="32"/>
          <w:szCs w:val="32"/>
          <w:highlight w:val="none"/>
        </w:rPr>
        <w:t>泸定县财政局</w:t>
      </w:r>
      <w:r>
        <w:rPr>
          <w:rFonts w:hint="eastAsia" w:ascii="方正仿宋简体" w:hAnsi="方正仿宋简体" w:eastAsia="方正仿宋简体" w:cs="方正仿宋简体"/>
          <w:color w:val="auto"/>
          <w:sz w:val="32"/>
          <w:szCs w:val="32"/>
          <w:highlight w:val="none"/>
          <w:lang w:eastAsia="zh"/>
        </w:rPr>
        <w:t>关于开展</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年度部门整体绩效评价工作的通知</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eastAsia="zh"/>
        </w:rPr>
        <w:t>泸财〔</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w:t>
      </w:r>
      <w:r>
        <w:rPr>
          <w:rFonts w:hint="default" w:ascii="Times New Roman" w:hAnsi="Times New Roman" w:eastAsia="方正仿宋简体" w:cs="Times New Roman"/>
          <w:color w:val="auto"/>
          <w:sz w:val="32"/>
          <w:szCs w:val="32"/>
          <w:highlight w:val="none"/>
          <w:lang w:eastAsia="zh"/>
        </w:rPr>
        <w:t>30</w:t>
      </w:r>
      <w:r>
        <w:rPr>
          <w:rFonts w:hint="eastAsia" w:ascii="方正仿宋简体" w:hAnsi="方正仿宋简体" w:eastAsia="方正仿宋简体" w:cs="方正仿宋简体"/>
          <w:color w:val="auto"/>
          <w:sz w:val="32"/>
          <w:szCs w:val="32"/>
          <w:highlight w:val="none"/>
          <w:lang w:eastAsia="zh"/>
        </w:rPr>
        <w:t>号</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文件</w:t>
      </w:r>
      <w:r>
        <w:rPr>
          <w:rFonts w:hint="eastAsia" w:ascii="方正仿宋简体" w:hAnsi="方正仿宋简体" w:eastAsia="方正仿宋简体" w:cs="方正仿宋简体"/>
          <w:color w:val="auto"/>
          <w:sz w:val="32"/>
          <w:szCs w:val="32"/>
          <w:highlight w:val="none"/>
          <w:lang w:val="en-US" w:eastAsia="zh-CN"/>
        </w:rPr>
        <w:t>要求，我单位</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对</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泸定县烹坝镇人民政府</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年部门整体支出进行</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绩效评价。</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泸定县烹坝镇人民政府</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对其提供的绩效评价相关资料的真实性、合法性和完整性负责；我们的责任是依据《中共中央 国务院关于全面实施预算绩效管理的意见》（中发〔</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2018</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34</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、《中共四川省委 四川省人民政府关于全面实施预算绩效管理的实施意见》（川委发〔</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201</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、《中共甘孜州委办公室 甘孜州人民政府办公室关于印发</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甘孜州全面实施预算绩效管理工作实施方案</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的通知》（甘委办〔</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201</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120</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）和《泸定县财政局</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关于开展</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年度部门整体绩效评价工作的通知</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泸财〔</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30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文件要求，结合</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泸定县烹坝镇人民政府</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的实际情况，对</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年部门整体支出</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进行绩效评价，并出具绩效评价报告，现将相关情况报告如下：</w:t>
      </w:r>
      <w:bookmarkEnd w:id="1"/>
      <w:bookmarkEnd w:id="2"/>
      <w:bookmarkEnd w:id="3"/>
      <w:bookmarkStart w:id="4" w:name="_Toc8555"/>
      <w:bookmarkStart w:id="5" w:name="_Toc12185"/>
      <w:bookmarkStart w:id="6" w:name="_Toc109483833"/>
    </w:p>
    <w:p w14:paraId="6B6000B0">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lang w:eastAsia="zh-CN"/>
        </w:rPr>
      </w:pPr>
      <w:bookmarkStart w:id="7" w:name="_Toc26009"/>
      <w:bookmarkStart w:id="8" w:name="_Toc799907804"/>
      <w:bookmarkStart w:id="9" w:name="_Toc10147"/>
      <w:bookmarkStart w:id="10" w:name="_Toc18579"/>
      <w:bookmarkStart w:id="11" w:name="_Toc8753"/>
      <w:bookmarkStart w:id="12" w:name="_Toc12546"/>
      <w:bookmarkStart w:id="13" w:name="_Toc6700"/>
      <w:bookmarkStart w:id="14" w:name="_Toc1177"/>
      <w:r>
        <w:rPr>
          <w:rFonts w:hint="eastAsia" w:ascii="方正黑体简体" w:hAnsi="方正黑体简体" w:eastAsia="方正黑体简体" w:cs="方正黑体简体"/>
          <w:color w:val="000000"/>
          <w:kern w:val="0"/>
          <w:sz w:val="32"/>
          <w:szCs w:val="32"/>
          <w:highlight w:val="none"/>
          <w:shd w:val="clear" w:color="auto" w:fill="FFFFFF"/>
        </w:rPr>
        <w:t>一、</w:t>
      </w:r>
      <w:bookmarkEnd w:id="4"/>
      <w:bookmarkEnd w:id="5"/>
      <w:r>
        <w:rPr>
          <w:rFonts w:hint="eastAsia" w:ascii="方正黑体简体" w:hAnsi="方正黑体简体" w:eastAsia="方正黑体简体" w:cs="方正黑体简体"/>
          <w:color w:val="000000"/>
          <w:kern w:val="0"/>
          <w:sz w:val="32"/>
          <w:szCs w:val="32"/>
          <w:highlight w:val="none"/>
          <w:shd w:val="clear" w:color="auto" w:fill="FFFFFF"/>
        </w:rPr>
        <w:t>部门</w:t>
      </w:r>
      <w:bookmarkEnd w:id="6"/>
      <w:bookmarkEnd w:id="7"/>
      <w:bookmarkEnd w:id="8"/>
      <w:bookmarkStart w:id="15" w:name="_Toc30550"/>
      <w:bookmarkStart w:id="16" w:name="_Toc109483834"/>
      <w:bookmarkStart w:id="17" w:name="_Toc16549"/>
      <w:r>
        <w:rPr>
          <w:rFonts w:hint="eastAsia" w:ascii="方正黑体简体" w:hAnsi="方正黑体简体" w:eastAsia="方正黑体简体" w:cs="方正黑体简体"/>
          <w:color w:val="000000"/>
          <w:kern w:val="0"/>
          <w:sz w:val="32"/>
          <w:szCs w:val="32"/>
          <w:highlight w:val="none"/>
          <w:shd w:val="clear" w:color="auto" w:fill="FFFFFF"/>
          <w:lang w:val="en-US" w:eastAsia="zh-CN"/>
        </w:rPr>
        <w:t>概况</w:t>
      </w:r>
      <w:bookmarkEnd w:id="9"/>
      <w:bookmarkEnd w:id="10"/>
      <w:bookmarkEnd w:id="11"/>
      <w:bookmarkEnd w:id="12"/>
      <w:bookmarkEnd w:id="13"/>
      <w:bookmarkEnd w:id="14"/>
    </w:p>
    <w:p w14:paraId="6D775476">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18" w:name="_Toc419097264"/>
      <w:bookmarkStart w:id="19" w:name="_Toc7513"/>
      <w:bookmarkStart w:id="20" w:name="_Toc15436"/>
      <w:bookmarkStart w:id="21" w:name="_Toc20865"/>
      <w:bookmarkStart w:id="22" w:name="_Toc24161"/>
      <w:bookmarkStart w:id="23" w:name="_Toc8815"/>
      <w:bookmarkStart w:id="24" w:name="_Toc4137"/>
      <w:bookmarkStart w:id="25" w:name="_Toc2337"/>
      <w:r>
        <w:rPr>
          <w:rFonts w:hint="eastAsia" w:ascii="方正楷体简体" w:hAnsi="方正楷体简体" w:eastAsia="方正楷体简体" w:cs="方正楷体简体"/>
          <w:color w:val="000000"/>
          <w:kern w:val="0"/>
          <w:sz w:val="32"/>
          <w:szCs w:val="32"/>
          <w:highlight w:val="none"/>
          <w:shd w:val="clear" w:color="auto" w:fill="FFFFFF"/>
          <w:lang w:val="zh-CN"/>
        </w:rPr>
        <w:t>（一</w:t>
      </w:r>
      <w:bookmarkEnd w:id="15"/>
      <w:bookmarkEnd w:id="16"/>
      <w:bookmarkEnd w:id="17"/>
      <w:bookmarkEnd w:id="18"/>
      <w:bookmarkEnd w:id="19"/>
      <w:r>
        <w:rPr>
          <w:rFonts w:hint="eastAsia" w:ascii="方正楷体简体" w:hAnsi="方正楷体简体" w:eastAsia="方正楷体简体" w:cs="方正楷体简体"/>
          <w:color w:val="000000"/>
          <w:kern w:val="0"/>
          <w:sz w:val="32"/>
          <w:szCs w:val="32"/>
          <w:highlight w:val="none"/>
          <w:shd w:val="clear" w:color="auto" w:fill="FFFFFF"/>
        </w:rPr>
        <w:t>）</w:t>
      </w:r>
      <w:r>
        <w:rPr>
          <w:rFonts w:hint="eastAsia" w:ascii="方正楷体简体" w:hAnsi="方正楷体简体" w:eastAsia="方正楷体简体" w:cs="方正楷体简体"/>
          <w:color w:val="000000"/>
          <w:kern w:val="0"/>
          <w:sz w:val="32"/>
          <w:szCs w:val="32"/>
          <w:highlight w:val="none"/>
          <w:shd w:val="clear" w:color="auto" w:fill="FFFFFF"/>
          <w:lang w:val="zh-CN" w:eastAsia="zh-CN"/>
        </w:rPr>
        <w:t>部门基本情况</w:t>
      </w:r>
      <w:bookmarkEnd w:id="20"/>
      <w:bookmarkEnd w:id="21"/>
      <w:bookmarkEnd w:id="22"/>
      <w:bookmarkEnd w:id="23"/>
      <w:bookmarkEnd w:id="24"/>
      <w:bookmarkEnd w:id="25"/>
    </w:p>
    <w:p w14:paraId="73575EC3">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leftChars="0" w:right="0" w:rightChars="0" w:firstLine="560"/>
        <w:jc w:val="both"/>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26" w:name="_Toc109483835"/>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泸定县烹坝镇人民政府，属财政补助（收支统管、全额保障）的一级预算单位，机构性质：机关；单位负责人：林桂安；统一社会信用代码：</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115133220089815287</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；单位所在地：泸定县烹坝镇烹坝村</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组</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320</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号。</w:t>
      </w:r>
    </w:p>
    <w:p w14:paraId="13820324">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
        </w:rPr>
      </w:pPr>
      <w:bookmarkStart w:id="27" w:name="_Toc1278"/>
      <w:bookmarkStart w:id="28" w:name="_Toc17750"/>
      <w:bookmarkStart w:id="29" w:name="_Toc31223"/>
      <w:bookmarkStart w:id="30" w:name="_Toc1225"/>
      <w:bookmarkStart w:id="31" w:name="_Toc32536"/>
      <w:bookmarkStart w:id="32" w:name="_Toc6306"/>
      <w:r>
        <w:rPr>
          <w:rFonts w:hint="eastAsia" w:ascii="方正楷体简体" w:hAnsi="方正楷体简体" w:eastAsia="方正楷体简体" w:cs="方正楷体简体"/>
          <w:color w:val="000000"/>
          <w:kern w:val="0"/>
          <w:sz w:val="32"/>
          <w:szCs w:val="32"/>
          <w:highlight w:val="none"/>
          <w:shd w:val="clear" w:color="auto" w:fill="FFFFFF"/>
          <w:lang w:val="zh-CN" w:eastAsia="zh-CN"/>
        </w:rPr>
        <w:t>（二）部门</w:t>
      </w:r>
      <w:bookmarkEnd w:id="27"/>
      <w:bookmarkEnd w:id="28"/>
      <w:bookmarkEnd w:id="29"/>
      <w:r>
        <w:rPr>
          <w:rFonts w:hint="eastAsia" w:ascii="方正楷体简体" w:hAnsi="方正楷体简体" w:eastAsia="方正楷体简体" w:cs="方正楷体简体"/>
          <w:color w:val="000000"/>
          <w:kern w:val="0"/>
          <w:sz w:val="32"/>
          <w:szCs w:val="32"/>
          <w:highlight w:val="none"/>
          <w:shd w:val="clear" w:color="auto" w:fill="FFFFFF"/>
          <w:lang w:val="zh-CN" w:eastAsia="zh"/>
        </w:rPr>
        <w:t>内设机构及人员概况</w:t>
      </w:r>
      <w:bookmarkEnd w:id="30"/>
      <w:bookmarkEnd w:id="31"/>
      <w:bookmarkEnd w:id="32"/>
    </w:p>
    <w:p w14:paraId="7A74094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pPr>
      <w:bookmarkStart w:id="33" w:name="_Toc16978"/>
      <w:bookmarkStart w:id="34" w:name="_Toc568184988"/>
      <w:bookmarkStart w:id="35" w:name="_Toc22604"/>
      <w:bookmarkStart w:id="36" w:name="_Toc4442"/>
      <w:r>
        <w:rPr>
          <w:rFonts w:hint="eastAsia" w:ascii="方正仿宋简体" w:hAnsi="方正仿宋简体" w:eastAsia="方正仿宋简体" w:cs="方正仿宋简体"/>
          <w:color w:val="000000" w:themeColor="text1"/>
          <w:sz w:val="32"/>
          <w:szCs w:val="32"/>
          <w:highlight w:val="none"/>
          <w:lang w:val="fr-FR" w:eastAsia="zh-Hans"/>
          <w14:textFill>
            <w14:solidFill>
              <w14:schemeClr w14:val="tx1"/>
            </w14:solidFill>
          </w14:textFill>
        </w:rPr>
        <w:t>泸定县烹坝镇人民政府</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内设</w:t>
      </w:r>
      <w:r>
        <w:rPr>
          <w:rFonts w:hint="default" w:ascii="Times New Roman" w:hAnsi="Times New Roman" w:eastAsia="方正仿宋简体" w:cs="Times New Roman"/>
          <w:color w:val="000000" w:themeColor="text1"/>
          <w:sz w:val="32"/>
          <w:szCs w:val="32"/>
          <w:highlight w:val="none"/>
          <w:lang w:val="fr-FR" w:eastAsia="zh-Hans"/>
          <w14:textFill>
            <w14:solidFill>
              <w14:schemeClr w14:val="tx1"/>
            </w14:solidFill>
          </w14:textFill>
        </w:rPr>
        <w:t>7</w:t>
      </w:r>
      <w:r>
        <w:rPr>
          <w:rFonts w:hint="eastAsia" w:ascii="方正仿宋简体" w:hAnsi="方正仿宋简体" w:eastAsia="方正仿宋简体" w:cs="方正仿宋简体"/>
          <w:color w:val="000000" w:themeColor="text1"/>
          <w:sz w:val="32"/>
          <w:szCs w:val="32"/>
          <w:highlight w:val="none"/>
          <w:lang w:val="fr-FR" w:eastAsia="zh-Hans"/>
          <w14:textFill>
            <w14:solidFill>
              <w14:schemeClr w14:val="tx1"/>
            </w14:solidFill>
          </w14:textFill>
        </w:rPr>
        <w:t>个办事机构</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，包括：</w:t>
      </w:r>
      <w:r>
        <w:rPr>
          <w:rFonts w:hint="default" w:ascii="Times New Roman" w:hAnsi="Times New Roman" w:eastAsia="方正仿宋简体" w:cs="Times New Roman"/>
          <w:color w:val="000000" w:themeColor="text1"/>
          <w:sz w:val="32"/>
          <w:szCs w:val="32"/>
          <w:highlight w:val="none"/>
          <w:lang w:val="fr-FR" w:eastAsia="zh-Hans"/>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fr-FR" w:eastAsia="zh-Hans"/>
          <w14:textFill>
            <w14:solidFill>
              <w14:schemeClr w14:val="tx1"/>
            </w14:solidFill>
          </w14:textFill>
        </w:rPr>
        <w:t>.党政综合办公室</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Hans"/>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fr-FR" w:eastAsia="zh-Hans"/>
          <w14:textFill>
            <w14:solidFill>
              <w14:schemeClr w14:val="tx1"/>
            </w14:solidFill>
          </w14:textFill>
        </w:rPr>
        <w:t>.党建工作办公室</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Hans"/>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lang w:val="fr-FR" w:eastAsia="zh-Hans"/>
          <w14:textFill>
            <w14:solidFill>
              <w14:schemeClr w14:val="tx1"/>
            </w14:solidFill>
          </w14:textFill>
        </w:rPr>
        <w:t>.社会事务与经济发展办公室，挂乡村振兴办公室、统计办公室牌子</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Hans"/>
          <w14:textFill>
            <w14:solidFill>
              <w14:schemeClr w14:val="tx1"/>
            </w14:solidFill>
          </w14:textFill>
        </w:rPr>
        <w:t>4</w:t>
      </w:r>
      <w:r>
        <w:rPr>
          <w:rFonts w:hint="eastAsia" w:ascii="方正仿宋简体" w:hAnsi="方正仿宋简体" w:eastAsia="方正仿宋简体" w:cs="方正仿宋简体"/>
          <w:color w:val="000000" w:themeColor="text1"/>
          <w:sz w:val="32"/>
          <w:szCs w:val="32"/>
          <w:highlight w:val="none"/>
          <w:lang w:val="fr-FR" w:eastAsia="zh-Hans"/>
          <w14:textFill>
            <w14:solidFill>
              <w14:schemeClr w14:val="tx1"/>
            </w14:solidFill>
          </w14:textFill>
        </w:rPr>
        <w:t>.社会治理与应急管理办公室，挂社会治安综合治理中心牌子</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Hans"/>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lang w:val="fr-FR" w:eastAsia="zh-Hans"/>
          <w14:textFill>
            <w14:solidFill>
              <w14:schemeClr w14:val="tx1"/>
            </w14:solidFill>
          </w14:textFill>
        </w:rPr>
        <w:t>.综合执法与生态环境办公室</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Hans"/>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lang w:val="fr-FR" w:eastAsia="zh-Hans"/>
          <w14:textFill>
            <w14:solidFill>
              <w14:schemeClr w14:val="tx1"/>
            </w14:solidFill>
          </w14:textFill>
        </w:rPr>
        <w:t>.寺庙管理所</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eastAsia="zh-Hans"/>
          <w14:textFill>
            <w14:solidFill>
              <w14:schemeClr w14:val="tx1"/>
            </w14:solidFill>
          </w14:textFill>
        </w:rPr>
        <w:t>7</w:t>
      </w:r>
      <w:r>
        <w:rPr>
          <w:rFonts w:hint="eastAsia" w:ascii="方正仿宋简体" w:hAnsi="方正仿宋简体" w:eastAsia="方正仿宋简体" w:cs="方正仿宋简体"/>
          <w:color w:val="000000" w:themeColor="text1"/>
          <w:sz w:val="32"/>
          <w:szCs w:val="32"/>
          <w:highlight w:val="none"/>
          <w:lang w:val="fr-FR" w:eastAsia="zh-Hans"/>
          <w14:textFill>
            <w14:solidFill>
              <w14:schemeClr w14:val="tx1"/>
            </w14:solidFill>
          </w14:textFill>
        </w:rPr>
        <w:t>.财政所</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下</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设直属事业单位</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4</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个，分别为泸定县烹坝镇综合服务站（泸定县烹坝镇农业服务和畜牧兽医站）、泸定县烹坝镇便民服务中心（泸定县烹坝镇农民工服务站、泸定县烹坝镇矛盾纠纷多元化解协调中心）、泸定县烹坝镇文化旅游服务站、泸定县烹坝镇退役军人服务站。</w:t>
      </w:r>
    </w:p>
    <w:p w14:paraId="6CFB29C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fr-FR" w:eastAsia="zh-Hans"/>
          <w14:textFill>
            <w14:solidFill>
              <w14:schemeClr w14:val="tx1"/>
            </w14:solidFill>
          </w14:textFill>
        </w:rPr>
        <w:t>泸定县烹坝镇人民政府</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机关行政编制</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24</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 xml:space="preserve"> 名（含寺管所</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名）。其中：党委书记</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名，党委副书记、镇长</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名，人大主席团主席</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名，党委副书记、宣传委员</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名，党委副书记、统战委员</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名，纪委书记兼监察室主任</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名，组织委员</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名，政法委员</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名，人武部长兼副镇长</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名，副镇长</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名。乡镇党政副职可兼任乡镇党政综合办事机构负责人。机关工勤人员控制数</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名。</w:t>
      </w:r>
    </w:p>
    <w:p w14:paraId="756AE548">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37" w:name="_Toc4240"/>
      <w:bookmarkStart w:id="38" w:name="_Toc17492"/>
      <w:r>
        <w:rPr>
          <w:rFonts w:hint="eastAsia" w:ascii="方正楷体简体" w:hAnsi="方正楷体简体" w:eastAsia="方正楷体简体" w:cs="方正楷体简体"/>
          <w:color w:val="000000"/>
          <w:kern w:val="0"/>
          <w:sz w:val="32"/>
          <w:szCs w:val="32"/>
          <w:highlight w:val="none"/>
          <w:shd w:val="clear" w:color="auto" w:fill="FFFFFF"/>
          <w:lang w:val="zh-CN"/>
        </w:rPr>
        <w:t>（</w:t>
      </w:r>
      <w:r>
        <w:rPr>
          <w:rFonts w:hint="eastAsia" w:ascii="方正楷体简体" w:hAnsi="方正楷体简体" w:eastAsia="方正楷体简体" w:cs="方正楷体简体"/>
          <w:color w:val="000000"/>
          <w:kern w:val="0"/>
          <w:sz w:val="32"/>
          <w:szCs w:val="32"/>
          <w:highlight w:val="none"/>
          <w:shd w:val="clear" w:color="auto" w:fill="FFFFFF"/>
          <w:lang w:val="zh-CN" w:eastAsia="zh-CN"/>
        </w:rPr>
        <w:t>三</w:t>
      </w:r>
      <w:bookmarkEnd w:id="26"/>
      <w:bookmarkEnd w:id="33"/>
      <w:bookmarkEnd w:id="34"/>
      <w:r>
        <w:rPr>
          <w:rFonts w:hint="eastAsia" w:ascii="方正楷体简体" w:hAnsi="方正楷体简体" w:eastAsia="方正楷体简体" w:cs="方正楷体简体"/>
          <w:color w:val="000000"/>
          <w:kern w:val="0"/>
          <w:sz w:val="32"/>
          <w:szCs w:val="32"/>
          <w:highlight w:val="none"/>
          <w:shd w:val="clear" w:color="auto" w:fill="FFFFFF"/>
          <w:lang w:val="zh-CN"/>
        </w:rPr>
        <w:t>）</w:t>
      </w:r>
      <w:r>
        <w:rPr>
          <w:rFonts w:hint="eastAsia" w:ascii="方正楷体简体" w:hAnsi="方正楷体简体" w:eastAsia="方正楷体简体" w:cs="方正楷体简体"/>
          <w:color w:val="000000"/>
          <w:kern w:val="0"/>
          <w:sz w:val="32"/>
          <w:szCs w:val="32"/>
          <w:highlight w:val="none"/>
          <w:shd w:val="clear" w:color="auto" w:fill="FFFFFF"/>
          <w:lang w:val="zh-CN" w:eastAsia="zh-CN"/>
        </w:rPr>
        <w:t>部门职能职责</w:t>
      </w:r>
      <w:bookmarkEnd w:id="35"/>
      <w:bookmarkEnd w:id="36"/>
      <w:bookmarkEnd w:id="37"/>
      <w:bookmarkEnd w:id="38"/>
    </w:p>
    <w:p w14:paraId="61CADD6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pPr>
      <w:bookmarkStart w:id="39" w:name="_Toc109483836"/>
      <w:bookmarkStart w:id="40" w:name="_Toc33"/>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执行国家行政机关的决定、命令和国家制定的法令、法规，执行本级人民代表大会的各项决议，并报告执行决议、决定和命令的情况</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制定并落实本行政区域的经济计划和措施，承担国有资产、集体资产管理、监督及增值保值责任</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开展社会主义民主和法治的宣传教育，保障公民的权利，打击违法犯罪，维护社会稳定</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制定社会各项事业发展计划，发展教育、卫生、科技、民政、广播电视、文化、体育事业；加强计划生育工作；推进社会保障、社会福利事业和养老保险等工作</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加强乡镇财政的监督和管理</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指导村民委员会的组织制度建设和业务建设，促进村民委员会民主自治</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制定和组织实施乡村建设规划，保护和改善生活环境和生态环境</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协助和支持设置在本行政区域内不隶属于镇的国家机关和企事业单位工作，监督其遵守和执行国家的</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法律法规</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和政策</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承办本级党委、人大和上级交办的其他事项。</w:t>
      </w:r>
    </w:p>
    <w:p w14:paraId="4FA1FBF8">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lang w:val="zh-CN"/>
        </w:rPr>
      </w:pPr>
      <w:bookmarkStart w:id="41" w:name="_Toc1218480988"/>
      <w:bookmarkStart w:id="42" w:name="_Toc5368"/>
      <w:bookmarkStart w:id="43" w:name="_Toc14896"/>
      <w:bookmarkStart w:id="44" w:name="_Toc18431"/>
      <w:bookmarkStart w:id="45" w:name="_Toc2525"/>
      <w:bookmarkStart w:id="46" w:name="_Toc22594"/>
      <w:bookmarkStart w:id="47" w:name="_Toc13707"/>
      <w:bookmarkStart w:id="48" w:name="_Toc16871"/>
      <w:r>
        <w:rPr>
          <w:rFonts w:hint="eastAsia" w:ascii="方正黑体简体" w:hAnsi="方正黑体简体" w:eastAsia="方正黑体简体" w:cs="方正黑体简体"/>
          <w:color w:val="000000"/>
          <w:kern w:val="0"/>
          <w:sz w:val="32"/>
          <w:szCs w:val="32"/>
          <w:highlight w:val="none"/>
          <w:shd w:val="clear" w:color="auto" w:fill="FFFFFF"/>
          <w:lang w:val="zh-CN"/>
        </w:rPr>
        <w:t>二、资金来源及使用情况</w:t>
      </w:r>
      <w:bookmarkEnd w:id="39"/>
      <w:bookmarkEnd w:id="40"/>
      <w:bookmarkEnd w:id="41"/>
      <w:bookmarkEnd w:id="42"/>
      <w:bookmarkEnd w:id="43"/>
      <w:bookmarkEnd w:id="44"/>
      <w:bookmarkEnd w:id="45"/>
      <w:bookmarkEnd w:id="46"/>
      <w:bookmarkEnd w:id="47"/>
      <w:bookmarkEnd w:id="48"/>
      <w:bookmarkStart w:id="49" w:name="_Toc2659"/>
      <w:bookmarkStart w:id="50" w:name="_Toc109483837"/>
    </w:p>
    <w:bookmarkEnd w:id="49"/>
    <w:bookmarkEnd w:id="50"/>
    <w:p w14:paraId="4237A57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51" w:name="_Toc1949541301"/>
      <w:bookmarkStart w:id="52" w:name="_Toc22386"/>
      <w:bookmarkStart w:id="53" w:name="_Toc25866"/>
      <w:bookmarkStart w:id="54" w:name="_Toc15898"/>
      <w:bookmarkStart w:id="55" w:name="_Toc15359"/>
      <w:bookmarkStart w:id="56" w:name="_Toc30621"/>
      <w:bookmarkStart w:id="57" w:name="_Toc29180"/>
      <w:bookmarkStart w:id="58" w:name="_Toc2374"/>
      <w:r>
        <w:rPr>
          <w:rFonts w:hint="eastAsia" w:ascii="方正楷体简体" w:hAnsi="方正楷体简体" w:eastAsia="方正楷体简体" w:cs="方正楷体简体"/>
          <w:color w:val="000000"/>
          <w:kern w:val="0"/>
          <w:sz w:val="32"/>
          <w:szCs w:val="32"/>
          <w:highlight w:val="none"/>
          <w:shd w:val="clear" w:color="auto" w:fill="FFFFFF"/>
          <w:lang w:val="zh-CN"/>
        </w:rPr>
        <w:t>（一）部门资金收入决算情况</w:t>
      </w:r>
      <w:bookmarkEnd w:id="51"/>
      <w:bookmarkEnd w:id="52"/>
      <w:bookmarkEnd w:id="53"/>
      <w:bookmarkEnd w:id="54"/>
      <w:bookmarkEnd w:id="55"/>
      <w:bookmarkEnd w:id="56"/>
      <w:bookmarkEnd w:id="57"/>
      <w:bookmarkEnd w:id="58"/>
      <w:bookmarkStart w:id="59" w:name="_Toc19132"/>
    </w:p>
    <w:bookmarkEnd w:id="59"/>
    <w:p w14:paraId="2EE6080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bookmarkStart w:id="60" w:name="_Toc109483838"/>
      <w:bookmarkStart w:id="61" w:name="_Toc27073"/>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年泸定县烹坝镇人民政府</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收入总计</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595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其中：</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一般公共预算财政拨款收入</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387</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18</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，政府性基金预算财政拨款收入</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175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万元，其他收入</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w:t>
      </w:r>
    </w:p>
    <w:p w14:paraId="72AC6D39">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62" w:name="_Toc32695"/>
      <w:bookmarkStart w:id="63" w:name="_Toc349786989"/>
      <w:bookmarkStart w:id="64" w:name="_Toc23222"/>
      <w:bookmarkStart w:id="65" w:name="_Toc27782"/>
      <w:bookmarkStart w:id="66" w:name="_Toc17751"/>
      <w:bookmarkStart w:id="67" w:name="_Toc21527"/>
      <w:bookmarkStart w:id="68" w:name="_Toc21171"/>
      <w:bookmarkStart w:id="69" w:name="_Toc19326"/>
      <w:r>
        <w:rPr>
          <w:rFonts w:hint="eastAsia" w:ascii="方正楷体简体" w:hAnsi="方正楷体简体" w:eastAsia="方正楷体简体" w:cs="方正楷体简体"/>
          <w:color w:val="000000"/>
          <w:kern w:val="0"/>
          <w:sz w:val="32"/>
          <w:szCs w:val="32"/>
          <w:highlight w:val="none"/>
          <w:shd w:val="clear" w:color="auto" w:fill="FFFFFF"/>
          <w:lang w:val="zh-CN"/>
        </w:rPr>
        <w:t>（二）部门资金支出决算情况</w:t>
      </w:r>
      <w:bookmarkEnd w:id="60"/>
      <w:bookmarkEnd w:id="61"/>
      <w:bookmarkEnd w:id="62"/>
      <w:bookmarkEnd w:id="63"/>
      <w:bookmarkEnd w:id="64"/>
      <w:bookmarkEnd w:id="65"/>
      <w:bookmarkEnd w:id="66"/>
      <w:bookmarkEnd w:id="67"/>
      <w:bookmarkEnd w:id="68"/>
      <w:bookmarkEnd w:id="69"/>
    </w:p>
    <w:p w14:paraId="000EE33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bookmarkStart w:id="70" w:name="_Toc24721"/>
      <w:bookmarkStart w:id="71" w:name="_Toc18390"/>
      <w:bookmarkStart w:id="72" w:name="_Toc10837"/>
      <w:bookmarkStart w:id="73" w:name="_Toc809"/>
      <w:bookmarkStart w:id="74" w:name="_Toc109483839"/>
      <w:bookmarkStart w:id="75" w:name="_Toc1457008154"/>
      <w:bookmarkStart w:id="76" w:name="_Toc13841"/>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年泸定县烹坝镇人民政府</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支出总计</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595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万元，其中：基本支出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770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48</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人员经费支出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700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万元、公用经费支出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，项目支出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824</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85</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期末结余结转</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w:t>
      </w:r>
    </w:p>
    <w:p w14:paraId="3FD8497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lang w:val="en-US" w:eastAsia="zh-CN"/>
        </w:rPr>
      </w:pPr>
      <w:bookmarkStart w:id="77" w:name="_Toc16510"/>
      <w:bookmarkStart w:id="78" w:name="_Toc24279"/>
      <w:bookmarkStart w:id="79" w:name="_Toc11825"/>
      <w:r>
        <w:rPr>
          <w:rFonts w:hint="eastAsia" w:ascii="方正黑体简体" w:hAnsi="方正黑体简体" w:eastAsia="方正黑体简体" w:cs="方正黑体简体"/>
          <w:color w:val="000000"/>
          <w:kern w:val="0"/>
          <w:sz w:val="32"/>
          <w:szCs w:val="32"/>
          <w:highlight w:val="none"/>
          <w:shd w:val="clear" w:color="auto" w:fill="FFFFFF"/>
        </w:rPr>
        <w:t>三、</w:t>
      </w:r>
      <w:r>
        <w:rPr>
          <w:rFonts w:hint="eastAsia" w:ascii="方正黑体简体" w:hAnsi="方正黑体简体" w:eastAsia="方正黑体简体" w:cs="方正黑体简体"/>
          <w:color w:val="000000"/>
          <w:kern w:val="0"/>
          <w:sz w:val="32"/>
          <w:szCs w:val="32"/>
          <w:highlight w:val="none"/>
          <w:shd w:val="clear" w:color="auto" w:fill="FFFFFF"/>
          <w:lang w:val="en-US" w:eastAsia="zh-CN"/>
        </w:rPr>
        <w:t>部门目标实现情况</w:t>
      </w:r>
      <w:bookmarkEnd w:id="70"/>
      <w:bookmarkEnd w:id="71"/>
      <w:bookmarkEnd w:id="72"/>
      <w:bookmarkEnd w:id="77"/>
      <w:bookmarkEnd w:id="78"/>
      <w:bookmarkEnd w:id="79"/>
    </w:p>
    <w:p w14:paraId="0B017BD8">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80" w:name="_Toc29469"/>
      <w:bookmarkStart w:id="81" w:name="_Toc1169"/>
      <w:bookmarkStart w:id="82" w:name="_Toc3573"/>
      <w:bookmarkStart w:id="83" w:name="_Toc28011"/>
      <w:bookmarkStart w:id="84" w:name="_Toc28470"/>
      <w:bookmarkStart w:id="85" w:name="_Toc1418"/>
      <w:r>
        <w:rPr>
          <w:rFonts w:hint="eastAsia" w:ascii="方正楷体简体" w:hAnsi="方正楷体简体" w:eastAsia="方正楷体简体" w:cs="方正楷体简体"/>
          <w:color w:val="000000"/>
          <w:kern w:val="0"/>
          <w:sz w:val="32"/>
          <w:szCs w:val="32"/>
          <w:highlight w:val="none"/>
          <w:shd w:val="clear" w:color="auto" w:fill="FFFFFF"/>
          <w:lang w:val="zh-CN" w:eastAsia="zh-CN"/>
        </w:rPr>
        <w:t>（一）总体目标</w:t>
      </w:r>
      <w:bookmarkEnd w:id="80"/>
      <w:bookmarkEnd w:id="81"/>
      <w:bookmarkEnd w:id="82"/>
      <w:bookmarkEnd w:id="83"/>
      <w:bookmarkEnd w:id="84"/>
      <w:bookmarkEnd w:id="85"/>
    </w:p>
    <w:p w14:paraId="314F4B3B">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leftChars="0" w:right="0" w:rightChars="0"/>
        <w:jc w:val="both"/>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加快本镇水、电、路、通信等基础设施建设，夯实群众增收致富基础；全力做好电站移民安置后扶和经济产业建设工作；全力做好灾后恢复重建工作。优化农业产业结构，强力发展特色农业，提升脱贫村产业发展和脱贫户自身发展能力；推进文教事业发展，做好公共卫生服务，完善社会保障体系，大力建设法治烹坝，积极创新社会治理，维护民族团结进步，转变工作作风，建设服务型人民政府。</w:t>
      </w:r>
    </w:p>
    <w:p w14:paraId="1522CBA7">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sz w:val="32"/>
          <w:szCs w:val="32"/>
          <w:highlight w:val="none"/>
          <w:lang w:val="zh-CN" w:eastAsia="zh-CN"/>
        </w:rPr>
      </w:pPr>
      <w:bookmarkStart w:id="86" w:name="_Toc132"/>
      <w:bookmarkStart w:id="87" w:name="_Toc11959"/>
      <w:bookmarkStart w:id="88" w:name="_Toc15304"/>
      <w:bookmarkStart w:id="89" w:name="_Toc16345"/>
      <w:bookmarkStart w:id="90" w:name="_Toc17479"/>
      <w:bookmarkStart w:id="91" w:name="_Toc24652"/>
      <w:r>
        <w:rPr>
          <w:rFonts w:hint="eastAsia" w:ascii="方正楷体简体" w:hAnsi="方正楷体简体" w:eastAsia="方正楷体简体" w:cs="方正楷体简体"/>
          <w:kern w:val="2"/>
          <w:sz w:val="32"/>
          <w:szCs w:val="32"/>
          <w:highlight w:val="none"/>
          <w:lang w:val="zh-CN" w:eastAsia="zh-CN" w:bidi="ar-SA"/>
        </w:rPr>
        <w:t>（二）</w:t>
      </w:r>
      <w:r>
        <w:rPr>
          <w:rFonts w:hint="eastAsia" w:ascii="方正楷体简体" w:hAnsi="方正楷体简体" w:eastAsia="方正楷体简体" w:cs="方正楷体简体"/>
          <w:sz w:val="32"/>
          <w:szCs w:val="32"/>
          <w:highlight w:val="none"/>
          <w:lang w:val="zh-CN" w:eastAsia="zh-CN"/>
        </w:rPr>
        <w:t>具体目标</w:t>
      </w:r>
      <w:bookmarkEnd w:id="86"/>
      <w:bookmarkEnd w:id="87"/>
      <w:bookmarkEnd w:id="88"/>
      <w:bookmarkEnd w:id="89"/>
      <w:bookmarkEnd w:id="90"/>
      <w:bookmarkEnd w:id="91"/>
    </w:p>
    <w:p w14:paraId="0E43E071">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pPr>
      <w:r>
        <w:rPr>
          <w:rFonts w:hint="eastAsia" w:ascii="方正仿宋简体" w:hAnsi="方正仿宋简体" w:eastAsia="方正仿宋简体" w:cs="方正仿宋简体"/>
          <w:kern w:val="0"/>
          <w:sz w:val="32"/>
          <w:szCs w:val="32"/>
          <w:highlight w:val="none"/>
          <w:lang w:val="en-US" w:eastAsia="zh-CN" w:bidi="ar"/>
        </w:rPr>
        <w:t>一是持续推进乡村基础设施建设。持续投入财政资金实施产业路硬化，助力农业增产增收；深入农户动员宣讲政策、启动农村厕污共治建设，改善居民人居环境；实施供水设施升级改造和人饮水管网建设，安装太阳能路灯，补齐乡村发展短板。二是全力做好灾后恢复重建工作。严格按照县委、县政府序时进度，倒排工期，强力推进住房维修加固、重建和资金兑付工作。年度内已完成</w:t>
      </w:r>
      <w:r>
        <w:rPr>
          <w:rFonts w:hint="default" w:ascii="Times New Roman" w:hAnsi="Times New Roman" w:eastAsia="方正仿宋简体" w:cs="Times New Roman"/>
          <w:kern w:val="0"/>
          <w:sz w:val="32"/>
          <w:szCs w:val="32"/>
          <w:highlight w:val="none"/>
          <w:lang w:val="zh-CN" w:bidi="ar"/>
        </w:rPr>
        <w:t>1118</w:t>
      </w:r>
      <w:r>
        <w:rPr>
          <w:rFonts w:hint="eastAsia" w:ascii="方正仿宋简体" w:hAnsi="方正仿宋简体" w:eastAsia="方正仿宋简体" w:cs="方正仿宋简体"/>
          <w:kern w:val="0"/>
          <w:sz w:val="32"/>
          <w:szCs w:val="32"/>
          <w:highlight w:val="none"/>
          <w:lang w:val="zh-CN" w:bidi="ar"/>
        </w:rPr>
        <w:t>户房屋维修加固和资料归档工作</w:t>
      </w:r>
      <w:r>
        <w:rPr>
          <w:rFonts w:hint="eastAsia" w:ascii="方正仿宋简体" w:hAnsi="方正仿宋简体" w:eastAsia="方正仿宋简体" w:cs="方正仿宋简体"/>
          <w:kern w:val="0"/>
          <w:sz w:val="32"/>
          <w:szCs w:val="32"/>
          <w:highlight w:val="none"/>
          <w:lang w:val="zh-CN" w:eastAsia="zh-CN" w:bidi="ar"/>
        </w:rPr>
        <w:t>，</w:t>
      </w:r>
      <w:r>
        <w:rPr>
          <w:rFonts w:hint="default" w:ascii="Times New Roman" w:hAnsi="Times New Roman" w:eastAsia="方正仿宋简体" w:cs="Times New Roman"/>
          <w:kern w:val="0"/>
          <w:sz w:val="32"/>
          <w:szCs w:val="32"/>
          <w:highlight w:val="none"/>
          <w:lang w:val="zh-CN" w:bidi="ar"/>
        </w:rPr>
        <w:t>98</w:t>
      </w:r>
      <w:r>
        <w:rPr>
          <w:rFonts w:hint="eastAsia" w:ascii="方正仿宋简体" w:hAnsi="方正仿宋简体" w:eastAsia="方正仿宋简体" w:cs="方正仿宋简体"/>
          <w:kern w:val="0"/>
          <w:sz w:val="32"/>
          <w:szCs w:val="32"/>
          <w:highlight w:val="none"/>
          <w:lang w:val="zh-CN" w:bidi="ar"/>
        </w:rPr>
        <w:t>户重建户房屋主体已完成，主体完成率</w:t>
      </w:r>
      <w:r>
        <w:rPr>
          <w:rFonts w:hint="default" w:ascii="Times New Roman" w:hAnsi="Times New Roman" w:eastAsia="方正仿宋简体" w:cs="Times New Roman"/>
          <w:kern w:val="0"/>
          <w:sz w:val="32"/>
          <w:szCs w:val="32"/>
          <w:highlight w:val="none"/>
          <w:lang w:val="zh-CN" w:bidi="ar"/>
        </w:rPr>
        <w:t>100%</w:t>
      </w:r>
      <w:r>
        <w:rPr>
          <w:rFonts w:hint="eastAsia" w:ascii="方正仿宋简体" w:hAnsi="方正仿宋简体" w:eastAsia="方正仿宋简体" w:cs="方正仿宋简体"/>
          <w:kern w:val="0"/>
          <w:sz w:val="32"/>
          <w:szCs w:val="32"/>
          <w:highlight w:val="none"/>
          <w:lang w:val="zh-CN" w:eastAsia="zh-CN" w:bidi="ar"/>
        </w:rPr>
        <w:t>，</w:t>
      </w:r>
      <w:r>
        <w:rPr>
          <w:rFonts w:hint="eastAsia" w:ascii="方正仿宋简体" w:hAnsi="方正仿宋简体" w:eastAsia="方正仿宋简体" w:cs="方正仿宋简体"/>
          <w:kern w:val="0"/>
          <w:sz w:val="32"/>
          <w:szCs w:val="32"/>
          <w:highlight w:val="none"/>
          <w:lang w:val="zh-CN" w:bidi="ar"/>
        </w:rPr>
        <w:t>全镇</w:t>
      </w:r>
      <w:r>
        <w:rPr>
          <w:rFonts w:hint="default" w:ascii="Times New Roman" w:hAnsi="Times New Roman" w:eastAsia="方正仿宋简体" w:cs="Times New Roman"/>
          <w:kern w:val="0"/>
          <w:sz w:val="32"/>
          <w:szCs w:val="32"/>
          <w:highlight w:val="none"/>
          <w:lang w:val="zh-CN" w:bidi="ar"/>
        </w:rPr>
        <w:t>39</w:t>
      </w:r>
      <w:r>
        <w:rPr>
          <w:rFonts w:hint="eastAsia" w:ascii="方正仿宋简体" w:hAnsi="方正仿宋简体" w:eastAsia="方正仿宋简体" w:cs="方正仿宋简体"/>
          <w:kern w:val="0"/>
          <w:sz w:val="32"/>
          <w:szCs w:val="32"/>
          <w:highlight w:val="none"/>
          <w:lang w:val="zh-CN" w:bidi="ar"/>
        </w:rPr>
        <w:t>户货币安置户（包含购房安置）已全部完成倒房腾地工作</w:t>
      </w:r>
      <w:r>
        <w:rPr>
          <w:rFonts w:hint="eastAsia" w:ascii="方正仿宋简体" w:hAnsi="方正仿宋简体" w:eastAsia="方正仿宋简体" w:cs="方正仿宋简体"/>
          <w:kern w:val="0"/>
          <w:sz w:val="32"/>
          <w:szCs w:val="32"/>
          <w:highlight w:val="none"/>
          <w:lang w:val="zh-CN" w:eastAsia="zh-CN" w:bidi="ar"/>
        </w:rPr>
        <w:t>，</w:t>
      </w:r>
      <w:r>
        <w:rPr>
          <w:rFonts w:hint="eastAsia" w:ascii="方正仿宋简体" w:hAnsi="方正仿宋简体" w:eastAsia="方正仿宋简体" w:cs="方正仿宋简体"/>
          <w:kern w:val="0"/>
          <w:sz w:val="32"/>
          <w:szCs w:val="32"/>
          <w:highlight w:val="none"/>
          <w:lang w:val="zh-CN" w:bidi="ar"/>
        </w:rPr>
        <w:t>灾后重建项目办公用房维修工作已全面完工。</w:t>
      </w:r>
      <w:r>
        <w:rPr>
          <w:rFonts w:hint="eastAsia" w:ascii="方正仿宋简体" w:hAnsi="方正仿宋简体" w:eastAsia="方正仿宋简体" w:cs="方正仿宋简体"/>
          <w:kern w:val="0"/>
          <w:sz w:val="32"/>
          <w:szCs w:val="32"/>
          <w:highlight w:val="none"/>
          <w:lang w:val="en-US" w:eastAsia="zh-CN" w:bidi="ar"/>
        </w:rPr>
        <w:t>三是强力发展特色产业，推动优化产业结构。结合农业发展实际，积极发展经济效益显著的</w:t>
      </w:r>
      <w:r>
        <w:rPr>
          <w:rFonts w:hint="eastAsia" w:ascii="方正仿宋简体" w:hAnsi="方正仿宋简体" w:eastAsia="方正仿宋简体" w:cs="方正仿宋简体"/>
          <w:kern w:val="0"/>
          <w:sz w:val="32"/>
          <w:szCs w:val="32"/>
          <w:highlight w:val="none"/>
          <w:lang w:val="zh-CN" w:bidi="ar"/>
        </w:rPr>
        <w:t>经济林果特色产业</w:t>
      </w:r>
      <w:r>
        <w:rPr>
          <w:rFonts w:hint="eastAsia" w:ascii="方正仿宋简体" w:hAnsi="方正仿宋简体" w:eastAsia="方正仿宋简体" w:cs="方正仿宋简体"/>
          <w:kern w:val="0"/>
          <w:sz w:val="32"/>
          <w:szCs w:val="32"/>
          <w:highlight w:val="none"/>
          <w:lang w:val="zh-CN" w:eastAsia="zh-CN" w:bidi="ar"/>
        </w:rPr>
        <w:t>、</w:t>
      </w:r>
      <w:r>
        <w:rPr>
          <w:rFonts w:hint="eastAsia" w:ascii="方正仿宋简体" w:hAnsi="方正仿宋简体" w:eastAsia="方正仿宋简体" w:cs="方正仿宋简体"/>
          <w:kern w:val="0"/>
          <w:sz w:val="32"/>
          <w:szCs w:val="32"/>
          <w:highlight w:val="none"/>
          <w:lang w:val="zh-CN" w:bidi="ar"/>
        </w:rPr>
        <w:t>特色产业中药材种植</w:t>
      </w:r>
      <w:r>
        <w:rPr>
          <w:rFonts w:hint="eastAsia" w:ascii="方正仿宋简体" w:hAnsi="方正仿宋简体" w:eastAsia="方正仿宋简体" w:cs="方正仿宋简体"/>
          <w:kern w:val="0"/>
          <w:sz w:val="32"/>
          <w:szCs w:val="32"/>
          <w:highlight w:val="none"/>
          <w:lang w:val="en-US" w:eastAsia="zh-CN" w:bidi="ar"/>
        </w:rPr>
        <w:t>和乡村旅游融合发展，促进居民增产增收。四是做好公共卫生服务。</w:t>
      </w:r>
      <w:r>
        <w:rPr>
          <w:rFonts w:hint="eastAsia" w:ascii="方正仿宋简体" w:hAnsi="方正仿宋简体" w:eastAsia="方正仿宋简体" w:cs="方正仿宋简体"/>
          <w:kern w:val="0"/>
          <w:sz w:val="32"/>
          <w:szCs w:val="32"/>
          <w:highlight w:val="none"/>
          <w:lang w:val="zh-CN" w:bidi="ar"/>
        </w:rPr>
        <w:t>将河道垃圾治理、公路沿线垃圾整治等工作作为全域无垃圾工作的重中之</w:t>
      </w:r>
      <w:r>
        <w:rPr>
          <w:rFonts w:hint="eastAsia" w:ascii="方正仿宋简体" w:hAnsi="方正仿宋简体" w:eastAsia="方正仿宋简体" w:cs="方正仿宋简体"/>
          <w:kern w:val="0"/>
          <w:sz w:val="32"/>
          <w:szCs w:val="32"/>
          <w:highlight w:val="none"/>
          <w:lang w:val="en-US" w:eastAsia="zh-CN" w:bidi="ar"/>
        </w:rPr>
        <w:t>重，全力开展存量垃圾清理行动；</w:t>
      </w:r>
      <w:r>
        <w:rPr>
          <w:rFonts w:hint="eastAsia" w:ascii="方正仿宋简体" w:hAnsi="方正仿宋简体" w:eastAsia="方正仿宋简体" w:cs="方正仿宋简体"/>
          <w:kern w:val="0"/>
          <w:sz w:val="32"/>
          <w:szCs w:val="32"/>
          <w:highlight w:val="none"/>
          <w:lang w:val="zh-CN" w:bidi="ar"/>
        </w:rPr>
        <w:t>彻底整治畜禽养殖污染，有效减少存量，</w:t>
      </w:r>
      <w:r>
        <w:rPr>
          <w:rFonts w:hint="eastAsia" w:ascii="方正仿宋简体" w:hAnsi="方正仿宋简体" w:eastAsia="方正仿宋简体" w:cs="方正仿宋简体"/>
          <w:kern w:val="0"/>
          <w:sz w:val="32"/>
          <w:szCs w:val="32"/>
          <w:highlight w:val="none"/>
          <w:lang w:val="en-US" w:eastAsia="zh-CN" w:bidi="ar"/>
        </w:rPr>
        <w:t>遏制增量，强力推进生态环境不断优化。五是加强社会治理，维护社会稳定。坚持领导干部接访制度，将矛盾在第一线得到化解。持续深入开展安全生产三年专项整治行动和森林草原防灭火整治行动，降低自然灾害风险。开展重点人员教育稳控，不断加强吸毒人员、社区矫正人员、刑满释放人员以及流动人口、暂住人口等重点对象的教育管理，切实做到不漏管，不失控，不出事，构建和谐社会。</w:t>
      </w:r>
    </w:p>
    <w:p w14:paraId="53BFE3A3">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92" w:name="_Toc17379"/>
      <w:bookmarkStart w:id="93" w:name="_Toc6491"/>
      <w:bookmarkStart w:id="94" w:name="_Toc19914"/>
      <w:bookmarkStart w:id="95" w:name="_Toc24081"/>
      <w:bookmarkStart w:id="96" w:name="_Toc23267"/>
      <w:bookmarkStart w:id="97" w:name="_Toc17536"/>
      <w:r>
        <w:rPr>
          <w:rFonts w:hint="eastAsia" w:ascii="方正黑体简体" w:hAnsi="方正黑体简体" w:eastAsia="方正黑体简体" w:cs="方正黑体简体"/>
          <w:color w:val="000000"/>
          <w:kern w:val="0"/>
          <w:sz w:val="32"/>
          <w:szCs w:val="32"/>
          <w:highlight w:val="none"/>
          <w:shd w:val="clear" w:color="auto" w:fill="FFFFFF"/>
          <w:lang w:val="en-US" w:eastAsia="zh-CN"/>
        </w:rPr>
        <w:t>四、</w:t>
      </w:r>
      <w:r>
        <w:rPr>
          <w:rFonts w:hint="eastAsia" w:ascii="方正黑体简体" w:hAnsi="方正黑体简体" w:eastAsia="方正黑体简体" w:cs="方正黑体简体"/>
          <w:color w:val="000000"/>
          <w:kern w:val="0"/>
          <w:sz w:val="32"/>
          <w:szCs w:val="32"/>
          <w:highlight w:val="none"/>
          <w:shd w:val="clear" w:color="auto" w:fill="FFFFFF"/>
        </w:rPr>
        <w:t>部门整体支出</w:t>
      </w:r>
      <w:r>
        <w:rPr>
          <w:rFonts w:hint="eastAsia" w:ascii="方正黑体简体" w:hAnsi="方正黑体简体" w:eastAsia="方正黑体简体" w:cs="方正黑体简体"/>
          <w:color w:val="000000"/>
          <w:kern w:val="0"/>
          <w:sz w:val="32"/>
          <w:szCs w:val="32"/>
          <w:highlight w:val="none"/>
          <w:shd w:val="clear" w:color="auto" w:fill="FFFFFF"/>
          <w:lang w:val="zh-CN"/>
        </w:rPr>
        <w:t>绩效评价</w:t>
      </w:r>
      <w:r>
        <w:rPr>
          <w:rFonts w:hint="eastAsia" w:ascii="方正黑体简体" w:hAnsi="方正黑体简体" w:eastAsia="方正黑体简体" w:cs="方正黑体简体"/>
          <w:color w:val="000000"/>
          <w:kern w:val="0"/>
          <w:sz w:val="32"/>
          <w:szCs w:val="32"/>
          <w:highlight w:val="none"/>
          <w:shd w:val="clear" w:color="auto" w:fill="FFFFFF"/>
        </w:rPr>
        <w:t>情况</w:t>
      </w:r>
      <w:bookmarkEnd w:id="73"/>
      <w:bookmarkEnd w:id="74"/>
      <w:bookmarkEnd w:id="75"/>
      <w:bookmarkEnd w:id="76"/>
      <w:bookmarkEnd w:id="92"/>
      <w:bookmarkEnd w:id="93"/>
      <w:bookmarkEnd w:id="94"/>
      <w:bookmarkEnd w:id="95"/>
      <w:bookmarkEnd w:id="96"/>
      <w:bookmarkEnd w:id="97"/>
    </w:p>
    <w:p w14:paraId="73864E11">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kern w:val="2"/>
          <w:sz w:val="32"/>
          <w:szCs w:val="32"/>
          <w:highlight w:val="none"/>
          <w:lang w:val="zh-CN" w:eastAsia="zh-CN" w:bidi="ar-SA"/>
        </w:rPr>
      </w:pPr>
      <w:bookmarkStart w:id="98" w:name="_Toc24977"/>
      <w:bookmarkStart w:id="99" w:name="_Toc29571"/>
      <w:bookmarkStart w:id="100" w:name="_Toc13210"/>
      <w:bookmarkStart w:id="101" w:name="_Toc560"/>
      <w:bookmarkStart w:id="102" w:name="_Toc21634"/>
      <w:bookmarkStart w:id="103" w:name="_Toc11694"/>
      <w:bookmarkStart w:id="104" w:name="_Toc8903"/>
      <w:bookmarkStart w:id="105" w:name="_Toc428273082"/>
      <w:bookmarkStart w:id="106" w:name="_Toc109483840"/>
      <w:bookmarkStart w:id="107" w:name="_Toc27305"/>
      <w:bookmarkStart w:id="108" w:name="_Toc4199"/>
      <w:r>
        <w:rPr>
          <w:rFonts w:hint="eastAsia" w:ascii="方正楷体简体" w:hAnsi="方正楷体简体" w:eastAsia="方正楷体简体" w:cs="方正楷体简体"/>
          <w:kern w:val="2"/>
          <w:sz w:val="32"/>
          <w:szCs w:val="32"/>
          <w:highlight w:val="none"/>
          <w:lang w:val="zh-CN" w:eastAsia="zh-CN" w:bidi="ar-SA"/>
        </w:rPr>
        <w:t>（一）绩效评价实施过程</w:t>
      </w:r>
      <w:bookmarkEnd w:id="98"/>
      <w:bookmarkEnd w:id="99"/>
      <w:bookmarkEnd w:id="100"/>
      <w:bookmarkEnd w:id="101"/>
      <w:bookmarkEnd w:id="102"/>
      <w:bookmarkEnd w:id="103"/>
    </w:p>
    <w:p w14:paraId="6949BD8D">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highlight w:val="none"/>
          <w:lang w:val="zh-CN" w:bidi="ar"/>
        </w:rPr>
      </w:pPr>
      <w:r>
        <w:rPr>
          <w:rFonts w:hint="eastAsia" w:ascii="方正仿宋简体" w:hAnsi="方正仿宋简体" w:eastAsia="方正仿宋简体" w:cs="方正仿宋简体"/>
          <w:kern w:val="0"/>
          <w:sz w:val="32"/>
          <w:szCs w:val="32"/>
          <w:highlight w:val="none"/>
          <w:lang w:val="zh-CN" w:bidi="ar"/>
        </w:rPr>
        <w:t>评价小组按照评价日程安排，对</w:t>
      </w:r>
      <w:r>
        <w:rPr>
          <w:rFonts w:hint="eastAsia" w:ascii="方正仿宋简体" w:hAnsi="方正仿宋简体" w:eastAsia="方正仿宋简体" w:cs="方正仿宋简体"/>
          <w:kern w:val="0"/>
          <w:sz w:val="32"/>
          <w:szCs w:val="32"/>
          <w:highlight w:val="none"/>
          <w:lang w:eastAsia="zh-CN" w:bidi="ar"/>
        </w:rPr>
        <w:t>泸定县烹坝镇人民政府</w:t>
      </w:r>
      <w:r>
        <w:rPr>
          <w:rFonts w:hint="eastAsia" w:ascii="方正仿宋简体" w:hAnsi="方正仿宋简体" w:eastAsia="方正仿宋简体" w:cs="方正仿宋简体"/>
          <w:kern w:val="0"/>
          <w:sz w:val="32"/>
          <w:szCs w:val="32"/>
          <w:highlight w:val="none"/>
          <w:lang w:val="zh-CN" w:bidi="ar"/>
        </w:rPr>
        <w:t>提交的评价资料进行认真梳理，测算分析各项指标，汇总评分并形成评价报告。</w:t>
      </w:r>
    </w:p>
    <w:p w14:paraId="0747DA75">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1</w:t>
      </w:r>
      <w:r>
        <w:rPr>
          <w:rFonts w:hint="eastAsia" w:ascii="方正仿宋简体" w:hAnsi="方正仿宋简体" w:eastAsia="方正仿宋简体" w:cs="方正仿宋简体"/>
          <w:kern w:val="0"/>
          <w:sz w:val="32"/>
          <w:szCs w:val="32"/>
          <w:highlight w:val="none"/>
          <w:lang w:val="zh-CN" w:bidi="ar"/>
        </w:rPr>
        <w:t>.对相关资料进行研读，对整体评价有基本的把握和了解，归纳出进一步评价所需的信息供下一步取数参考。</w:t>
      </w:r>
    </w:p>
    <w:p w14:paraId="5F2D740E">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2</w:t>
      </w:r>
      <w:r>
        <w:rPr>
          <w:rFonts w:hint="eastAsia" w:ascii="方正仿宋简体" w:hAnsi="方正仿宋简体" w:eastAsia="方正仿宋简体" w:cs="方正仿宋简体"/>
          <w:kern w:val="0"/>
          <w:sz w:val="32"/>
          <w:szCs w:val="32"/>
          <w:highlight w:val="none"/>
          <w:lang w:val="zh-CN" w:bidi="ar"/>
        </w:rPr>
        <w:t>.集中对各个评价指标逐一进行分析，以保证取数的准确性。</w:t>
      </w:r>
    </w:p>
    <w:p w14:paraId="60580EB3">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3</w:t>
      </w:r>
      <w:r>
        <w:rPr>
          <w:rFonts w:hint="eastAsia" w:ascii="方正仿宋简体" w:hAnsi="方正仿宋简体" w:eastAsia="方正仿宋简体" w:cs="方正仿宋简体"/>
          <w:kern w:val="0"/>
          <w:sz w:val="32"/>
          <w:szCs w:val="32"/>
          <w:highlight w:val="none"/>
          <w:lang w:val="zh-CN" w:bidi="ar"/>
        </w:rPr>
        <w:t>.评价小组汇总分析评价过程中发现的问题并对存在问题进行讨论，根据取得的数据分别计算各评价指标所得分数，形成评价结果。</w:t>
      </w:r>
    </w:p>
    <w:p w14:paraId="30E699E0">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4</w:t>
      </w:r>
      <w:r>
        <w:rPr>
          <w:rFonts w:hint="eastAsia" w:ascii="方正仿宋简体" w:hAnsi="方正仿宋简体" w:eastAsia="方正仿宋简体" w:cs="方正仿宋简体"/>
          <w:kern w:val="0"/>
          <w:sz w:val="32"/>
          <w:szCs w:val="32"/>
          <w:highlight w:val="none"/>
          <w:lang w:val="zh-CN" w:bidi="ar"/>
        </w:rPr>
        <w:t>.根据评价结果，撰写评价报告。</w:t>
      </w:r>
    </w:p>
    <w:p w14:paraId="3FEF902D">
      <w:pPr>
        <w:keepNext w:val="0"/>
        <w:keepLines w:val="0"/>
        <w:pageBreakBefore w:val="0"/>
        <w:widowControl/>
        <w:numPr>
          <w:ilvl w:val="0"/>
          <w:numId w:val="0"/>
        </w:numPr>
        <w:kinsoku/>
        <w:wordWrap/>
        <w:overflowPunct/>
        <w:topLinePunct w:val="0"/>
        <w:autoSpaceDE/>
        <w:autoSpaceDN/>
        <w:bidi w:val="0"/>
        <w:snapToGrid/>
        <w:spacing w:line="60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5</w:t>
      </w:r>
      <w:r>
        <w:rPr>
          <w:rFonts w:hint="eastAsia" w:ascii="方正仿宋简体" w:hAnsi="方正仿宋简体" w:eastAsia="方正仿宋简体" w:cs="方正仿宋简体"/>
          <w:kern w:val="0"/>
          <w:sz w:val="32"/>
          <w:szCs w:val="32"/>
          <w:highlight w:val="none"/>
          <w:lang w:val="zh-CN" w:bidi="ar"/>
        </w:rPr>
        <w:t>.与绩效评价相关者沟通，完善并形成绩效评价报告终稿。</w:t>
      </w:r>
    </w:p>
    <w:p w14:paraId="3C50CCB9">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kern w:val="2"/>
          <w:sz w:val="32"/>
          <w:szCs w:val="32"/>
          <w:highlight w:val="none"/>
          <w:lang w:val="en-US" w:eastAsia="zh-CN" w:bidi="ar-SA"/>
        </w:rPr>
      </w:pPr>
      <w:bookmarkStart w:id="109" w:name="_Toc16416"/>
      <w:bookmarkStart w:id="110" w:name="_Toc20798"/>
      <w:bookmarkStart w:id="111" w:name="_Toc30977"/>
      <w:bookmarkStart w:id="112" w:name="_Toc26035"/>
      <w:bookmarkStart w:id="113" w:name="_Toc28318"/>
      <w:bookmarkStart w:id="114" w:name="_Toc23900"/>
      <w:r>
        <w:rPr>
          <w:rFonts w:hint="eastAsia" w:ascii="方正楷体简体" w:hAnsi="方正楷体简体" w:eastAsia="方正楷体简体" w:cs="方正楷体简体"/>
          <w:kern w:val="2"/>
          <w:sz w:val="32"/>
          <w:szCs w:val="32"/>
          <w:highlight w:val="none"/>
          <w:lang w:val="zh-CN" w:eastAsia="zh-CN" w:bidi="ar-SA"/>
        </w:rPr>
        <w:t>（</w:t>
      </w:r>
      <w:r>
        <w:rPr>
          <w:rFonts w:hint="eastAsia" w:ascii="方正楷体简体" w:hAnsi="方正楷体简体" w:eastAsia="方正楷体简体" w:cs="方正楷体简体"/>
          <w:kern w:val="2"/>
          <w:sz w:val="32"/>
          <w:szCs w:val="32"/>
          <w:highlight w:val="none"/>
          <w:lang w:val="en-US" w:eastAsia="zh-CN" w:bidi="ar-SA"/>
        </w:rPr>
        <w:t>二</w:t>
      </w:r>
      <w:bookmarkEnd w:id="104"/>
      <w:bookmarkEnd w:id="105"/>
      <w:r>
        <w:rPr>
          <w:rFonts w:hint="eastAsia" w:ascii="方正楷体简体" w:hAnsi="方正楷体简体" w:eastAsia="方正楷体简体" w:cs="方正楷体简体"/>
          <w:kern w:val="2"/>
          <w:sz w:val="32"/>
          <w:szCs w:val="32"/>
          <w:highlight w:val="none"/>
          <w:lang w:val="zh-CN" w:eastAsia="zh-CN" w:bidi="ar-SA"/>
        </w:rPr>
        <w:t>）</w:t>
      </w:r>
      <w:r>
        <w:rPr>
          <w:rFonts w:hint="eastAsia" w:ascii="方正楷体简体" w:hAnsi="方正楷体简体" w:eastAsia="方正楷体简体" w:cs="方正楷体简体"/>
          <w:kern w:val="2"/>
          <w:sz w:val="32"/>
          <w:szCs w:val="32"/>
          <w:highlight w:val="none"/>
          <w:lang w:val="en-US" w:eastAsia="zh-CN" w:bidi="ar-SA"/>
        </w:rPr>
        <w:t>评价结论</w:t>
      </w:r>
      <w:bookmarkEnd w:id="109"/>
      <w:bookmarkEnd w:id="110"/>
      <w:bookmarkEnd w:id="111"/>
      <w:bookmarkEnd w:id="112"/>
      <w:bookmarkEnd w:id="113"/>
      <w:bookmarkEnd w:id="114"/>
    </w:p>
    <w:bookmarkEnd w:id="106"/>
    <w:bookmarkEnd w:id="107"/>
    <w:bookmarkEnd w:id="108"/>
    <w:p w14:paraId="7BDBAB5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en-US"/>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泸定县烹坝镇人民政府全力做好灾后恢复重建工作，加快本镇水、电、路、通信等基础设施建设，夯实群众增收致富基础；优化农业产业结构，强力发展特色农业，提升脱贫村产业发展和脱贫户自身发展能力，</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促进人民群众增收致富</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；推进文教事业发展，做好公共卫生服务，完善社会保障体系，积极创新社会治理，</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努力</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建设服务型人民政府。</w:t>
      </w:r>
    </w:p>
    <w:p w14:paraId="6BC2D67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kern w:val="0"/>
          <w:sz w:val="32"/>
          <w:szCs w:val="32"/>
          <w:highlight w:val="none"/>
          <w:lang w:val="en-US" w:eastAsia="zh-CN" w:bidi="ar"/>
        </w:rPr>
      </w:pPr>
      <w:r>
        <w:rPr>
          <w:rFonts w:hint="eastAsia" w:ascii="方正仿宋简体" w:hAnsi="方正仿宋简体" w:eastAsia="方正仿宋简体" w:cs="方正仿宋简体"/>
          <w:kern w:val="0"/>
          <w:sz w:val="32"/>
          <w:szCs w:val="32"/>
          <w:highlight w:val="none"/>
          <w:lang w:bidi="ar"/>
        </w:rPr>
        <w:t>综上所述，</w:t>
      </w:r>
      <w:r>
        <w:rPr>
          <w:rFonts w:hint="eastAsia" w:ascii="方正仿宋简体" w:hAnsi="方正仿宋简体" w:eastAsia="方正仿宋简体" w:cs="方正仿宋简体"/>
          <w:kern w:val="0"/>
          <w:sz w:val="32"/>
          <w:szCs w:val="32"/>
          <w:highlight w:val="none"/>
          <w:lang w:eastAsia="zh-CN" w:bidi="ar"/>
        </w:rPr>
        <w:t>泸定县烹坝镇人民政府</w:t>
      </w:r>
      <w:r>
        <w:rPr>
          <w:rFonts w:hint="eastAsia" w:ascii="方正仿宋简体" w:hAnsi="方正仿宋简体" w:eastAsia="方正仿宋简体" w:cs="方正仿宋简体"/>
          <w:kern w:val="0"/>
          <w:sz w:val="32"/>
          <w:szCs w:val="32"/>
          <w:highlight w:val="none"/>
          <w:lang w:bidi="ar"/>
        </w:rPr>
        <w:t>在维持部门运转的基础上，完成了部门职责范围内的各项工作，部门履职情况较好。</w:t>
      </w:r>
    </w:p>
    <w:p w14:paraId="2E13C33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kern w:val="0"/>
          <w:sz w:val="32"/>
          <w:szCs w:val="32"/>
          <w:highlight w:val="none"/>
          <w:lang w:bidi="ar"/>
        </w:rPr>
        <w:t>按照设定的评价指标体系，通过对</w:t>
      </w:r>
      <w:r>
        <w:rPr>
          <w:rFonts w:hint="eastAsia" w:ascii="方正仿宋简体" w:hAnsi="方正仿宋简体" w:eastAsia="方正仿宋简体" w:cs="方正仿宋简体"/>
          <w:kern w:val="0"/>
          <w:sz w:val="32"/>
          <w:szCs w:val="32"/>
          <w:highlight w:val="none"/>
          <w:lang w:eastAsia="zh-CN" w:bidi="ar"/>
        </w:rPr>
        <w:t>泸定县烹坝镇人民政府</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bidi="ar"/>
        </w:rPr>
        <w:t>年度部门整体支出情况在预算编制、预算执行、完成结果、项目自评报告编制</w:t>
      </w:r>
      <w:r>
        <w:rPr>
          <w:rFonts w:hint="eastAsia" w:ascii="方正仿宋简体" w:hAnsi="方正仿宋简体" w:eastAsia="方正仿宋简体" w:cs="方正仿宋简体"/>
          <w:kern w:val="0"/>
          <w:sz w:val="32"/>
          <w:szCs w:val="32"/>
          <w:highlight w:val="none"/>
          <w:lang w:eastAsia="zh-CN" w:bidi="ar"/>
        </w:rPr>
        <w:t>、</w:t>
      </w:r>
      <w:r>
        <w:rPr>
          <w:rFonts w:hint="eastAsia" w:ascii="方正仿宋简体" w:hAnsi="方正仿宋简体" w:eastAsia="方正仿宋简体" w:cs="方正仿宋简体"/>
          <w:kern w:val="0"/>
          <w:sz w:val="32"/>
          <w:szCs w:val="32"/>
          <w:highlight w:val="none"/>
          <w:lang w:bidi="ar"/>
        </w:rPr>
        <w:t>信息公开、整改反馈、自评质量方面进行综合评价，</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bidi="ar"/>
        </w:rPr>
        <w:t>年度</w:t>
      </w:r>
      <w:r>
        <w:rPr>
          <w:rFonts w:hint="eastAsia" w:ascii="方正仿宋简体" w:hAnsi="方正仿宋简体" w:eastAsia="方正仿宋简体" w:cs="方正仿宋简体"/>
          <w:kern w:val="0"/>
          <w:sz w:val="32"/>
          <w:szCs w:val="32"/>
          <w:highlight w:val="none"/>
          <w:lang w:eastAsia="zh-CN" w:bidi="ar"/>
        </w:rPr>
        <w:t>泸定县烹坝镇人民政府</w:t>
      </w:r>
      <w:r>
        <w:rPr>
          <w:rFonts w:hint="eastAsia" w:ascii="方正仿宋简体" w:hAnsi="方正仿宋简体" w:eastAsia="方正仿宋简体" w:cs="方正仿宋简体"/>
          <w:kern w:val="0"/>
          <w:sz w:val="32"/>
          <w:szCs w:val="32"/>
          <w:highlight w:val="none"/>
          <w:lang w:bidi="ar"/>
        </w:rPr>
        <w:t>部门整体支出</w:t>
      </w:r>
      <w:r>
        <w:rPr>
          <w:rFonts w:hint="eastAsia" w:ascii="方正仿宋简体" w:hAnsi="方正仿宋简体" w:eastAsia="方正仿宋简体" w:cs="方正仿宋简体"/>
          <w:sz w:val="32"/>
          <w:szCs w:val="32"/>
          <w:highlight w:val="none"/>
        </w:rPr>
        <w:t>绩效评价指标分</w:t>
      </w:r>
      <w:r>
        <w:rPr>
          <w:rFonts w:hint="default" w:ascii="Times New Roman" w:hAnsi="Times New Roman" w:eastAsia="方正仿宋简体" w:cs="Times New Roman"/>
          <w:sz w:val="32"/>
          <w:szCs w:val="32"/>
          <w:highlight w:val="none"/>
          <w:lang w:eastAsia="zh"/>
        </w:rPr>
        <w:t>100</w:t>
      </w:r>
      <w:r>
        <w:rPr>
          <w:rFonts w:hint="eastAsia" w:ascii="方正仿宋简体" w:hAnsi="方正仿宋简体" w:eastAsia="方正仿宋简体" w:cs="方正仿宋简体"/>
          <w:sz w:val="32"/>
          <w:szCs w:val="32"/>
          <w:highlight w:val="none"/>
          <w:lang w:eastAsia="zh"/>
        </w:rPr>
        <w:t>.</w:t>
      </w:r>
      <w:r>
        <w:rPr>
          <w:rFonts w:hint="default" w:ascii="Times New Roman" w:hAnsi="Times New Roman" w:eastAsia="方正仿宋简体" w:cs="Times New Roman"/>
          <w:sz w:val="32"/>
          <w:szCs w:val="32"/>
          <w:highlight w:val="none"/>
          <w:lang w:eastAsia="zh"/>
        </w:rPr>
        <w:t>00</w:t>
      </w:r>
      <w:r>
        <w:rPr>
          <w:rFonts w:hint="eastAsia" w:ascii="方正仿宋简体" w:hAnsi="方正仿宋简体" w:eastAsia="方正仿宋简体" w:cs="方正仿宋简体"/>
          <w:sz w:val="32"/>
          <w:szCs w:val="32"/>
          <w:highlight w:val="none"/>
        </w:rPr>
        <w:t>分，得分</w:t>
      </w:r>
      <w:r>
        <w:rPr>
          <w:rFonts w:hint="default" w:ascii="Times New Roman" w:hAnsi="Times New Roman" w:eastAsia="方正仿宋简体" w:cs="Times New Roman"/>
          <w:sz w:val="32"/>
          <w:szCs w:val="32"/>
          <w:highlight w:val="none"/>
          <w:lang w:val="en-US" w:eastAsia="zh-CN"/>
        </w:rPr>
        <w:t>80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13</w:t>
      </w:r>
      <w:r>
        <w:rPr>
          <w:rFonts w:hint="eastAsia" w:ascii="方正仿宋简体" w:hAnsi="方正仿宋简体" w:eastAsia="方正仿宋简体" w:cs="方正仿宋简体"/>
          <w:sz w:val="32"/>
          <w:szCs w:val="32"/>
          <w:highlight w:val="none"/>
        </w:rPr>
        <w:t>分。详见下表：</w:t>
      </w:r>
    </w:p>
    <w:p w14:paraId="43F8EA02">
      <w:pPr>
        <w:keepNext w:val="0"/>
        <w:keepLines w:val="0"/>
        <w:pageBreakBefore w:val="0"/>
        <w:kinsoku/>
        <w:wordWrap/>
        <w:overflowPunct/>
        <w:topLinePunct w:val="0"/>
        <w:autoSpaceDE/>
        <w:autoSpaceDN/>
        <w:bidi w:val="0"/>
        <w:spacing w:line="600" w:lineRule="exact"/>
        <w:ind w:left="0" w:leftChars="0" w:right="0" w:rightChars="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eastAsia="zh-CN"/>
        </w:rPr>
        <w:t>泸定县烹坝镇人民政府</w:t>
      </w:r>
      <w:r>
        <w:rPr>
          <w:rFonts w:hint="default" w:ascii="Times New Roman" w:hAnsi="Times New Roman" w:eastAsia="方正仿宋简体" w:cs="Times New Roman"/>
          <w:sz w:val="32"/>
          <w:szCs w:val="32"/>
          <w:highlight w:val="none"/>
          <w:lang w:eastAsia="zh"/>
        </w:rPr>
        <w:t>2023</w:t>
      </w:r>
      <w:r>
        <w:rPr>
          <w:rFonts w:hint="eastAsia" w:ascii="方正仿宋简体" w:hAnsi="方正仿宋简体" w:eastAsia="方正仿宋简体" w:cs="方正仿宋简体"/>
          <w:sz w:val="32"/>
          <w:szCs w:val="32"/>
          <w:highlight w:val="none"/>
        </w:rPr>
        <w:t>年部门整体支出绩效评价评分表</w:t>
      </w:r>
    </w:p>
    <w:tbl>
      <w:tblPr>
        <w:tblStyle w:val="18"/>
        <w:tblW w:w="4998" w:type="pct"/>
        <w:jc w:val="center"/>
        <w:tblLayout w:type="fixed"/>
        <w:tblCellMar>
          <w:top w:w="0" w:type="dxa"/>
          <w:left w:w="108" w:type="dxa"/>
          <w:bottom w:w="0" w:type="dxa"/>
          <w:right w:w="108" w:type="dxa"/>
        </w:tblCellMar>
      </w:tblPr>
      <w:tblGrid>
        <w:gridCol w:w="1523"/>
        <w:gridCol w:w="1851"/>
        <w:gridCol w:w="1702"/>
        <w:gridCol w:w="1415"/>
        <w:gridCol w:w="1308"/>
        <w:gridCol w:w="1256"/>
      </w:tblGrid>
      <w:tr w14:paraId="35F47D42">
        <w:tblPrEx>
          <w:tblCellMar>
            <w:top w:w="0" w:type="dxa"/>
            <w:left w:w="108" w:type="dxa"/>
            <w:bottom w:w="0" w:type="dxa"/>
            <w:right w:w="108" w:type="dxa"/>
          </w:tblCellMar>
        </w:tblPrEx>
        <w:trPr>
          <w:trHeight w:val="680" w:hRule="atLeast"/>
          <w:jc w:val="center"/>
        </w:trPr>
        <w:tc>
          <w:tcPr>
            <w:tcW w:w="8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369E4">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一级指标</w:t>
            </w:r>
          </w:p>
        </w:tc>
        <w:tc>
          <w:tcPr>
            <w:tcW w:w="10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F6718">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二级指标</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16E6E">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三级指标</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19615">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分值</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60638">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扣分</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1EC1A">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得分</w:t>
            </w:r>
          </w:p>
        </w:tc>
      </w:tr>
      <w:tr w14:paraId="682266F1">
        <w:tblPrEx>
          <w:tblCellMar>
            <w:top w:w="0" w:type="dxa"/>
            <w:left w:w="108" w:type="dxa"/>
            <w:bottom w:w="0" w:type="dxa"/>
            <w:right w:w="108" w:type="dxa"/>
          </w:tblCellMar>
        </w:tblPrEx>
        <w:trPr>
          <w:trHeight w:val="680" w:hRule="atLeast"/>
          <w:jc w:val="center"/>
        </w:trPr>
        <w:tc>
          <w:tcPr>
            <w:tcW w:w="8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1E376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部门预算管理（</w:t>
            </w:r>
            <w:r>
              <w:rPr>
                <w:rFonts w:hint="default" w:ascii="Times New Roman" w:hAnsi="Times New Roman" w:eastAsia="方正仿宋简体" w:cs="Times New Roman"/>
                <w:kern w:val="0"/>
                <w:sz w:val="32"/>
                <w:szCs w:val="32"/>
                <w:highlight w:val="none"/>
                <w:lang w:val="en-US" w:eastAsia="zh-CN"/>
              </w:rPr>
              <w:t>6</w:t>
            </w: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分）</w:t>
            </w:r>
          </w:p>
        </w:tc>
        <w:tc>
          <w:tcPr>
            <w:tcW w:w="10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8849F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预算编制</w:t>
            </w:r>
          </w:p>
          <w:p w14:paraId="755F5D3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lang w:val="en-US" w:eastAsia="zh-CN"/>
              </w:rPr>
              <w:t>24</w:t>
            </w:r>
            <w:r>
              <w:rPr>
                <w:rFonts w:hint="eastAsia" w:ascii="方正仿宋简体" w:hAnsi="方正仿宋简体" w:eastAsia="方正仿宋简体" w:cs="方正仿宋简体"/>
                <w:kern w:val="0"/>
                <w:sz w:val="32"/>
                <w:szCs w:val="32"/>
                <w:highlight w:val="none"/>
              </w:rPr>
              <w:t>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F6C25">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目标制定</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FB36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3009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50</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C07D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50</w:t>
            </w:r>
          </w:p>
        </w:tc>
      </w:tr>
      <w:tr w14:paraId="3F7B7BD3">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BF5C1">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10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FBD441">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4B445">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目标实现</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1928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B0A5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5635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7</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63FFFB06">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33A98">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10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6A5A3C">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46F37">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编制准确</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13DB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322A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14</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AC91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86</w:t>
            </w:r>
          </w:p>
        </w:tc>
      </w:tr>
      <w:tr w14:paraId="1BB1CD40">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BD0532">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102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DBA25">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预算执行</w:t>
            </w:r>
          </w:p>
          <w:p w14:paraId="357E9DEB">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2</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6D531">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支出控制</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422F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9D0F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50</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84D3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5</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50</w:t>
            </w:r>
          </w:p>
        </w:tc>
      </w:tr>
      <w:tr w14:paraId="7F5D7795">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37FA4">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10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D7DB7">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E2F57">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动态调整</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6E25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BD21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55</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955D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45</w:t>
            </w:r>
          </w:p>
        </w:tc>
      </w:tr>
      <w:tr w14:paraId="3D6CD9BA">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48C1FA">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lang w:eastAsia="zh"/>
              </w:rPr>
            </w:pPr>
          </w:p>
        </w:tc>
        <w:tc>
          <w:tcPr>
            <w:tcW w:w="10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3C299">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BEA90">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执行进度</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3B01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6C37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A9CF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32810911">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62496">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lang w:eastAsia="zh"/>
              </w:rPr>
            </w:pPr>
          </w:p>
        </w:tc>
        <w:tc>
          <w:tcPr>
            <w:tcW w:w="102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5A8EA">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完成结果</w:t>
            </w:r>
          </w:p>
          <w:p w14:paraId="7CF28882">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16</w:t>
            </w:r>
            <w:r>
              <w:rPr>
                <w:rFonts w:hint="eastAsia" w:ascii="方正仿宋简体" w:hAnsi="方正仿宋简体" w:eastAsia="方正仿宋简体" w:cs="方正仿宋简体"/>
                <w:sz w:val="32"/>
                <w:szCs w:val="32"/>
                <w:highlight w:val="none"/>
              </w:rPr>
              <w:t>）</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90200">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预算完成</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A70E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64FE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68</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D5F8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7</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32</w:t>
            </w:r>
          </w:p>
        </w:tc>
      </w:tr>
      <w:tr w14:paraId="51D7781F">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4BA1E7F">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lang w:eastAsia="zh"/>
              </w:rPr>
            </w:pPr>
          </w:p>
        </w:tc>
        <w:tc>
          <w:tcPr>
            <w:tcW w:w="10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8A59A">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66FA8">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违规记录</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FEE2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A97E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50</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F1C5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7</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50</w:t>
            </w:r>
          </w:p>
        </w:tc>
      </w:tr>
      <w:tr w14:paraId="51321D88">
        <w:tblPrEx>
          <w:tblCellMar>
            <w:top w:w="0" w:type="dxa"/>
            <w:left w:w="108" w:type="dxa"/>
            <w:bottom w:w="0" w:type="dxa"/>
            <w:right w:w="108" w:type="dxa"/>
          </w:tblCellMar>
        </w:tblPrEx>
        <w:trPr>
          <w:trHeight w:val="680" w:hRule="atLeast"/>
          <w:jc w:val="center"/>
        </w:trPr>
        <w:tc>
          <w:tcPr>
            <w:tcW w:w="841" w:type="pct"/>
            <w:vMerge w:val="restart"/>
            <w:tcBorders>
              <w:top w:val="single" w:color="000000" w:sz="4" w:space="0"/>
              <w:left w:val="single" w:color="000000" w:sz="4" w:space="0"/>
              <w:right w:val="single" w:color="000000" w:sz="4" w:space="0"/>
            </w:tcBorders>
            <w:shd w:val="clear" w:color="auto" w:fill="auto"/>
            <w:vAlign w:val="center"/>
          </w:tcPr>
          <w:p w14:paraId="2C06D326">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lang w:eastAsia="zh"/>
              </w:rPr>
            </w:pPr>
            <w:r>
              <w:rPr>
                <w:rFonts w:hint="eastAsia" w:ascii="方正仿宋简体" w:hAnsi="方正仿宋简体" w:eastAsia="方正仿宋简体" w:cs="方正仿宋简体"/>
                <w:sz w:val="32"/>
                <w:szCs w:val="32"/>
                <w:highlight w:val="none"/>
                <w:lang w:eastAsia="zh"/>
              </w:rPr>
              <w:t>专项预算管理（</w:t>
            </w:r>
            <w:r>
              <w:rPr>
                <w:rFonts w:hint="default" w:ascii="Times New Roman" w:hAnsi="Times New Roman" w:eastAsia="方正仿宋简体" w:cs="Times New Roman"/>
                <w:sz w:val="32"/>
                <w:szCs w:val="32"/>
                <w:highlight w:val="none"/>
                <w:lang w:eastAsia="zh"/>
              </w:rPr>
              <w:t>20</w:t>
            </w:r>
            <w:r>
              <w:rPr>
                <w:rFonts w:hint="eastAsia" w:ascii="方正仿宋简体" w:hAnsi="方正仿宋简体" w:eastAsia="方正仿宋简体" w:cs="方正仿宋简体"/>
                <w:sz w:val="32"/>
                <w:szCs w:val="32"/>
                <w:highlight w:val="none"/>
                <w:lang w:eastAsia="zh"/>
              </w:rPr>
              <w:t>分）</w:t>
            </w:r>
          </w:p>
        </w:tc>
        <w:tc>
          <w:tcPr>
            <w:tcW w:w="1021" w:type="pct"/>
            <w:vMerge w:val="restart"/>
            <w:tcBorders>
              <w:top w:val="single" w:color="000000" w:sz="4" w:space="0"/>
              <w:left w:val="single" w:color="000000" w:sz="4" w:space="0"/>
              <w:right w:val="single" w:color="000000" w:sz="4" w:space="0"/>
            </w:tcBorders>
            <w:shd w:val="clear" w:color="auto" w:fill="auto"/>
            <w:noWrap/>
            <w:vAlign w:val="center"/>
          </w:tcPr>
          <w:p w14:paraId="4C305C70">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项目自评报告编制（</w:t>
            </w:r>
            <w:r>
              <w:rPr>
                <w:rFonts w:hint="default" w:ascii="Times New Roman" w:hAnsi="Times New Roman" w:eastAsia="方正仿宋简体" w:cs="Times New Roman"/>
                <w:sz w:val="32"/>
                <w:szCs w:val="32"/>
                <w:highlight w:val="none"/>
              </w:rPr>
              <w:t>20</w:t>
            </w:r>
            <w:r>
              <w:rPr>
                <w:rFonts w:hint="eastAsia" w:ascii="方正仿宋简体" w:hAnsi="方正仿宋简体" w:eastAsia="方正仿宋简体" w:cs="方正仿宋简体"/>
                <w:sz w:val="32"/>
                <w:szCs w:val="32"/>
                <w:highlight w:val="none"/>
              </w:rPr>
              <w:t>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AB8DD">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项目自评报告编制完整性</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4428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E8323">
            <w:pPr>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70FA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1A3913E3">
        <w:tblPrEx>
          <w:tblCellMar>
            <w:top w:w="0" w:type="dxa"/>
            <w:left w:w="108" w:type="dxa"/>
            <w:bottom w:w="0" w:type="dxa"/>
            <w:right w:w="108" w:type="dxa"/>
          </w:tblCellMar>
        </w:tblPrEx>
        <w:trPr>
          <w:trHeight w:val="680" w:hRule="atLeast"/>
          <w:jc w:val="center"/>
        </w:trPr>
        <w:tc>
          <w:tcPr>
            <w:tcW w:w="841" w:type="pct"/>
            <w:vMerge w:val="continue"/>
            <w:tcBorders>
              <w:left w:val="single" w:color="000000" w:sz="4" w:space="0"/>
              <w:bottom w:val="single" w:color="auto" w:sz="4" w:space="0"/>
              <w:right w:val="single" w:color="000000" w:sz="4" w:space="0"/>
            </w:tcBorders>
            <w:shd w:val="clear" w:color="auto" w:fill="auto"/>
            <w:vAlign w:val="center"/>
          </w:tcPr>
          <w:p w14:paraId="1BEDA524">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lang w:eastAsia="zh"/>
              </w:rPr>
            </w:pPr>
          </w:p>
        </w:tc>
        <w:tc>
          <w:tcPr>
            <w:tcW w:w="1021" w:type="pct"/>
            <w:vMerge w:val="continue"/>
            <w:tcBorders>
              <w:left w:val="single" w:color="000000" w:sz="4" w:space="0"/>
              <w:bottom w:val="single" w:color="000000" w:sz="4" w:space="0"/>
              <w:right w:val="single" w:color="000000" w:sz="4" w:space="0"/>
            </w:tcBorders>
            <w:shd w:val="clear" w:color="auto" w:fill="auto"/>
            <w:noWrap/>
            <w:vAlign w:val="center"/>
          </w:tcPr>
          <w:p w14:paraId="1430A191">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9E81E">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项目自评报告编制质量</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A43F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38AB6">
            <w:pPr>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8639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5E9AAFB5">
        <w:tblPrEx>
          <w:tblCellMar>
            <w:top w:w="0" w:type="dxa"/>
            <w:left w:w="108" w:type="dxa"/>
            <w:bottom w:w="0" w:type="dxa"/>
            <w:right w:w="108" w:type="dxa"/>
          </w:tblCellMar>
        </w:tblPrEx>
        <w:trPr>
          <w:trHeight w:val="680" w:hRule="atLeast"/>
          <w:jc w:val="center"/>
        </w:trPr>
        <w:tc>
          <w:tcPr>
            <w:tcW w:w="84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00323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绩效结果应用（</w:t>
            </w: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分）</w:t>
            </w:r>
          </w:p>
        </w:tc>
        <w:tc>
          <w:tcPr>
            <w:tcW w:w="102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964AB7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信息公开</w:t>
            </w:r>
          </w:p>
          <w:p w14:paraId="01B79BB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2</w:t>
            </w:r>
            <w:r>
              <w:rPr>
                <w:rFonts w:hint="eastAsia" w:ascii="方正仿宋简体" w:hAnsi="方正仿宋简体" w:eastAsia="方正仿宋简体" w:cs="方正仿宋简体"/>
                <w:kern w:val="0"/>
                <w:sz w:val="32"/>
                <w:szCs w:val="32"/>
                <w:highlight w:val="none"/>
              </w:rPr>
              <w:t>分）</w:t>
            </w: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14:paraId="712326EE">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自评公开</w:t>
            </w:r>
          </w:p>
        </w:tc>
        <w:tc>
          <w:tcPr>
            <w:tcW w:w="1330"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C62540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2</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639BE">
            <w:pPr>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880A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2</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6232BD51">
        <w:tblPrEx>
          <w:tblCellMar>
            <w:top w:w="0" w:type="dxa"/>
            <w:left w:w="108" w:type="dxa"/>
            <w:bottom w:w="0" w:type="dxa"/>
            <w:right w:w="108" w:type="dxa"/>
          </w:tblCellMar>
        </w:tblPrEx>
        <w:trPr>
          <w:trHeight w:val="680" w:hRule="atLeast"/>
          <w:jc w:val="center"/>
        </w:trPr>
        <w:tc>
          <w:tcPr>
            <w:tcW w:w="84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2CFC6D5">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102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626A1D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整改反馈</w:t>
            </w:r>
          </w:p>
          <w:p w14:paraId="7C0C8297">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8</w:t>
            </w:r>
            <w:r>
              <w:rPr>
                <w:rFonts w:hint="eastAsia" w:ascii="方正仿宋简体" w:hAnsi="方正仿宋简体" w:eastAsia="方正仿宋简体" w:cs="方正仿宋简体"/>
                <w:sz w:val="32"/>
                <w:szCs w:val="32"/>
                <w:highlight w:val="none"/>
              </w:rPr>
              <w:t>分）</w:t>
            </w: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14:paraId="0F6EB3AE">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结果整改</w:t>
            </w:r>
          </w:p>
        </w:tc>
        <w:tc>
          <w:tcPr>
            <w:tcW w:w="1330"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6180660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4</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8734B">
            <w:pPr>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BD35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4</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2C4392D5">
        <w:tblPrEx>
          <w:tblCellMar>
            <w:top w:w="0" w:type="dxa"/>
            <w:left w:w="108" w:type="dxa"/>
            <w:bottom w:w="0" w:type="dxa"/>
            <w:right w:w="108" w:type="dxa"/>
          </w:tblCellMar>
        </w:tblPrEx>
        <w:trPr>
          <w:trHeight w:val="680" w:hRule="atLeast"/>
          <w:jc w:val="center"/>
        </w:trPr>
        <w:tc>
          <w:tcPr>
            <w:tcW w:w="84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9DA251">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102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3EDAF8C">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14:paraId="0BFB81F9">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应用反馈</w:t>
            </w:r>
          </w:p>
        </w:tc>
        <w:tc>
          <w:tcPr>
            <w:tcW w:w="1330"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0C5CF2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4</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9D602">
            <w:pPr>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C8F6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4</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0D4043B1">
        <w:tblPrEx>
          <w:tblCellMar>
            <w:top w:w="0" w:type="dxa"/>
            <w:left w:w="108" w:type="dxa"/>
            <w:bottom w:w="0" w:type="dxa"/>
            <w:right w:w="108" w:type="dxa"/>
          </w:tblCellMar>
        </w:tblPrEx>
        <w:trPr>
          <w:trHeight w:val="680" w:hRule="atLeast"/>
          <w:jc w:val="center"/>
        </w:trPr>
        <w:tc>
          <w:tcPr>
            <w:tcW w:w="841" w:type="pct"/>
            <w:tcBorders>
              <w:top w:val="single" w:color="auto" w:sz="4" w:space="0"/>
              <w:left w:val="single" w:color="000000" w:sz="4" w:space="0"/>
              <w:bottom w:val="single" w:color="000000" w:sz="4" w:space="0"/>
              <w:right w:val="single" w:color="000000" w:sz="4" w:space="0"/>
            </w:tcBorders>
            <w:shd w:val="clear" w:color="auto" w:fill="auto"/>
            <w:vAlign w:val="center"/>
          </w:tcPr>
          <w:p w14:paraId="6B4B043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自评质量</w:t>
            </w:r>
          </w:p>
          <w:p w14:paraId="78F6934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分）</w:t>
            </w:r>
          </w:p>
        </w:tc>
        <w:tc>
          <w:tcPr>
            <w:tcW w:w="1021"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722C9643">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自评质量</w:t>
            </w:r>
          </w:p>
          <w:p w14:paraId="1E1F301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分）</w:t>
            </w:r>
          </w:p>
        </w:tc>
        <w:tc>
          <w:tcPr>
            <w:tcW w:w="939" w:type="pct"/>
            <w:tcBorders>
              <w:top w:val="single" w:color="auto" w:sz="4" w:space="0"/>
              <w:left w:val="nil"/>
              <w:bottom w:val="single" w:color="000000" w:sz="4" w:space="0"/>
              <w:right w:val="single" w:color="000000" w:sz="4" w:space="0"/>
            </w:tcBorders>
            <w:shd w:val="clear" w:color="auto" w:fill="auto"/>
            <w:vAlign w:val="center"/>
          </w:tcPr>
          <w:p w14:paraId="39C9A4AA">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自评准确</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6FC2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99F2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7AE7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2</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6FD3C728">
        <w:tblPrEx>
          <w:tblCellMar>
            <w:top w:w="0" w:type="dxa"/>
            <w:left w:w="108" w:type="dxa"/>
            <w:bottom w:w="0" w:type="dxa"/>
            <w:right w:w="108" w:type="dxa"/>
          </w:tblCellMar>
        </w:tblPrEx>
        <w:trPr>
          <w:trHeight w:val="680" w:hRule="atLeast"/>
          <w:jc w:val="center"/>
        </w:trPr>
        <w:tc>
          <w:tcPr>
            <w:tcW w:w="280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C51B9">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合计</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8E85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05C9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19</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87</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8E6D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13</w:t>
            </w:r>
          </w:p>
        </w:tc>
      </w:tr>
    </w:tbl>
    <w:p w14:paraId="7CAEDB59">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kern w:val="2"/>
          <w:sz w:val="32"/>
          <w:szCs w:val="32"/>
          <w:highlight w:val="none"/>
          <w:lang w:val="en-US" w:eastAsia="zh-CN" w:bidi="ar-SA"/>
        </w:rPr>
      </w:pPr>
      <w:bookmarkStart w:id="115" w:name="_Toc16394"/>
      <w:bookmarkStart w:id="116" w:name="_Toc109483841"/>
      <w:bookmarkStart w:id="117" w:name="_Toc1687911260"/>
      <w:bookmarkStart w:id="118" w:name="_Toc26985"/>
      <w:bookmarkStart w:id="119" w:name="_Toc11642"/>
      <w:bookmarkStart w:id="120" w:name="_Toc29124"/>
      <w:bookmarkStart w:id="121" w:name="_Toc31945"/>
      <w:bookmarkStart w:id="122" w:name="_Toc24818"/>
      <w:bookmarkStart w:id="123" w:name="_Toc30832"/>
      <w:bookmarkStart w:id="124" w:name="_Toc28266"/>
      <w:r>
        <w:rPr>
          <w:rFonts w:hint="eastAsia" w:ascii="方正楷体简体" w:hAnsi="方正楷体简体" w:eastAsia="方正楷体简体" w:cs="方正楷体简体"/>
          <w:kern w:val="2"/>
          <w:sz w:val="32"/>
          <w:szCs w:val="32"/>
          <w:highlight w:val="none"/>
          <w:lang w:val="zh-CN" w:eastAsia="zh-CN" w:bidi="ar-SA"/>
        </w:rPr>
        <w:t>（</w:t>
      </w:r>
      <w:r>
        <w:rPr>
          <w:rFonts w:hint="eastAsia" w:ascii="方正楷体简体" w:hAnsi="方正楷体简体" w:eastAsia="方正楷体简体" w:cs="方正楷体简体"/>
          <w:kern w:val="2"/>
          <w:sz w:val="32"/>
          <w:szCs w:val="32"/>
          <w:highlight w:val="none"/>
          <w:lang w:val="en-US" w:eastAsia="zh-CN" w:bidi="ar-SA"/>
        </w:rPr>
        <w:t>三</w:t>
      </w:r>
      <w:bookmarkEnd w:id="115"/>
      <w:bookmarkEnd w:id="116"/>
      <w:bookmarkEnd w:id="117"/>
      <w:bookmarkEnd w:id="118"/>
      <w:r>
        <w:rPr>
          <w:rFonts w:hint="eastAsia" w:ascii="方正楷体简体" w:hAnsi="方正楷体简体" w:eastAsia="方正楷体简体" w:cs="方正楷体简体"/>
          <w:kern w:val="2"/>
          <w:sz w:val="32"/>
          <w:szCs w:val="32"/>
          <w:highlight w:val="none"/>
          <w:lang w:val="zh-CN" w:eastAsia="zh-CN" w:bidi="ar-SA"/>
        </w:rPr>
        <w:t>）</w:t>
      </w:r>
      <w:r>
        <w:rPr>
          <w:rFonts w:hint="eastAsia" w:ascii="方正楷体简体" w:hAnsi="方正楷体简体" w:eastAsia="方正楷体简体" w:cs="方正楷体简体"/>
          <w:kern w:val="2"/>
          <w:sz w:val="32"/>
          <w:szCs w:val="32"/>
          <w:highlight w:val="none"/>
          <w:lang w:val="en-US" w:eastAsia="zh-CN" w:bidi="ar-SA"/>
        </w:rPr>
        <w:t>绩效结果应用</w:t>
      </w:r>
      <w:bookmarkEnd w:id="119"/>
      <w:bookmarkEnd w:id="120"/>
    </w:p>
    <w:p w14:paraId="4A4306C2">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leftChars="0" w:right="0" w:rightChars="0"/>
        <w:jc w:val="both"/>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auto"/>
          <w:sz w:val="32"/>
          <w:szCs w:val="32"/>
          <w:highlight w:val="none"/>
          <w:lang w:val="en-US" w:eastAsia="zh-CN"/>
        </w:rPr>
        <w:t>泸定县烹坝镇人民政府以为人民服务为中心，进一步巩固交通路网、水、电等基础设施，补齐乡村发展的短板；重点引导发展特色产业，如果蔬和中药种植，为人民群众增收致富</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。持续做好社会稳定治理和生态环境保护，促进生态文明、精神文明和经济共同发展。</w:t>
      </w:r>
      <w:r>
        <w:rPr>
          <w:rFonts w:hint="eastAsia" w:ascii="方正仿宋简体" w:hAnsi="方正仿宋简体" w:eastAsia="方正仿宋简体" w:cs="方正仿宋简体"/>
          <w:color w:val="auto"/>
          <w:sz w:val="32"/>
          <w:szCs w:val="32"/>
          <w:highlight w:val="none"/>
          <w:lang w:val="en-US" w:eastAsia="zh-CN"/>
        </w:rPr>
        <w:t>通过对泸定县烹坝镇人民政府进行事后评价，泸定县烹坝镇人民政府绩效评价等级为“良”。秉承科学公正、统筹兼顾、激励约束和公开透明财政绩效原则。我单位建议泸定县财政局针对部门预算绩效管理，进一步要求泸定县烹坝镇人民政府应进一步提高预算编制的精细化，加强学习、端正态度，结合项目实际情况合理申报绩效目标，做好预算的事前控制、事中控制和事后控制。</w:t>
      </w:r>
    </w:p>
    <w:p w14:paraId="5FFC264F">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kern w:val="2"/>
          <w:sz w:val="32"/>
          <w:szCs w:val="32"/>
          <w:highlight w:val="none"/>
          <w:lang w:val="en-US" w:eastAsia="zh-CN" w:bidi="ar-SA"/>
        </w:rPr>
      </w:pPr>
      <w:bookmarkStart w:id="125" w:name="_Toc25058"/>
      <w:bookmarkStart w:id="126" w:name="_Toc176"/>
      <w:r>
        <w:rPr>
          <w:rFonts w:hint="eastAsia" w:ascii="方正楷体简体" w:hAnsi="方正楷体简体" w:eastAsia="方正楷体简体" w:cs="方正楷体简体"/>
          <w:kern w:val="2"/>
          <w:sz w:val="32"/>
          <w:szCs w:val="32"/>
          <w:highlight w:val="none"/>
          <w:lang w:val="zh-CN" w:eastAsia="zh-CN" w:bidi="ar-SA"/>
        </w:rPr>
        <w:t>（</w:t>
      </w:r>
      <w:r>
        <w:rPr>
          <w:rFonts w:hint="eastAsia" w:ascii="方正楷体简体" w:hAnsi="方正楷体简体" w:eastAsia="方正楷体简体" w:cs="方正楷体简体"/>
          <w:kern w:val="2"/>
          <w:sz w:val="32"/>
          <w:szCs w:val="32"/>
          <w:highlight w:val="none"/>
          <w:lang w:val="en-US" w:eastAsia="zh-CN" w:bidi="ar-SA"/>
        </w:rPr>
        <w:t>四</w:t>
      </w:r>
      <w:r>
        <w:rPr>
          <w:rFonts w:hint="eastAsia" w:ascii="方正楷体简体" w:hAnsi="方正楷体简体" w:eastAsia="方正楷体简体" w:cs="方正楷体简体"/>
          <w:kern w:val="2"/>
          <w:sz w:val="32"/>
          <w:szCs w:val="32"/>
          <w:highlight w:val="none"/>
          <w:lang w:val="zh-CN" w:eastAsia="zh-CN" w:bidi="ar-SA"/>
        </w:rPr>
        <w:t>）</w:t>
      </w:r>
      <w:r>
        <w:rPr>
          <w:rFonts w:hint="eastAsia" w:ascii="方正楷体简体" w:hAnsi="方正楷体简体" w:eastAsia="方正楷体简体" w:cs="方正楷体简体"/>
          <w:kern w:val="2"/>
          <w:sz w:val="32"/>
          <w:szCs w:val="32"/>
          <w:highlight w:val="none"/>
          <w:lang w:val="en-US" w:eastAsia="zh-CN" w:bidi="ar-SA"/>
        </w:rPr>
        <w:t>评价分析</w:t>
      </w:r>
      <w:bookmarkEnd w:id="121"/>
      <w:bookmarkEnd w:id="122"/>
      <w:bookmarkEnd w:id="123"/>
      <w:bookmarkEnd w:id="124"/>
      <w:bookmarkEnd w:id="125"/>
      <w:bookmarkEnd w:id="126"/>
    </w:p>
    <w:p w14:paraId="4655011D">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.预算编制</w:t>
      </w:r>
    </w:p>
    <w:p w14:paraId="666DBB1A">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预算编制</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下设三个三级指标分别为：</w:t>
      </w:r>
      <w:r>
        <w:rPr>
          <w:rFonts w:hint="eastAsia" w:ascii="方正仿宋简体" w:hAnsi="方正仿宋简体" w:eastAsia="方正仿宋简体" w:cs="方正仿宋简体"/>
          <w:sz w:val="32"/>
          <w:szCs w:val="32"/>
          <w:highlight w:val="none"/>
        </w:rPr>
        <w:t>目标制定</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sz w:val="32"/>
          <w:szCs w:val="32"/>
          <w:highlight w:val="none"/>
        </w:rPr>
        <w:t>目标实现</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sz w:val="32"/>
          <w:szCs w:val="32"/>
          <w:highlight w:val="none"/>
        </w:rPr>
        <w:t>编制准确</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p>
    <w:p w14:paraId="163748C8">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kern w:val="2"/>
          <w:sz w:val="32"/>
          <w:szCs w:val="32"/>
          <w:highlight w:val="none"/>
          <w:lang w:val="en-US" w:eastAsia="zh-CN" w:bidi="ar-SA"/>
        </w:rPr>
        <w:t>（1）</w:t>
      </w:r>
      <w:r>
        <w:rPr>
          <w:rFonts w:hint="eastAsia" w:ascii="方正仿宋简体" w:hAnsi="方正仿宋简体" w:eastAsia="方正仿宋简体" w:cs="方正仿宋简体"/>
          <w:sz w:val="32"/>
          <w:szCs w:val="32"/>
          <w:highlight w:val="none"/>
        </w:rPr>
        <w:t>目标制定</w:t>
      </w:r>
    </w:p>
    <w:p w14:paraId="12D4CC0B">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highlight w:val="none"/>
          <w:lang w:val="en-US" w:eastAsia="zh-CN" w:bidi="ar"/>
        </w:rPr>
      </w:pPr>
      <w:r>
        <w:rPr>
          <w:rFonts w:hint="eastAsia" w:ascii="方正仿宋简体" w:hAnsi="方正仿宋简体" w:eastAsia="方正仿宋简体" w:cs="方正仿宋简体"/>
          <w:kern w:val="0"/>
          <w:sz w:val="32"/>
          <w:szCs w:val="32"/>
          <w:highlight w:val="none"/>
          <w:lang w:eastAsia="zh" w:bidi="ar"/>
        </w:rPr>
        <w:t>评价组检查了</w:t>
      </w:r>
      <w:r>
        <w:rPr>
          <w:rFonts w:hint="eastAsia" w:ascii="方正仿宋简体" w:hAnsi="方正仿宋简体" w:eastAsia="方正仿宋简体" w:cs="方正仿宋简体"/>
          <w:w w:val="95"/>
          <w:kern w:val="0"/>
          <w:sz w:val="32"/>
          <w:szCs w:val="32"/>
          <w:highlight w:val="none"/>
          <w:lang w:eastAsia="zh-CN" w:bidi="ar"/>
        </w:rPr>
        <w:t>泸定县烹坝镇人民政府</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eastAsia="zh" w:bidi="ar"/>
        </w:rPr>
        <w:t>年</w:t>
      </w:r>
      <w:r>
        <w:rPr>
          <w:rFonts w:hint="eastAsia" w:ascii="方正仿宋简体" w:hAnsi="方正仿宋简体" w:eastAsia="方正仿宋简体" w:cs="方正仿宋简体"/>
          <w:kern w:val="0"/>
          <w:sz w:val="32"/>
          <w:szCs w:val="32"/>
          <w:highlight w:val="none"/>
          <w:lang w:val="en-US" w:eastAsia="zh-CN" w:bidi="ar"/>
        </w:rPr>
        <w:t>绩效目标申报表，</w:t>
      </w:r>
      <w:r>
        <w:rPr>
          <w:rFonts w:hint="eastAsia" w:ascii="方正仿宋简体" w:hAnsi="方正仿宋简体" w:eastAsia="方正仿宋简体" w:cs="方正仿宋简体"/>
          <w:kern w:val="0"/>
          <w:sz w:val="32"/>
          <w:szCs w:val="32"/>
          <w:highlight w:val="none"/>
          <w:lang w:eastAsia="zh" w:bidi="ar"/>
        </w:rPr>
        <w:t>存在部分项目指标设置不准确的情况</w:t>
      </w:r>
      <w:r>
        <w:rPr>
          <w:rFonts w:hint="eastAsia" w:ascii="方正仿宋简体" w:hAnsi="方正仿宋简体" w:eastAsia="方正仿宋简体" w:cs="方正仿宋简体"/>
          <w:kern w:val="0"/>
          <w:sz w:val="32"/>
          <w:szCs w:val="32"/>
          <w:highlight w:val="none"/>
          <w:lang w:eastAsia="zh-CN" w:bidi="ar"/>
        </w:rPr>
        <w:t>。</w:t>
      </w:r>
      <w:r>
        <w:rPr>
          <w:rFonts w:hint="eastAsia" w:ascii="方正仿宋简体" w:hAnsi="方正仿宋简体" w:eastAsia="方正仿宋简体" w:cs="方正仿宋简体"/>
          <w:kern w:val="0"/>
          <w:sz w:val="32"/>
          <w:szCs w:val="32"/>
          <w:highlight w:val="none"/>
          <w:lang w:val="en-US" w:eastAsia="zh-CN" w:bidi="ar"/>
        </w:rPr>
        <w:t>一是指标设置不完整，未设置三级指标，</w:t>
      </w:r>
      <w:r>
        <w:rPr>
          <w:rFonts w:hint="eastAsia" w:ascii="方正仿宋简体" w:hAnsi="方正仿宋简体" w:eastAsia="方正仿宋简体" w:cs="方正仿宋简体"/>
          <w:kern w:val="0"/>
          <w:sz w:val="32"/>
          <w:szCs w:val="32"/>
          <w:highlight w:val="none"/>
          <w:lang w:eastAsia="zh" w:bidi="ar"/>
        </w:rPr>
        <w:t>如：党建工作经费、便民服务中心工作经费、城乡环境综合整治工作经费、民兵建设工作经费、民兵服装购置经费、宗教事务经费等项目未设置三级指标；</w:t>
      </w:r>
      <w:r>
        <w:rPr>
          <w:rFonts w:hint="eastAsia" w:ascii="方正仿宋简体" w:hAnsi="方正仿宋简体" w:eastAsia="方正仿宋简体" w:cs="方正仿宋简体"/>
          <w:kern w:val="0"/>
          <w:sz w:val="32"/>
          <w:szCs w:val="32"/>
          <w:highlight w:val="none"/>
          <w:lang w:val="en-US" w:eastAsia="zh-CN" w:bidi="ar"/>
        </w:rPr>
        <w:t>二是数量指标设置不合理，</w:t>
      </w:r>
      <w:r>
        <w:rPr>
          <w:rFonts w:hint="eastAsia" w:ascii="方正仿宋简体" w:hAnsi="方正仿宋简体" w:eastAsia="方正仿宋简体" w:cs="方正仿宋简体"/>
          <w:kern w:val="0"/>
          <w:sz w:val="32"/>
          <w:szCs w:val="32"/>
          <w:highlight w:val="none"/>
          <w:lang w:eastAsia="zh" w:bidi="ar"/>
        </w:rPr>
        <w:t>数量指标值设置为</w:t>
      </w:r>
      <w:r>
        <w:rPr>
          <w:rFonts w:hint="default" w:ascii="Times New Roman" w:hAnsi="Times New Roman" w:eastAsia="方正仿宋简体" w:cs="Times New Roman"/>
          <w:kern w:val="0"/>
          <w:sz w:val="32"/>
          <w:szCs w:val="32"/>
          <w:highlight w:val="none"/>
          <w:lang w:eastAsia="zh" w:bidi="ar"/>
        </w:rPr>
        <w:t>100%</w:t>
      </w:r>
      <w:r>
        <w:rPr>
          <w:rFonts w:hint="eastAsia" w:ascii="方正仿宋简体" w:hAnsi="方正仿宋简体" w:eastAsia="方正仿宋简体" w:cs="方正仿宋简体"/>
          <w:kern w:val="0"/>
          <w:sz w:val="32"/>
          <w:szCs w:val="32"/>
          <w:highlight w:val="none"/>
          <w:lang w:eastAsia="zh" w:bidi="ar"/>
        </w:rPr>
        <w:t>，成本指标值设置为</w:t>
      </w:r>
      <w:r>
        <w:rPr>
          <w:rFonts w:hint="default" w:ascii="Times New Roman" w:hAnsi="Times New Roman" w:eastAsia="方正仿宋简体" w:cs="Times New Roman"/>
          <w:kern w:val="0"/>
          <w:sz w:val="32"/>
          <w:szCs w:val="32"/>
          <w:highlight w:val="none"/>
          <w:lang w:eastAsia="zh" w:bidi="ar"/>
        </w:rPr>
        <w:t>100%</w:t>
      </w:r>
      <w:r>
        <w:rPr>
          <w:rFonts w:hint="eastAsia" w:ascii="方正仿宋简体" w:hAnsi="方正仿宋简体" w:eastAsia="方正仿宋简体" w:cs="方正仿宋简体"/>
          <w:kern w:val="0"/>
          <w:sz w:val="32"/>
          <w:szCs w:val="32"/>
          <w:highlight w:val="none"/>
          <w:lang w:eastAsia="zh" w:bidi="ar"/>
        </w:rPr>
        <w:t>财政拨款，指标值设置不准确</w:t>
      </w:r>
      <w:r>
        <w:rPr>
          <w:rFonts w:hint="eastAsia" w:ascii="方正仿宋简体" w:hAnsi="方正仿宋简体" w:eastAsia="方正仿宋简体" w:cs="方正仿宋简体"/>
          <w:kern w:val="0"/>
          <w:sz w:val="32"/>
          <w:szCs w:val="32"/>
          <w:highlight w:val="none"/>
          <w:lang w:eastAsia="zh-CN" w:bidi="ar"/>
        </w:rPr>
        <w:t>。</w:t>
      </w:r>
    </w:p>
    <w:p w14:paraId="1C2D0732">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val="en-US" w:eastAsia="zh-CN" w:bidi="ar"/>
        </w:rPr>
        <w:t>1</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val="en-US" w:eastAsia="zh-CN" w:bidi="ar"/>
        </w:rPr>
        <w:t>5</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6</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50</w:t>
      </w:r>
      <w:r>
        <w:rPr>
          <w:rFonts w:hint="eastAsia" w:ascii="方正仿宋简体" w:hAnsi="方正仿宋简体" w:eastAsia="方正仿宋简体" w:cs="方正仿宋简体"/>
          <w:kern w:val="0"/>
          <w:sz w:val="32"/>
          <w:szCs w:val="32"/>
          <w:highlight w:val="none"/>
          <w:lang w:bidi="ar"/>
        </w:rPr>
        <w:t>分。</w:t>
      </w:r>
    </w:p>
    <w:p w14:paraId="17AF38E1">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）目标实现</w:t>
      </w:r>
    </w:p>
    <w:p w14:paraId="3F244A5D">
      <w:pPr>
        <w:keepNext w:val="0"/>
        <w:keepLines w:val="0"/>
        <w:pageBreakBefore w:val="0"/>
        <w:kinsoku/>
        <w:wordWrap/>
        <w:overflowPunct/>
        <w:topLinePunct w:val="0"/>
        <w:autoSpaceDE/>
        <w:autoSpaceDN/>
        <w:bidi w:val="0"/>
        <w:spacing w:line="600" w:lineRule="exact"/>
        <w:ind w:left="0" w:firstLine="529"/>
        <w:rPr>
          <w:rFonts w:hint="eastAsia" w:ascii="方正仿宋简体" w:hAnsi="方正仿宋简体" w:eastAsia="方正仿宋简体" w:cs="方正仿宋简体"/>
          <w:kern w:val="0"/>
          <w:sz w:val="32"/>
          <w:szCs w:val="32"/>
          <w:highlight w:val="none"/>
          <w:lang w:val="en-US" w:eastAsia="zh-CN" w:bidi="ar"/>
        </w:rPr>
      </w:pPr>
      <w:r>
        <w:rPr>
          <w:rFonts w:hint="eastAsia" w:ascii="方正仿宋简体" w:hAnsi="方正仿宋简体" w:eastAsia="方正仿宋简体" w:cs="方正仿宋简体"/>
          <w:w w:val="95"/>
          <w:kern w:val="0"/>
          <w:sz w:val="32"/>
          <w:szCs w:val="32"/>
          <w:highlight w:val="none"/>
          <w:lang w:bidi="ar"/>
        </w:rPr>
        <w:t>评价组</w:t>
      </w:r>
      <w:r>
        <w:rPr>
          <w:rFonts w:hint="eastAsia" w:ascii="方正仿宋简体" w:hAnsi="方正仿宋简体" w:eastAsia="方正仿宋简体" w:cs="方正仿宋简体"/>
          <w:w w:val="95"/>
          <w:kern w:val="0"/>
          <w:sz w:val="32"/>
          <w:szCs w:val="32"/>
          <w:highlight w:val="none"/>
          <w:lang w:eastAsia="zh" w:bidi="ar"/>
        </w:rPr>
        <w:t>检查</w:t>
      </w:r>
      <w:r>
        <w:rPr>
          <w:rFonts w:hint="eastAsia" w:ascii="方正仿宋简体" w:hAnsi="方正仿宋简体" w:eastAsia="方正仿宋简体" w:cs="方正仿宋简体"/>
          <w:w w:val="95"/>
          <w:kern w:val="0"/>
          <w:sz w:val="32"/>
          <w:szCs w:val="32"/>
          <w:highlight w:val="none"/>
          <w:lang w:bidi="ar"/>
        </w:rPr>
        <w:t>了</w:t>
      </w:r>
      <w:r>
        <w:rPr>
          <w:rFonts w:hint="eastAsia" w:ascii="方正仿宋简体" w:hAnsi="方正仿宋简体" w:eastAsia="方正仿宋简体" w:cs="方正仿宋简体"/>
          <w:w w:val="95"/>
          <w:kern w:val="0"/>
          <w:sz w:val="32"/>
          <w:szCs w:val="32"/>
          <w:highlight w:val="none"/>
          <w:lang w:eastAsia="zh-CN" w:bidi="ar"/>
        </w:rPr>
        <w:t>泸定县烹坝镇人民政府</w:t>
      </w:r>
      <w:r>
        <w:rPr>
          <w:rFonts w:hint="default" w:ascii="Times New Roman" w:hAnsi="Times New Roman" w:eastAsia="方正仿宋简体" w:cs="Times New Roman"/>
          <w:w w:val="95"/>
          <w:kern w:val="0"/>
          <w:sz w:val="32"/>
          <w:szCs w:val="32"/>
          <w:highlight w:val="none"/>
          <w:lang w:val="en-US" w:eastAsia="zh-CN" w:bidi="ar"/>
        </w:rPr>
        <w:t>16</w:t>
      </w:r>
      <w:r>
        <w:rPr>
          <w:rFonts w:hint="eastAsia" w:ascii="方正仿宋简体" w:hAnsi="方正仿宋简体" w:eastAsia="方正仿宋简体" w:cs="方正仿宋简体"/>
          <w:w w:val="95"/>
          <w:kern w:val="0"/>
          <w:sz w:val="32"/>
          <w:szCs w:val="32"/>
          <w:highlight w:val="none"/>
          <w:lang w:val="en-US" w:eastAsia="zh-CN" w:bidi="ar"/>
        </w:rPr>
        <w:t>个部门预算项目完成情况</w:t>
      </w:r>
      <w:r>
        <w:rPr>
          <w:rFonts w:hint="eastAsia" w:ascii="方正仿宋简体" w:hAnsi="方正仿宋简体" w:eastAsia="方正仿宋简体" w:cs="方正仿宋简体"/>
          <w:w w:val="95"/>
          <w:kern w:val="0"/>
          <w:sz w:val="32"/>
          <w:szCs w:val="32"/>
          <w:highlight w:val="none"/>
          <w:lang w:bidi="ar"/>
        </w:rPr>
        <w:t>，一共设定</w:t>
      </w:r>
      <w:r>
        <w:rPr>
          <w:rFonts w:hint="default" w:ascii="Times New Roman" w:hAnsi="Times New Roman" w:eastAsia="方正仿宋简体" w:cs="Times New Roman"/>
          <w:w w:val="95"/>
          <w:kern w:val="0"/>
          <w:sz w:val="32"/>
          <w:szCs w:val="32"/>
          <w:highlight w:val="none"/>
          <w:lang w:val="en-US" w:eastAsia="zh-CN" w:bidi="ar"/>
        </w:rPr>
        <w:t>16</w:t>
      </w:r>
      <w:r>
        <w:rPr>
          <w:rFonts w:hint="eastAsia" w:ascii="方正仿宋简体" w:hAnsi="方正仿宋简体" w:eastAsia="方正仿宋简体" w:cs="方正仿宋简体"/>
          <w:w w:val="95"/>
          <w:kern w:val="0"/>
          <w:sz w:val="32"/>
          <w:szCs w:val="32"/>
          <w:highlight w:val="none"/>
          <w:lang w:bidi="ar"/>
        </w:rPr>
        <w:t>个数量指标，</w:t>
      </w:r>
      <w:r>
        <w:rPr>
          <w:rFonts w:hint="eastAsia" w:ascii="方正仿宋简体" w:hAnsi="方正仿宋简体" w:eastAsia="方正仿宋简体" w:cs="方正仿宋简体"/>
          <w:w w:val="95"/>
          <w:kern w:val="0"/>
          <w:sz w:val="32"/>
          <w:szCs w:val="32"/>
          <w:highlight w:val="none"/>
          <w:lang w:val="en-US" w:eastAsia="zh-CN" w:bidi="ar"/>
        </w:rPr>
        <w:t>已完成</w:t>
      </w:r>
      <w:r>
        <w:rPr>
          <w:rFonts w:hint="default" w:ascii="Times New Roman" w:hAnsi="Times New Roman" w:eastAsia="方正仿宋简体" w:cs="Times New Roman"/>
          <w:w w:val="95"/>
          <w:kern w:val="0"/>
          <w:sz w:val="32"/>
          <w:szCs w:val="32"/>
          <w:highlight w:val="none"/>
          <w:lang w:val="en-US" w:eastAsia="zh-CN" w:bidi="ar"/>
        </w:rPr>
        <w:t>14</w:t>
      </w:r>
      <w:r>
        <w:rPr>
          <w:rFonts w:hint="eastAsia" w:ascii="方正仿宋简体" w:hAnsi="方正仿宋简体" w:eastAsia="方正仿宋简体" w:cs="方正仿宋简体"/>
          <w:w w:val="95"/>
          <w:kern w:val="0"/>
          <w:sz w:val="32"/>
          <w:szCs w:val="32"/>
          <w:highlight w:val="none"/>
          <w:lang w:val="en-US" w:eastAsia="zh-CN" w:bidi="ar"/>
        </w:rPr>
        <w:t>个</w:t>
      </w:r>
      <w:r>
        <w:rPr>
          <w:rFonts w:hint="eastAsia" w:ascii="方正仿宋简体" w:hAnsi="方正仿宋简体" w:eastAsia="方正仿宋简体" w:cs="方正仿宋简体"/>
          <w:w w:val="95"/>
          <w:kern w:val="0"/>
          <w:sz w:val="32"/>
          <w:szCs w:val="32"/>
          <w:highlight w:val="none"/>
          <w:lang w:eastAsia="zh-CN" w:bidi="ar"/>
        </w:rPr>
        <w:t>，</w:t>
      </w:r>
      <w:r>
        <w:rPr>
          <w:rFonts w:hint="eastAsia" w:ascii="方正仿宋简体" w:hAnsi="方正仿宋简体" w:eastAsia="方正仿宋简体" w:cs="方正仿宋简体"/>
          <w:w w:val="95"/>
          <w:kern w:val="0"/>
          <w:sz w:val="32"/>
          <w:szCs w:val="32"/>
          <w:highlight w:val="none"/>
          <w:lang w:val="en-US" w:eastAsia="zh-CN" w:bidi="ar"/>
        </w:rPr>
        <w:t>指标得分=（</w:t>
      </w:r>
      <w:r>
        <w:rPr>
          <w:rFonts w:hint="default" w:ascii="Times New Roman" w:hAnsi="Times New Roman" w:eastAsia="方正仿宋简体" w:cs="Times New Roman"/>
          <w:w w:val="95"/>
          <w:kern w:val="0"/>
          <w:sz w:val="32"/>
          <w:szCs w:val="32"/>
          <w:highlight w:val="none"/>
          <w:lang w:val="en-US" w:eastAsia="zh-CN" w:bidi="ar"/>
        </w:rPr>
        <w:t>14</w:t>
      </w:r>
      <w:r>
        <w:rPr>
          <w:rFonts w:hint="eastAsia" w:ascii="方正仿宋简体" w:hAnsi="方正仿宋简体" w:eastAsia="方正仿宋简体" w:cs="方正仿宋简体"/>
          <w:w w:val="95"/>
          <w:kern w:val="0"/>
          <w:sz w:val="32"/>
          <w:szCs w:val="32"/>
          <w:highlight w:val="none"/>
          <w:lang w:val="en-US" w:eastAsia="zh-CN" w:bidi="ar"/>
        </w:rPr>
        <w:t>/</w:t>
      </w:r>
      <w:r>
        <w:rPr>
          <w:rFonts w:hint="default" w:ascii="Times New Roman" w:hAnsi="Times New Roman" w:eastAsia="方正仿宋简体" w:cs="Times New Roman"/>
          <w:w w:val="95"/>
          <w:kern w:val="0"/>
          <w:sz w:val="32"/>
          <w:szCs w:val="32"/>
          <w:highlight w:val="none"/>
          <w:lang w:val="en-US" w:eastAsia="zh-CN" w:bidi="ar"/>
        </w:rPr>
        <w:t>16</w:t>
      </w:r>
      <w:r>
        <w:rPr>
          <w:rFonts w:hint="eastAsia" w:ascii="方正仿宋简体" w:hAnsi="方正仿宋简体" w:eastAsia="方正仿宋简体" w:cs="方正仿宋简体"/>
          <w:w w:val="95"/>
          <w:kern w:val="0"/>
          <w:sz w:val="32"/>
          <w:szCs w:val="32"/>
          <w:highlight w:val="none"/>
          <w:lang w:val="en-US" w:eastAsia="zh-CN" w:bidi="ar"/>
        </w:rPr>
        <w:t>）*</w:t>
      </w:r>
      <w:r>
        <w:rPr>
          <w:rFonts w:hint="default" w:ascii="Times New Roman" w:hAnsi="Times New Roman" w:eastAsia="方正仿宋简体" w:cs="Times New Roman"/>
          <w:w w:val="95"/>
          <w:kern w:val="0"/>
          <w:sz w:val="32"/>
          <w:szCs w:val="32"/>
          <w:highlight w:val="none"/>
          <w:lang w:val="en-US" w:eastAsia="zh-CN" w:bidi="ar"/>
        </w:rPr>
        <w:t>8</w:t>
      </w:r>
      <w:r>
        <w:rPr>
          <w:rFonts w:hint="eastAsia" w:ascii="方正仿宋简体" w:hAnsi="方正仿宋简体" w:eastAsia="方正仿宋简体" w:cs="方正仿宋简体"/>
          <w:w w:val="95"/>
          <w:kern w:val="0"/>
          <w:sz w:val="32"/>
          <w:szCs w:val="32"/>
          <w:highlight w:val="none"/>
          <w:lang w:val="en-US" w:eastAsia="zh-CN" w:bidi="ar"/>
        </w:rPr>
        <w:t>=</w:t>
      </w:r>
      <w:r>
        <w:rPr>
          <w:rFonts w:hint="default" w:ascii="Times New Roman" w:hAnsi="Times New Roman" w:eastAsia="方正仿宋简体" w:cs="Times New Roman"/>
          <w:w w:val="95"/>
          <w:kern w:val="0"/>
          <w:sz w:val="32"/>
          <w:szCs w:val="32"/>
          <w:highlight w:val="none"/>
          <w:lang w:val="en-US" w:eastAsia="zh-CN" w:bidi="ar"/>
        </w:rPr>
        <w:t>7</w:t>
      </w:r>
      <w:r>
        <w:rPr>
          <w:rFonts w:hint="eastAsia" w:ascii="方正仿宋简体" w:hAnsi="方正仿宋简体" w:eastAsia="方正仿宋简体" w:cs="方正仿宋简体"/>
          <w:w w:val="95"/>
          <w:kern w:val="0"/>
          <w:sz w:val="32"/>
          <w:szCs w:val="32"/>
          <w:highlight w:val="none"/>
          <w:lang w:val="en-US" w:eastAsia="zh-CN" w:bidi="ar"/>
        </w:rPr>
        <w:t>.</w:t>
      </w:r>
      <w:r>
        <w:rPr>
          <w:rFonts w:hint="default" w:ascii="Times New Roman" w:hAnsi="Times New Roman" w:eastAsia="方正仿宋简体" w:cs="Times New Roman"/>
          <w:w w:val="95"/>
          <w:kern w:val="0"/>
          <w:sz w:val="32"/>
          <w:szCs w:val="32"/>
          <w:highlight w:val="none"/>
          <w:lang w:val="en-US" w:eastAsia="zh-CN" w:bidi="ar"/>
        </w:rPr>
        <w:t>00</w:t>
      </w:r>
      <w:r>
        <w:rPr>
          <w:rFonts w:hint="eastAsia" w:ascii="方正仿宋简体" w:hAnsi="方正仿宋简体" w:eastAsia="方正仿宋简体" w:cs="方正仿宋简体"/>
          <w:w w:val="95"/>
          <w:kern w:val="0"/>
          <w:sz w:val="32"/>
          <w:szCs w:val="32"/>
          <w:highlight w:val="none"/>
          <w:lang w:val="en-US" w:eastAsia="zh-CN" w:bidi="ar"/>
        </w:rPr>
        <w:t>分。</w:t>
      </w:r>
    </w:p>
    <w:p w14:paraId="6A31558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val="en-US" w:eastAsia="zh-CN" w:bidi="ar"/>
        </w:rPr>
        <w:t>1</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7</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00</w:t>
      </w:r>
      <w:r>
        <w:rPr>
          <w:rFonts w:hint="eastAsia" w:ascii="方正仿宋简体" w:hAnsi="方正仿宋简体" w:eastAsia="方正仿宋简体" w:cs="方正仿宋简体"/>
          <w:kern w:val="0"/>
          <w:sz w:val="32"/>
          <w:szCs w:val="32"/>
          <w:highlight w:val="none"/>
          <w:lang w:bidi="ar"/>
        </w:rPr>
        <w:t>分。</w:t>
      </w:r>
    </w:p>
    <w:p w14:paraId="2C4897E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）编制准确</w:t>
      </w:r>
    </w:p>
    <w:p w14:paraId="6B97E1F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highlight w:val="none"/>
          <w:lang w:eastAsia="zh" w:bidi="ar"/>
        </w:rPr>
      </w:pPr>
      <w:r>
        <w:rPr>
          <w:rFonts w:hint="eastAsia" w:ascii="方正仿宋简体" w:hAnsi="方正仿宋简体" w:eastAsia="方正仿宋简体" w:cs="方正仿宋简体"/>
          <w:kern w:val="0"/>
          <w:sz w:val="32"/>
          <w:szCs w:val="32"/>
          <w:highlight w:val="none"/>
          <w:lang w:eastAsia="zh-CN" w:bidi="ar"/>
        </w:rPr>
        <w:t>泸定县烹坝镇人民政府</w:t>
      </w:r>
      <w:r>
        <w:rPr>
          <w:rFonts w:hint="default" w:ascii="Times New Roman" w:hAnsi="Times New Roman" w:eastAsia="方正仿宋简体" w:cs="Times New Roman"/>
          <w:kern w:val="0"/>
          <w:sz w:val="32"/>
          <w:szCs w:val="32"/>
          <w:highlight w:val="none"/>
          <w:lang w:bidi="ar"/>
        </w:rPr>
        <w:t>2023</w:t>
      </w:r>
      <w:r>
        <w:rPr>
          <w:rFonts w:hint="eastAsia" w:ascii="方正仿宋简体" w:hAnsi="方正仿宋简体" w:eastAsia="方正仿宋简体" w:cs="方正仿宋简体"/>
          <w:kern w:val="0"/>
          <w:sz w:val="32"/>
          <w:szCs w:val="32"/>
          <w:highlight w:val="none"/>
          <w:lang w:bidi="ar"/>
        </w:rPr>
        <w:t>年部门全年预算调剂金额为</w:t>
      </w:r>
      <w:r>
        <w:rPr>
          <w:rFonts w:hint="default" w:ascii="Times New Roman" w:hAnsi="Times New Roman" w:eastAsia="方正仿宋简体" w:cs="Times New Roman"/>
          <w:kern w:val="0"/>
          <w:sz w:val="32"/>
          <w:szCs w:val="32"/>
          <w:highlight w:val="none"/>
          <w:lang w:val="en-US" w:eastAsia="zh-CN" w:bidi="ar"/>
        </w:rPr>
        <w:t>67</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65</w:t>
      </w:r>
      <w:r>
        <w:rPr>
          <w:rFonts w:hint="eastAsia" w:ascii="方正仿宋简体" w:hAnsi="方正仿宋简体" w:eastAsia="方正仿宋简体" w:cs="方正仿宋简体"/>
          <w:kern w:val="0"/>
          <w:sz w:val="32"/>
          <w:szCs w:val="32"/>
          <w:highlight w:val="none"/>
          <w:lang w:bidi="ar"/>
        </w:rPr>
        <w:t>万元，年初部门预算数为</w:t>
      </w:r>
      <w:r>
        <w:rPr>
          <w:rFonts w:hint="default" w:ascii="Times New Roman" w:hAnsi="Times New Roman" w:eastAsia="方正仿宋简体" w:cs="Times New Roman"/>
          <w:kern w:val="0"/>
          <w:sz w:val="32"/>
          <w:szCs w:val="32"/>
          <w:highlight w:val="none"/>
          <w:lang w:val="en-US" w:eastAsia="zh-CN" w:bidi="ar"/>
        </w:rPr>
        <w:t>882</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26</w:t>
      </w:r>
      <w:r>
        <w:rPr>
          <w:rFonts w:hint="eastAsia" w:ascii="方正仿宋简体" w:hAnsi="方正仿宋简体" w:eastAsia="方正仿宋简体" w:cs="方正仿宋简体"/>
          <w:kern w:val="0"/>
          <w:sz w:val="32"/>
          <w:szCs w:val="32"/>
          <w:highlight w:val="none"/>
          <w:lang w:bidi="ar"/>
        </w:rPr>
        <w:t>万元，预算调剂率为</w:t>
      </w:r>
      <w:r>
        <w:rPr>
          <w:rFonts w:hint="default" w:ascii="Times New Roman" w:hAnsi="Times New Roman" w:eastAsia="方正仿宋简体" w:cs="Times New Roman"/>
          <w:kern w:val="0"/>
          <w:sz w:val="32"/>
          <w:szCs w:val="32"/>
          <w:highlight w:val="none"/>
          <w:lang w:val="en-US" w:eastAsia="zh-CN" w:bidi="ar"/>
        </w:rPr>
        <w:t>7</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67%</w:t>
      </w:r>
      <w:r>
        <w:rPr>
          <w:rFonts w:hint="eastAsia" w:ascii="方正仿宋简体" w:hAnsi="方正仿宋简体" w:eastAsia="方正仿宋简体" w:cs="方正仿宋简体"/>
          <w:kern w:val="0"/>
          <w:sz w:val="32"/>
          <w:szCs w:val="32"/>
          <w:highlight w:val="none"/>
          <w:lang w:val="en-US" w:eastAsia="zh-CN" w:bidi="ar"/>
        </w:rPr>
        <w:t>，</w:t>
      </w:r>
      <w:r>
        <w:rPr>
          <w:rFonts w:hint="eastAsia" w:ascii="方正仿宋简体" w:hAnsi="方正仿宋简体" w:eastAsia="方正仿宋简体" w:cs="方正仿宋简体"/>
          <w:kern w:val="0"/>
          <w:sz w:val="32"/>
          <w:szCs w:val="32"/>
          <w:highlight w:val="none"/>
          <w:lang w:bidi="ar"/>
        </w:rPr>
        <w:t>指标得分</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1</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10</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7</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67%</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1</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86</w:t>
      </w:r>
      <w:r>
        <w:rPr>
          <w:rFonts w:hint="eastAsia" w:ascii="方正仿宋简体" w:hAnsi="方正仿宋简体" w:eastAsia="方正仿宋简体" w:cs="方正仿宋简体"/>
          <w:kern w:val="0"/>
          <w:sz w:val="32"/>
          <w:szCs w:val="32"/>
          <w:highlight w:val="none"/>
          <w:lang w:bidi="ar"/>
        </w:rPr>
        <w:t>分</w:t>
      </w:r>
      <w:r>
        <w:rPr>
          <w:rFonts w:hint="eastAsia" w:ascii="方正仿宋简体" w:hAnsi="方正仿宋简体" w:eastAsia="方正仿宋简体" w:cs="方正仿宋简体"/>
          <w:b w:val="0"/>
          <w:bCs w:val="0"/>
          <w:kern w:val="0"/>
          <w:sz w:val="32"/>
          <w:szCs w:val="32"/>
          <w:highlight w:val="none"/>
          <w:lang w:eastAsia="zh" w:bidi="ar"/>
        </w:rPr>
        <w:t>。</w:t>
      </w:r>
    </w:p>
    <w:p w14:paraId="03748870">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val="en-US" w:eastAsia="zh-CN" w:bidi="ar"/>
        </w:rPr>
        <w:t>6</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14</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1</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86</w:t>
      </w:r>
      <w:r>
        <w:rPr>
          <w:rFonts w:hint="eastAsia" w:ascii="方正仿宋简体" w:hAnsi="方正仿宋简体" w:eastAsia="方正仿宋简体" w:cs="方正仿宋简体"/>
          <w:kern w:val="0"/>
          <w:sz w:val="32"/>
          <w:szCs w:val="32"/>
          <w:highlight w:val="none"/>
          <w:lang w:bidi="ar"/>
        </w:rPr>
        <w:t>分。</w:t>
      </w:r>
    </w:p>
    <w:p w14:paraId="046921C0">
      <w:pPr>
        <w:keepNext w:val="0"/>
        <w:keepLines w:val="0"/>
        <w:pageBreakBefore w:val="0"/>
        <w:kinsoku/>
        <w:wordWrap/>
        <w:overflowPunct/>
        <w:topLinePunct w:val="0"/>
        <w:autoSpaceDE/>
        <w:autoSpaceDN/>
        <w:bidi w:val="0"/>
        <w:spacing w:line="600" w:lineRule="exact"/>
        <w:ind w:left="0" w:firstLine="0" w:firstLineChars="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 xml:space="preserve">    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预算编制</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sz w:val="32"/>
          <w:szCs w:val="32"/>
          <w:highlight w:val="none"/>
        </w:rPr>
        <w:t>指标分共计</w:t>
      </w:r>
      <w:r>
        <w:rPr>
          <w:rFonts w:hint="default" w:ascii="Times New Roman" w:hAnsi="Times New Roman" w:eastAsia="方正仿宋简体" w:cs="Times New Roman"/>
          <w:sz w:val="32"/>
          <w:szCs w:val="32"/>
          <w:highlight w:val="none"/>
          <w:lang w:val="en-US" w:eastAsia="zh-CN"/>
        </w:rPr>
        <w:t>24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8</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64</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得分为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36</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66A8C44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.预算执行</w:t>
      </w:r>
    </w:p>
    <w:p w14:paraId="30C02276">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预算执行</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下设三个三级指标分别为：支出控制、动态调整和执行进度。</w:t>
      </w:r>
    </w:p>
    <w:p w14:paraId="54CB9B0B">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）支出控制</w:t>
      </w:r>
    </w:p>
    <w:p w14:paraId="0767390F">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泸定县烹坝镇人民政府</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年部门项目和部门公用经费支出一共</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12</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个科目，</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年初预算数合计</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102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万元，决算报表数合计</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110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万元，预决算偏差度</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7</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72%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其中：</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个科目年初预算数与决算数偏差率超过</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20%</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11</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个科目年初预算数与决算数偏差率在</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以内，指标得分=（</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12</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50</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分</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p>
    <w:p w14:paraId="11B19D2D">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6</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val="en-US" w:eastAsia="zh-CN" w:bidi="ar"/>
        </w:rPr>
        <w:t>0</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50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5</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50</w:t>
      </w:r>
      <w:r>
        <w:rPr>
          <w:rFonts w:hint="eastAsia" w:ascii="方正仿宋简体" w:hAnsi="方正仿宋简体" w:eastAsia="方正仿宋简体" w:cs="方正仿宋简体"/>
          <w:kern w:val="0"/>
          <w:sz w:val="32"/>
          <w:szCs w:val="32"/>
          <w:highlight w:val="none"/>
          <w:lang w:bidi="ar"/>
        </w:rPr>
        <w:t>分。</w:t>
      </w:r>
    </w:p>
    <w:p w14:paraId="41DA0694">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）动态调整</w:t>
      </w:r>
    </w:p>
    <w:p w14:paraId="35D6D9C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kern w:val="2"/>
          <w:sz w:val="32"/>
          <w:szCs w:val="32"/>
          <w:highlight w:val="none"/>
          <w:lang w:val="en-US" w:eastAsia="zh-CN" w:bidi="ar-SA"/>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eastAsia="zh-CN" w:bidi="ar-SA"/>
          <w14:textFill>
            <w14:solidFill>
              <w14:schemeClr w14:val="tx1"/>
            </w14:solidFill>
          </w14:textFill>
        </w:rPr>
        <w:t>泸定县烹坝镇人民政府</w:t>
      </w:r>
      <w:r>
        <w:rPr>
          <w:rFonts w:hint="default" w:ascii="Times New Roman" w:hAnsi="Times New Roman" w:eastAsia="方正仿宋简体" w:cs="Times New Roman"/>
          <w:color w:val="000000" w:themeColor="text1"/>
          <w:kern w:val="2"/>
          <w:sz w:val="32"/>
          <w:szCs w:val="32"/>
          <w:highlight w:val="none"/>
          <w:lang w:bidi="ar-SA"/>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年部门绩效监控调整取消额为</w:t>
      </w:r>
      <w:r>
        <w:rPr>
          <w:rFonts w:hint="default" w:ascii="Times New Roman" w:hAnsi="Times New Roman" w:eastAsia="方正仿宋简体" w:cs="Times New Roman"/>
          <w:color w:val="000000" w:themeColor="text1"/>
          <w:kern w:val="2"/>
          <w:sz w:val="32"/>
          <w:szCs w:val="32"/>
          <w:highlight w:val="none"/>
          <w:lang w:bidi="ar-SA"/>
          <w14:textFill>
            <w14:solidFill>
              <w14:schemeClr w14:val="tx1"/>
            </w14:solidFill>
          </w14:textFill>
        </w:rPr>
        <w:t>0</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，根据可执行指标执行情况表显示当年年度预算总额为</w:t>
      </w: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949</w:t>
      </w:r>
      <w:r>
        <w:rPr>
          <w:rFonts w:hint="eastAsia" w:ascii="方正仿宋简体" w:hAnsi="方正仿宋简体" w:eastAsia="方正仿宋简体" w:cs="方正仿宋简体"/>
          <w:color w:val="000000" w:themeColor="text1"/>
          <w:kern w:val="2"/>
          <w:sz w:val="32"/>
          <w:szCs w:val="32"/>
          <w:highlight w:val="none"/>
          <w:lang w:val="en-US" w:eastAsia="zh-CN"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93</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万元，年末结余注销金额（县级预算）为</w:t>
      </w: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18</w:t>
      </w:r>
      <w:r>
        <w:rPr>
          <w:rFonts w:hint="eastAsia" w:ascii="方正仿宋简体" w:hAnsi="方正仿宋简体" w:eastAsia="方正仿宋简体" w:cs="方正仿宋简体"/>
          <w:color w:val="000000" w:themeColor="text1"/>
          <w:kern w:val="2"/>
          <w:sz w:val="32"/>
          <w:szCs w:val="32"/>
          <w:highlight w:val="none"/>
          <w:lang w:val="en-US" w:eastAsia="zh-CN"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35</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万元。指标得分=</w:t>
      </w:r>
      <w:r>
        <w:rPr>
          <w:rFonts w:hint="eastAsia" w:ascii="方正仿宋简体" w:hAnsi="方正仿宋简体" w:eastAsia="方正仿宋简体" w:cs="方正仿宋简体"/>
          <w:color w:val="000000" w:themeColor="text1"/>
          <w:kern w:val="2"/>
          <w:sz w:val="32"/>
          <w:szCs w:val="32"/>
          <w:highlight w:val="none"/>
          <w:lang w:eastAsia="zh"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SA"/>
          <w14:textFill>
            <w14:solidFill>
              <w14:schemeClr w14:val="tx1"/>
            </w14:solidFill>
          </w14:textFill>
        </w:rPr>
        <w:t>1</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SA"/>
          <w14:textFill>
            <w14:solidFill>
              <w14:schemeClr w14:val="tx1"/>
            </w14:solidFill>
          </w14:textFill>
        </w:rPr>
        <w:t>10</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18</w:t>
      </w:r>
      <w:r>
        <w:rPr>
          <w:rFonts w:hint="eastAsia" w:ascii="方正仿宋简体" w:hAnsi="方正仿宋简体" w:eastAsia="方正仿宋简体" w:cs="方正仿宋简体"/>
          <w:color w:val="000000" w:themeColor="text1"/>
          <w:kern w:val="2"/>
          <w:sz w:val="32"/>
          <w:szCs w:val="32"/>
          <w:highlight w:val="none"/>
          <w:lang w:val="en-US" w:eastAsia="zh-CN"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35</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949</w:t>
      </w:r>
      <w:r>
        <w:rPr>
          <w:rFonts w:hint="eastAsia" w:ascii="方正仿宋简体" w:hAnsi="方正仿宋简体" w:eastAsia="方正仿宋简体" w:cs="方正仿宋简体"/>
          <w:color w:val="000000" w:themeColor="text1"/>
          <w:kern w:val="2"/>
          <w:sz w:val="32"/>
          <w:szCs w:val="32"/>
          <w:highlight w:val="none"/>
          <w:lang w:val="en-US" w:eastAsia="zh-CN"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93</w:t>
      </w:r>
      <w:r>
        <w:rPr>
          <w:rFonts w:hint="eastAsia" w:ascii="方正仿宋简体" w:hAnsi="方正仿宋简体" w:eastAsia="方正仿宋简体" w:cs="方正仿宋简体"/>
          <w:color w:val="000000" w:themeColor="text1"/>
          <w:kern w:val="2"/>
          <w:sz w:val="32"/>
          <w:szCs w:val="32"/>
          <w:highlight w:val="none"/>
          <w:lang w:eastAsia="zh" w:bidi="ar-SA"/>
          <w14:textFill>
            <w14:solidFill>
              <w14:schemeClr w14:val="tx1"/>
            </w14:solidFill>
          </w14:textFill>
        </w:rPr>
        <w:t>）</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8</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6</w:t>
      </w:r>
      <w:r>
        <w:rPr>
          <w:rFonts w:hint="eastAsia" w:ascii="方正仿宋简体" w:hAnsi="方正仿宋简体" w:eastAsia="方正仿宋简体" w:cs="方正仿宋简体"/>
          <w:color w:val="000000" w:themeColor="text1"/>
          <w:kern w:val="2"/>
          <w:sz w:val="32"/>
          <w:szCs w:val="32"/>
          <w:highlight w:val="none"/>
          <w:lang w:val="en-US" w:eastAsia="zh-CN"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45</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分。</w:t>
      </w:r>
    </w:p>
    <w:p w14:paraId="4184D792">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val="en-US" w:eastAsia="zh-CN" w:bidi="ar"/>
        </w:rPr>
        <w:t>1</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55</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6</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45</w:t>
      </w:r>
      <w:r>
        <w:rPr>
          <w:rFonts w:hint="eastAsia" w:ascii="方正仿宋简体" w:hAnsi="方正仿宋简体" w:eastAsia="方正仿宋简体" w:cs="方正仿宋简体"/>
          <w:kern w:val="0"/>
          <w:sz w:val="32"/>
          <w:szCs w:val="32"/>
          <w:highlight w:val="none"/>
          <w:lang w:bidi="ar"/>
        </w:rPr>
        <w:t>分。</w:t>
      </w:r>
    </w:p>
    <w:p w14:paraId="5DE487B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）执行进度</w:t>
      </w:r>
    </w:p>
    <w:p w14:paraId="0ADFC7DD">
      <w:pPr>
        <w:keepNext w:val="0"/>
        <w:keepLines w:val="0"/>
        <w:pageBreakBefore w:val="0"/>
        <w:kinsoku/>
        <w:wordWrap/>
        <w:overflowPunct/>
        <w:topLinePunct w:val="0"/>
        <w:autoSpaceDE/>
        <w:autoSpaceDN/>
        <w:bidi w:val="0"/>
        <w:spacing w:line="600" w:lineRule="exact"/>
        <w:ind w:left="0" w:firstLine="521"/>
        <w:jc w:val="left"/>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eastAsia="zh" w:bidi="ar"/>
        </w:rPr>
        <w:t>根据</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eastAsia="zh" w:bidi="ar"/>
        </w:rPr>
        <w:t>年</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6</w:t>
      </w:r>
      <w:r>
        <w:rPr>
          <w:rFonts w:hint="eastAsia" w:ascii="方正仿宋简体" w:hAnsi="方正仿宋简体" w:eastAsia="方正仿宋简体" w:cs="方正仿宋简体"/>
          <w:kern w:val="0"/>
          <w:sz w:val="32"/>
          <w:szCs w:val="32"/>
          <w:highlight w:val="none"/>
          <w:lang w:eastAsia="zh" w:bidi="ar"/>
        </w:rPr>
        <w:t>月可执行指标执行情况表显示支出金额为</w:t>
      </w:r>
      <w:r>
        <w:rPr>
          <w:rFonts w:hint="default" w:ascii="Times New Roman" w:hAnsi="Times New Roman" w:eastAsia="方正仿宋简体" w:cs="Times New Roman"/>
          <w:kern w:val="0"/>
          <w:sz w:val="32"/>
          <w:szCs w:val="32"/>
          <w:highlight w:val="none"/>
          <w:lang w:eastAsia="zh" w:bidi="ar"/>
        </w:rPr>
        <w:t>919</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49</w:t>
      </w:r>
      <w:r>
        <w:rPr>
          <w:rFonts w:hint="eastAsia" w:ascii="方正仿宋简体" w:hAnsi="方正仿宋简体" w:eastAsia="方正仿宋简体" w:cs="方正仿宋简体"/>
          <w:kern w:val="0"/>
          <w:sz w:val="32"/>
          <w:szCs w:val="32"/>
          <w:highlight w:val="none"/>
          <w:lang w:eastAsia="zh" w:bidi="ar"/>
        </w:rPr>
        <w:t>万元，根据</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eastAsia="zh" w:bidi="ar"/>
        </w:rPr>
        <w:t>年</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9</w:t>
      </w:r>
      <w:r>
        <w:rPr>
          <w:rFonts w:hint="eastAsia" w:ascii="方正仿宋简体" w:hAnsi="方正仿宋简体" w:eastAsia="方正仿宋简体" w:cs="方正仿宋简体"/>
          <w:kern w:val="0"/>
          <w:sz w:val="32"/>
          <w:szCs w:val="32"/>
          <w:highlight w:val="none"/>
          <w:lang w:eastAsia="zh" w:bidi="ar"/>
        </w:rPr>
        <w:t>月可执行指标执行情况表显示支出金额</w:t>
      </w:r>
      <w:r>
        <w:rPr>
          <w:rFonts w:hint="default" w:ascii="Times New Roman" w:hAnsi="Times New Roman" w:eastAsia="方正仿宋简体" w:cs="Times New Roman"/>
          <w:kern w:val="0"/>
          <w:sz w:val="32"/>
          <w:szCs w:val="32"/>
          <w:highlight w:val="none"/>
          <w:lang w:eastAsia="zh" w:bidi="ar"/>
        </w:rPr>
        <w:t>919</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49</w:t>
      </w:r>
      <w:r>
        <w:rPr>
          <w:rFonts w:hint="eastAsia" w:ascii="方正仿宋简体" w:hAnsi="方正仿宋简体" w:eastAsia="方正仿宋简体" w:cs="方正仿宋简体"/>
          <w:kern w:val="0"/>
          <w:sz w:val="32"/>
          <w:szCs w:val="32"/>
          <w:highlight w:val="none"/>
          <w:lang w:eastAsia="zh" w:bidi="ar"/>
        </w:rPr>
        <w:t>万元，</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eastAsia="zh" w:bidi="ar"/>
        </w:rPr>
        <w:t>年</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11</w:t>
      </w:r>
      <w:r>
        <w:rPr>
          <w:rFonts w:hint="eastAsia" w:ascii="方正仿宋简体" w:hAnsi="方正仿宋简体" w:eastAsia="方正仿宋简体" w:cs="方正仿宋简体"/>
          <w:kern w:val="0"/>
          <w:sz w:val="32"/>
          <w:szCs w:val="32"/>
          <w:highlight w:val="none"/>
          <w:lang w:eastAsia="zh" w:bidi="ar"/>
        </w:rPr>
        <w:t>月可执行指标执行情况表显示支出金额</w:t>
      </w:r>
      <w:r>
        <w:rPr>
          <w:rFonts w:hint="default" w:ascii="Times New Roman" w:hAnsi="Times New Roman" w:eastAsia="方正仿宋简体" w:cs="Times New Roman"/>
          <w:kern w:val="0"/>
          <w:sz w:val="32"/>
          <w:szCs w:val="32"/>
          <w:highlight w:val="none"/>
          <w:lang w:val="en-US" w:eastAsia="zh-CN" w:bidi="ar"/>
        </w:rPr>
        <w:t>930</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12</w:t>
      </w:r>
      <w:r>
        <w:rPr>
          <w:rFonts w:hint="eastAsia" w:ascii="方正仿宋简体" w:hAnsi="方正仿宋简体" w:eastAsia="方正仿宋简体" w:cs="方正仿宋简体"/>
          <w:kern w:val="0"/>
          <w:sz w:val="32"/>
          <w:szCs w:val="32"/>
          <w:highlight w:val="none"/>
          <w:lang w:eastAsia="zh" w:bidi="ar"/>
        </w:rPr>
        <w:t>万元，年度预算总额</w:t>
      </w:r>
      <w:r>
        <w:rPr>
          <w:rFonts w:hint="default" w:ascii="Times New Roman" w:hAnsi="Times New Roman" w:eastAsia="方正仿宋简体" w:cs="Times New Roman"/>
          <w:kern w:val="0"/>
          <w:sz w:val="32"/>
          <w:szCs w:val="32"/>
          <w:highlight w:val="none"/>
          <w:lang w:val="en-US" w:eastAsia="zh-CN" w:bidi="ar"/>
        </w:rPr>
        <w:t>949</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94</w:t>
      </w:r>
      <w:r>
        <w:rPr>
          <w:rFonts w:hint="eastAsia" w:ascii="方正仿宋简体" w:hAnsi="方正仿宋简体" w:eastAsia="方正仿宋简体" w:cs="方正仿宋简体"/>
          <w:kern w:val="0"/>
          <w:sz w:val="32"/>
          <w:szCs w:val="32"/>
          <w:highlight w:val="none"/>
          <w:lang w:eastAsia="zh" w:bidi="ar"/>
        </w:rPr>
        <w:t>万元，</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6</w:t>
      </w:r>
      <w:r>
        <w:rPr>
          <w:rFonts w:hint="eastAsia" w:ascii="方正仿宋简体" w:hAnsi="方正仿宋简体" w:eastAsia="方正仿宋简体" w:cs="方正仿宋简体"/>
          <w:kern w:val="0"/>
          <w:sz w:val="32"/>
          <w:szCs w:val="32"/>
          <w:highlight w:val="none"/>
          <w:lang w:eastAsia="zh" w:bidi="ar"/>
        </w:rPr>
        <w:t>月实际执行进度</w:t>
      </w:r>
      <w:r>
        <w:rPr>
          <w:rFonts w:hint="default" w:ascii="Times New Roman" w:hAnsi="Times New Roman" w:eastAsia="方正仿宋简体" w:cs="Times New Roman"/>
          <w:kern w:val="0"/>
          <w:sz w:val="32"/>
          <w:szCs w:val="32"/>
          <w:highlight w:val="none"/>
          <w:lang w:val="en-US" w:eastAsia="zh-CN" w:bidi="ar"/>
        </w:rPr>
        <w:t>96</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79</w:t>
      </w:r>
      <w:r>
        <w:rPr>
          <w:rFonts w:hint="default" w:ascii="Times New Roman" w:hAnsi="Times New Roman" w:eastAsia="方正仿宋简体" w:cs="Times New Roman"/>
          <w:kern w:val="0"/>
          <w:sz w:val="32"/>
          <w:szCs w:val="32"/>
          <w:highlight w:val="none"/>
          <w:lang w:eastAsia="zh" w:bidi="ar"/>
        </w:rPr>
        <w:t>%</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9</w:t>
      </w:r>
      <w:r>
        <w:rPr>
          <w:rFonts w:hint="eastAsia" w:ascii="方正仿宋简体" w:hAnsi="方正仿宋简体" w:eastAsia="方正仿宋简体" w:cs="方正仿宋简体"/>
          <w:kern w:val="0"/>
          <w:sz w:val="32"/>
          <w:szCs w:val="32"/>
          <w:highlight w:val="none"/>
          <w:lang w:eastAsia="zh" w:bidi="ar"/>
        </w:rPr>
        <w:t>月实际执行</w:t>
      </w:r>
      <w:r>
        <w:rPr>
          <w:rFonts w:hint="eastAsia" w:ascii="方正仿宋简体" w:hAnsi="方正仿宋简体" w:eastAsia="方正仿宋简体" w:cs="方正仿宋简体"/>
          <w:kern w:val="0"/>
          <w:sz w:val="32"/>
          <w:szCs w:val="32"/>
          <w:highlight w:val="none"/>
          <w:lang w:val="en-US" w:eastAsia="zh-CN" w:bidi="ar"/>
        </w:rPr>
        <w:t>进度</w:t>
      </w:r>
      <w:r>
        <w:rPr>
          <w:rFonts w:hint="default" w:ascii="Times New Roman" w:hAnsi="Times New Roman" w:eastAsia="方正仿宋简体" w:cs="Times New Roman"/>
          <w:kern w:val="0"/>
          <w:sz w:val="32"/>
          <w:szCs w:val="32"/>
          <w:highlight w:val="none"/>
          <w:lang w:val="en-US" w:eastAsia="zh-CN" w:bidi="ar"/>
        </w:rPr>
        <w:t>96</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79</w:t>
      </w:r>
      <w:r>
        <w:rPr>
          <w:rFonts w:hint="default" w:ascii="Times New Roman" w:hAnsi="Times New Roman" w:eastAsia="方正仿宋简体" w:cs="Times New Roman"/>
          <w:kern w:val="0"/>
          <w:sz w:val="32"/>
          <w:szCs w:val="32"/>
          <w:highlight w:val="none"/>
          <w:lang w:eastAsia="zh" w:bidi="ar"/>
        </w:rPr>
        <w:t>%</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11</w:t>
      </w:r>
      <w:r>
        <w:rPr>
          <w:rFonts w:hint="eastAsia" w:ascii="方正仿宋简体" w:hAnsi="方正仿宋简体" w:eastAsia="方正仿宋简体" w:cs="方正仿宋简体"/>
          <w:kern w:val="0"/>
          <w:sz w:val="32"/>
          <w:szCs w:val="32"/>
          <w:highlight w:val="none"/>
          <w:lang w:eastAsia="zh" w:bidi="ar"/>
        </w:rPr>
        <w:t>月实际执行进度</w:t>
      </w:r>
      <w:r>
        <w:rPr>
          <w:rFonts w:hint="default" w:ascii="Times New Roman" w:hAnsi="Times New Roman" w:eastAsia="方正仿宋简体" w:cs="Times New Roman"/>
          <w:kern w:val="0"/>
          <w:sz w:val="32"/>
          <w:szCs w:val="32"/>
          <w:highlight w:val="none"/>
          <w:lang w:val="en-US" w:eastAsia="zh-CN" w:bidi="ar"/>
        </w:rPr>
        <w:t>97</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91</w:t>
      </w:r>
      <w:r>
        <w:rPr>
          <w:rFonts w:hint="default" w:ascii="Times New Roman" w:hAnsi="Times New Roman" w:eastAsia="方正仿宋简体" w:cs="Times New Roman"/>
          <w:kern w:val="0"/>
          <w:sz w:val="32"/>
          <w:szCs w:val="32"/>
          <w:highlight w:val="none"/>
          <w:lang w:eastAsia="zh" w:bidi="ar"/>
        </w:rPr>
        <w:t>%</w:t>
      </w:r>
      <w:r>
        <w:rPr>
          <w:rFonts w:hint="eastAsia" w:ascii="方正仿宋简体" w:hAnsi="方正仿宋简体" w:eastAsia="方正仿宋简体" w:cs="方正仿宋简体"/>
          <w:kern w:val="0"/>
          <w:sz w:val="32"/>
          <w:szCs w:val="32"/>
          <w:highlight w:val="none"/>
          <w:lang w:eastAsia="zh-CN" w:bidi="ar"/>
        </w:rPr>
        <w:t>。</w:t>
      </w:r>
      <w:r>
        <w:rPr>
          <w:rFonts w:hint="eastAsia" w:ascii="方正仿宋简体" w:hAnsi="方正仿宋简体" w:eastAsia="方正仿宋简体" w:cs="方正仿宋简体"/>
          <w:kern w:val="0"/>
          <w:sz w:val="32"/>
          <w:szCs w:val="32"/>
          <w:highlight w:val="none"/>
          <w:lang w:bidi="ar"/>
        </w:rPr>
        <w:t xml:space="preserve"> </w:t>
      </w:r>
      <w:r>
        <w:rPr>
          <w:rFonts w:hint="eastAsia" w:ascii="方正仿宋简体" w:hAnsi="方正仿宋简体" w:eastAsia="方正仿宋简体" w:cs="方正仿宋简体"/>
          <w:kern w:val="0"/>
          <w:sz w:val="32"/>
          <w:szCs w:val="32"/>
          <w:highlight w:val="none"/>
          <w:lang w:val="en-US" w:eastAsia="zh-CN" w:bidi="ar"/>
        </w:rPr>
        <w:t>指标得分</w:t>
      </w:r>
      <w:r>
        <w:rPr>
          <w:rFonts w:hint="default" w:ascii="Times New Roman" w:hAnsi="Times New Roman" w:eastAsia="方正仿宋简体" w:cs="Times New Roman"/>
          <w:kern w:val="0"/>
          <w:sz w:val="32"/>
          <w:szCs w:val="32"/>
          <w:highlight w:val="none"/>
          <w:lang w:val="en-US" w:eastAsia="zh-CN" w:bidi="ar"/>
        </w:rPr>
        <w:t>6</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00</w:t>
      </w:r>
      <w:r>
        <w:rPr>
          <w:rFonts w:hint="eastAsia" w:ascii="方正仿宋简体" w:hAnsi="方正仿宋简体" w:eastAsia="方正仿宋简体" w:cs="方正仿宋简体"/>
          <w:kern w:val="0"/>
          <w:sz w:val="32"/>
          <w:szCs w:val="32"/>
          <w:highlight w:val="none"/>
          <w:lang w:val="en-US" w:eastAsia="zh-CN" w:bidi="ar"/>
        </w:rPr>
        <w:t>分。</w:t>
      </w:r>
      <w:r>
        <w:rPr>
          <w:rFonts w:hint="eastAsia" w:ascii="方正仿宋简体" w:hAnsi="方正仿宋简体" w:eastAsia="方正仿宋简体" w:cs="方正仿宋简体"/>
          <w:kern w:val="0"/>
          <w:sz w:val="32"/>
          <w:szCs w:val="32"/>
          <w:highlight w:val="none"/>
          <w:lang w:bidi="ar"/>
        </w:rPr>
        <w:t xml:space="preserve">  </w:t>
      </w:r>
    </w:p>
    <w:p w14:paraId="7A175E44">
      <w:pPr>
        <w:keepNext w:val="0"/>
        <w:keepLines w:val="0"/>
        <w:pageBreakBefore w:val="0"/>
        <w:kinsoku/>
        <w:wordWrap/>
        <w:overflowPunct/>
        <w:topLinePunct w:val="0"/>
        <w:autoSpaceDE/>
        <w:autoSpaceDN/>
        <w:bidi w:val="0"/>
        <w:spacing w:line="600" w:lineRule="exact"/>
        <w:ind w:left="0" w:firstLine="521"/>
        <w:jc w:val="left"/>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val="en-US" w:eastAsia="zh-CN" w:bidi="ar"/>
        </w:rPr>
        <w:t>综上，以上三个阶段的执行进度均达到目标进度。</w:t>
      </w:r>
      <w:r>
        <w:rPr>
          <w:rFonts w:hint="eastAsia" w:ascii="方正仿宋简体" w:hAnsi="方正仿宋简体" w:eastAsia="方正仿宋简体" w:cs="方正仿宋简体"/>
          <w:kern w:val="0"/>
          <w:sz w:val="32"/>
          <w:szCs w:val="32"/>
          <w:highlight w:val="none"/>
          <w:lang w:bidi="ar"/>
        </w:rPr>
        <w:t xml:space="preserve">                             </w:t>
      </w:r>
    </w:p>
    <w:p w14:paraId="4E7A7871">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6</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val="en-US" w:eastAsia="zh-CN" w:bidi="ar"/>
        </w:rPr>
        <w:t>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6</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00</w:t>
      </w:r>
      <w:r>
        <w:rPr>
          <w:rFonts w:hint="eastAsia" w:ascii="方正仿宋简体" w:hAnsi="方正仿宋简体" w:eastAsia="方正仿宋简体" w:cs="方正仿宋简体"/>
          <w:kern w:val="0"/>
          <w:sz w:val="32"/>
          <w:szCs w:val="32"/>
          <w:highlight w:val="none"/>
          <w:lang w:bidi="ar"/>
        </w:rPr>
        <w:t>分。</w:t>
      </w:r>
    </w:p>
    <w:p w14:paraId="3EF14B47">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sz w:val="32"/>
          <w:szCs w:val="32"/>
          <w:highlight w:val="none"/>
        </w:rPr>
        <w:t>二级指标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预算执行</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指标分共计</w:t>
      </w:r>
      <w:r>
        <w:rPr>
          <w:rFonts w:hint="default" w:ascii="Times New Roman" w:hAnsi="Times New Roman" w:eastAsia="方正仿宋简体" w:cs="Times New Roman"/>
          <w:sz w:val="32"/>
          <w:szCs w:val="32"/>
          <w:highlight w:val="none"/>
          <w:lang w:val="en-US" w:eastAsia="zh-CN"/>
        </w:rPr>
        <w:t>2</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05</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得分为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17</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95</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259AF7E0">
      <w:pPr>
        <w:keepNext w:val="0"/>
        <w:keepLines w:val="0"/>
        <w:pageBreakBefore w:val="0"/>
        <w:numPr>
          <w:ilvl w:val="0"/>
          <w:numId w:val="2"/>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完成结果</w:t>
      </w:r>
    </w:p>
    <w:p w14:paraId="043ED5CA">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完成结果</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下设两个三级指标分别为：预算完成和违规记录。</w:t>
      </w:r>
    </w:p>
    <w:p w14:paraId="255C5673">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）预算完成</w:t>
      </w:r>
    </w:p>
    <w:p w14:paraId="1B204505">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highlight w:val="none"/>
          <w:lang w:val="en-US" w:eastAsia="zh-CN" w:bidi="ar"/>
        </w:rPr>
      </w:pPr>
      <w:r>
        <w:rPr>
          <w:rFonts w:hint="eastAsia" w:ascii="方正仿宋简体" w:hAnsi="方正仿宋简体" w:eastAsia="方正仿宋简体" w:cs="方正仿宋简体"/>
          <w:kern w:val="0"/>
          <w:sz w:val="32"/>
          <w:szCs w:val="32"/>
          <w:highlight w:val="none"/>
          <w:lang w:eastAsia="zh-CN" w:bidi="ar"/>
        </w:rPr>
        <w:t>泸定县烹坝镇人民政府</w:t>
      </w:r>
      <w:r>
        <w:rPr>
          <w:rFonts w:hint="default" w:ascii="Times New Roman" w:hAnsi="Times New Roman" w:eastAsia="方正仿宋简体" w:cs="Times New Roman"/>
          <w:kern w:val="0"/>
          <w:sz w:val="32"/>
          <w:szCs w:val="32"/>
          <w:highlight w:val="none"/>
          <w:lang w:bidi="ar"/>
        </w:rPr>
        <w:t>2023</w:t>
      </w:r>
      <w:r>
        <w:rPr>
          <w:rFonts w:hint="eastAsia" w:ascii="方正仿宋简体" w:hAnsi="方正仿宋简体" w:eastAsia="方正仿宋简体" w:cs="方正仿宋简体"/>
          <w:kern w:val="0"/>
          <w:sz w:val="32"/>
          <w:szCs w:val="32"/>
          <w:highlight w:val="none"/>
          <w:lang w:bidi="ar"/>
        </w:rPr>
        <w:t>年</w:t>
      </w:r>
      <w:r>
        <w:rPr>
          <w:rFonts w:hint="default" w:ascii="Times New Roman" w:hAnsi="Times New Roman" w:eastAsia="方正仿宋简体" w:cs="Times New Roman"/>
          <w:kern w:val="0"/>
          <w:sz w:val="32"/>
          <w:szCs w:val="32"/>
          <w:highlight w:val="none"/>
          <w:lang w:val="en-US" w:eastAsia="zh-CN" w:bidi="ar"/>
        </w:rPr>
        <w:t>16</w:t>
      </w:r>
      <w:r>
        <w:rPr>
          <w:rFonts w:hint="eastAsia" w:ascii="方正仿宋简体" w:hAnsi="方正仿宋简体" w:eastAsia="方正仿宋简体" w:cs="方正仿宋简体"/>
          <w:kern w:val="0"/>
          <w:sz w:val="32"/>
          <w:szCs w:val="32"/>
          <w:highlight w:val="none"/>
          <w:lang w:val="en-US" w:eastAsia="zh-CN" w:bidi="ar"/>
        </w:rPr>
        <w:t>个部门预算项目</w:t>
      </w:r>
      <w:r>
        <w:rPr>
          <w:rFonts w:hint="eastAsia" w:ascii="方正仿宋简体" w:hAnsi="方正仿宋简体" w:eastAsia="方正仿宋简体" w:cs="方正仿宋简体"/>
          <w:kern w:val="0"/>
          <w:sz w:val="32"/>
          <w:szCs w:val="32"/>
          <w:highlight w:val="none"/>
          <w:lang w:bidi="ar"/>
        </w:rPr>
        <w:t>，</w:t>
      </w:r>
      <w:r>
        <w:rPr>
          <w:rFonts w:hint="eastAsia" w:ascii="方正仿宋简体" w:hAnsi="方正仿宋简体" w:eastAsia="方正仿宋简体" w:cs="方正仿宋简体"/>
          <w:kern w:val="0"/>
          <w:sz w:val="32"/>
          <w:szCs w:val="32"/>
          <w:highlight w:val="none"/>
          <w:lang w:val="en-US" w:eastAsia="zh-CN" w:bidi="ar"/>
        </w:rPr>
        <w:t>年度预算总额为</w:t>
      </w:r>
      <w:r>
        <w:rPr>
          <w:rFonts w:hint="default" w:ascii="Times New Roman" w:hAnsi="Times New Roman" w:eastAsia="方正仿宋简体" w:cs="Times New Roman"/>
          <w:kern w:val="0"/>
          <w:sz w:val="32"/>
          <w:szCs w:val="32"/>
          <w:highlight w:val="none"/>
          <w:lang w:val="en-US" w:eastAsia="zh-CN" w:bidi="ar"/>
        </w:rPr>
        <w:t>216</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44</w:t>
      </w:r>
      <w:r>
        <w:rPr>
          <w:rFonts w:hint="eastAsia" w:ascii="方正仿宋简体" w:hAnsi="方正仿宋简体" w:eastAsia="方正仿宋简体" w:cs="方正仿宋简体"/>
          <w:kern w:val="0"/>
          <w:sz w:val="32"/>
          <w:szCs w:val="32"/>
          <w:highlight w:val="none"/>
          <w:lang w:val="en-US" w:eastAsia="zh-CN" w:bidi="ar"/>
        </w:rPr>
        <w:t>万元，预算执行</w:t>
      </w:r>
      <w:r>
        <w:rPr>
          <w:rFonts w:hint="default" w:ascii="Times New Roman" w:hAnsi="Times New Roman" w:eastAsia="方正仿宋简体" w:cs="Times New Roman"/>
          <w:kern w:val="0"/>
          <w:sz w:val="32"/>
          <w:szCs w:val="32"/>
          <w:highlight w:val="none"/>
          <w:lang w:val="en-US" w:eastAsia="zh-CN" w:bidi="ar"/>
        </w:rPr>
        <w:t>198</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10</w:t>
      </w:r>
      <w:r>
        <w:rPr>
          <w:rFonts w:hint="eastAsia" w:ascii="方正仿宋简体" w:hAnsi="方正仿宋简体" w:eastAsia="方正仿宋简体" w:cs="方正仿宋简体"/>
          <w:kern w:val="0"/>
          <w:sz w:val="32"/>
          <w:szCs w:val="32"/>
          <w:highlight w:val="none"/>
          <w:lang w:val="en-US" w:eastAsia="zh-CN" w:bidi="ar"/>
        </w:rPr>
        <w:t>万元，年度预算执行进度为</w:t>
      </w:r>
      <w:r>
        <w:rPr>
          <w:rFonts w:hint="default" w:ascii="Times New Roman" w:hAnsi="Times New Roman" w:eastAsia="方正仿宋简体" w:cs="Times New Roman"/>
          <w:kern w:val="0"/>
          <w:sz w:val="32"/>
          <w:szCs w:val="32"/>
          <w:highlight w:val="none"/>
          <w:lang w:val="en-US" w:eastAsia="zh-CN" w:bidi="ar"/>
        </w:rPr>
        <w:t>91</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53%</w:t>
      </w:r>
      <w:r>
        <w:rPr>
          <w:rFonts w:hint="eastAsia" w:ascii="方正仿宋简体" w:hAnsi="方正仿宋简体" w:eastAsia="方正仿宋简体" w:cs="方正仿宋简体"/>
          <w:kern w:val="0"/>
          <w:sz w:val="32"/>
          <w:szCs w:val="32"/>
          <w:highlight w:val="none"/>
          <w:lang w:val="en-US" w:eastAsia="zh-CN" w:bidi="ar"/>
        </w:rPr>
        <w:t>，指标得分为=</w:t>
      </w:r>
      <w:r>
        <w:rPr>
          <w:rFonts w:hint="default" w:ascii="Times New Roman" w:hAnsi="Times New Roman" w:eastAsia="方正仿宋简体" w:cs="Times New Roman"/>
          <w:kern w:val="0"/>
          <w:sz w:val="32"/>
          <w:szCs w:val="32"/>
          <w:highlight w:val="none"/>
          <w:lang w:val="en-US" w:eastAsia="zh-CN" w:bidi="ar"/>
        </w:rPr>
        <w:t>91</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53%</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7</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32</w:t>
      </w:r>
      <w:r>
        <w:rPr>
          <w:rFonts w:hint="eastAsia" w:ascii="方正仿宋简体" w:hAnsi="方正仿宋简体" w:eastAsia="方正仿宋简体" w:cs="方正仿宋简体"/>
          <w:kern w:val="0"/>
          <w:sz w:val="32"/>
          <w:szCs w:val="32"/>
          <w:highlight w:val="none"/>
          <w:lang w:val="en-US" w:eastAsia="zh-CN" w:bidi="ar"/>
        </w:rPr>
        <w:t>分。</w:t>
      </w:r>
    </w:p>
    <w:p w14:paraId="12B2B552">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val="en-US" w:eastAsia="zh-CN" w:bidi="ar"/>
        </w:rPr>
        <w:t>68</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7</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32</w:t>
      </w:r>
      <w:r>
        <w:rPr>
          <w:rFonts w:hint="eastAsia" w:ascii="方正仿宋简体" w:hAnsi="方正仿宋简体" w:eastAsia="方正仿宋简体" w:cs="方正仿宋简体"/>
          <w:kern w:val="0"/>
          <w:sz w:val="32"/>
          <w:szCs w:val="32"/>
          <w:highlight w:val="none"/>
          <w:lang w:bidi="ar"/>
        </w:rPr>
        <w:t>分。</w:t>
      </w:r>
    </w:p>
    <w:p w14:paraId="18F3429F">
      <w:pPr>
        <w:keepNext w:val="0"/>
        <w:keepLines w:val="0"/>
        <w:pageBreakBefore w:val="0"/>
        <w:numPr>
          <w:ilvl w:val="255"/>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）违规记录</w:t>
      </w:r>
    </w:p>
    <w:p w14:paraId="355093D0">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pacing w:val="-4"/>
          <w:kern w:val="2"/>
          <w:sz w:val="32"/>
          <w:szCs w:val="32"/>
          <w:highlight w:val="none"/>
          <w:lang w:val="en-US" w:eastAsia="zh" w:bidi="ar-SA"/>
          <w14:textFill>
            <w14:solidFill>
              <w14:schemeClr w14:val="tx1"/>
            </w14:solidFill>
          </w14:textFill>
        </w:rPr>
      </w:pPr>
      <w:r>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t>泸定县烹坝镇人民政府</w:t>
      </w:r>
      <w:r>
        <w:rPr>
          <w:rFonts w:hint="default" w:ascii="Times New Roman" w:hAnsi="Times New Roman" w:eastAsia="方正仿宋简体" w:cs="Times New Roman"/>
          <w:color w:val="000000" w:themeColor="text1"/>
          <w:spacing w:val="-4"/>
          <w:kern w:val="2"/>
          <w:sz w:val="32"/>
          <w:szCs w:val="32"/>
          <w:highlight w:val="none"/>
          <w:lang w:val="en-US" w:eastAsia="zh-CN" w:bidi="ar-SA"/>
          <w14:textFill>
            <w14:solidFill>
              <w14:schemeClr w14:val="tx1"/>
            </w14:solidFill>
          </w14:textFill>
        </w:rPr>
        <w:t>2023</w:t>
      </w:r>
      <w:r>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t>年度</w:t>
      </w:r>
      <w:r>
        <w:rPr>
          <w:rFonts w:hint="eastAsia" w:ascii="方正仿宋简体" w:hAnsi="方正仿宋简体" w:eastAsia="方正仿宋简体" w:cs="方正仿宋简体"/>
          <w:color w:val="000000" w:themeColor="text1"/>
          <w:spacing w:val="-4"/>
          <w:kern w:val="2"/>
          <w:sz w:val="32"/>
          <w:szCs w:val="32"/>
          <w:highlight w:val="none"/>
          <w:lang w:val="en-US" w:eastAsia="zh" w:bidi="ar-SA"/>
          <w14:textFill>
            <w14:solidFill>
              <w14:schemeClr w14:val="tx1"/>
            </w14:solidFill>
          </w14:textFill>
        </w:rPr>
        <w:t>接受</w:t>
      </w:r>
      <w:r>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t>了经济责任审计</w:t>
      </w:r>
      <w:r>
        <w:rPr>
          <w:rFonts w:hint="eastAsia" w:ascii="方正仿宋简体" w:hAnsi="方正仿宋简体" w:eastAsia="方正仿宋简体" w:cs="方正仿宋简体"/>
          <w:color w:val="000000" w:themeColor="text1"/>
          <w:spacing w:val="-4"/>
          <w:kern w:val="2"/>
          <w:sz w:val="32"/>
          <w:szCs w:val="32"/>
          <w:highlight w:val="none"/>
          <w:lang w:val="en-US" w:eastAsia="zh" w:bidi="ar-SA"/>
          <w14:textFill>
            <w14:solidFill>
              <w14:schemeClr w14:val="tx1"/>
            </w14:solidFill>
          </w14:textFill>
        </w:rPr>
        <w:t>，</w:t>
      </w:r>
      <w:r>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t>审计</w:t>
      </w:r>
      <w:r>
        <w:rPr>
          <w:rFonts w:hint="eastAsia" w:ascii="方正仿宋简体" w:hAnsi="方正仿宋简体" w:eastAsia="方正仿宋简体" w:cs="方正仿宋简体"/>
          <w:color w:val="000000" w:themeColor="text1"/>
          <w:spacing w:val="-4"/>
          <w:kern w:val="2"/>
          <w:sz w:val="32"/>
          <w:szCs w:val="32"/>
          <w:highlight w:val="none"/>
          <w:lang w:val="en-US" w:eastAsia="zh" w:bidi="ar-SA"/>
          <w14:textFill>
            <w14:solidFill>
              <w14:schemeClr w14:val="tx1"/>
            </w14:solidFill>
          </w14:textFill>
        </w:rPr>
        <w:t>结果</w:t>
      </w:r>
      <w:r>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t>反馈存在一般性支出和三公经费压缩不到位的问题</w:t>
      </w:r>
      <w:r>
        <w:rPr>
          <w:rFonts w:hint="eastAsia" w:ascii="方正仿宋简体" w:hAnsi="方正仿宋简体" w:eastAsia="方正仿宋简体" w:cs="方正仿宋简体"/>
          <w:color w:val="000000" w:themeColor="text1"/>
          <w:spacing w:val="-4"/>
          <w:kern w:val="2"/>
          <w:sz w:val="32"/>
          <w:szCs w:val="32"/>
          <w:highlight w:val="none"/>
          <w:lang w:val="en-US" w:eastAsia="zh" w:bidi="ar-SA"/>
          <w14:textFill>
            <w14:solidFill>
              <w14:schemeClr w14:val="tx1"/>
            </w14:solidFill>
          </w14:textFill>
        </w:rPr>
        <w:t>。指标得分为</w:t>
      </w:r>
      <w:r>
        <w:rPr>
          <w:rFonts w:hint="default" w:ascii="Times New Roman" w:hAnsi="Times New Roman" w:eastAsia="方正仿宋简体" w:cs="Times New Roman"/>
          <w:color w:val="000000" w:themeColor="text1"/>
          <w:spacing w:val="-4"/>
          <w:kern w:val="2"/>
          <w:sz w:val="32"/>
          <w:szCs w:val="32"/>
          <w:highlight w:val="none"/>
          <w:lang w:val="en-US" w:eastAsia="zh-CN" w:bidi="ar-SA"/>
          <w14:textFill>
            <w14:solidFill>
              <w14:schemeClr w14:val="tx1"/>
            </w14:solidFill>
          </w14:textFill>
        </w:rPr>
        <w:t>7</w:t>
      </w:r>
      <w:r>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t>.</w:t>
      </w:r>
      <w:r>
        <w:rPr>
          <w:rFonts w:hint="default" w:ascii="Times New Roman" w:hAnsi="Times New Roman" w:eastAsia="方正仿宋简体" w:cs="Times New Roman"/>
          <w:color w:val="000000" w:themeColor="text1"/>
          <w:spacing w:val="-4"/>
          <w:kern w:val="2"/>
          <w:sz w:val="32"/>
          <w:szCs w:val="32"/>
          <w:highlight w:val="none"/>
          <w:lang w:val="en-US" w:eastAsia="zh-CN" w:bidi="ar-SA"/>
          <w14:textFill>
            <w14:solidFill>
              <w14:schemeClr w14:val="tx1"/>
            </w14:solidFill>
          </w14:textFill>
        </w:rPr>
        <w:t>50</w:t>
      </w:r>
      <w:r>
        <w:rPr>
          <w:rFonts w:hint="eastAsia" w:ascii="方正仿宋简体" w:hAnsi="方正仿宋简体" w:eastAsia="方正仿宋简体" w:cs="方正仿宋简体"/>
          <w:color w:val="000000" w:themeColor="text1"/>
          <w:spacing w:val="-4"/>
          <w:kern w:val="2"/>
          <w:sz w:val="32"/>
          <w:szCs w:val="32"/>
          <w:highlight w:val="none"/>
          <w:lang w:val="en-US" w:eastAsia="zh" w:bidi="ar-SA"/>
          <w14:textFill>
            <w14:solidFill>
              <w14:schemeClr w14:val="tx1"/>
            </w14:solidFill>
          </w14:textFill>
        </w:rPr>
        <w:t>分。</w:t>
      </w:r>
    </w:p>
    <w:p w14:paraId="2F8DDA77">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val="en-US" w:eastAsia="zh-CN" w:bidi="ar"/>
        </w:rPr>
        <w:t>5</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7</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5</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分。</w:t>
      </w:r>
    </w:p>
    <w:p w14:paraId="51A9AB6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完成结果</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sz w:val="32"/>
          <w:szCs w:val="32"/>
          <w:highlight w:val="none"/>
        </w:rPr>
        <w:t>指标分共计</w:t>
      </w:r>
      <w:r>
        <w:rPr>
          <w:rFonts w:hint="default" w:ascii="Times New Roman" w:hAnsi="Times New Roman" w:eastAsia="方正仿宋简体" w:cs="Times New Roman"/>
          <w:sz w:val="32"/>
          <w:szCs w:val="32"/>
          <w:highlight w:val="none"/>
          <w:lang w:val="en-US" w:eastAsia="zh-CN"/>
        </w:rPr>
        <w:t>16</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18</w:t>
      </w:r>
      <w:r>
        <w:rPr>
          <w:rFonts w:hint="eastAsia" w:ascii="方正仿宋简体" w:hAnsi="方正仿宋简体" w:eastAsia="方正仿宋简体" w:cs="方正仿宋简体"/>
          <w:sz w:val="32"/>
          <w:szCs w:val="32"/>
          <w:highlight w:val="none"/>
        </w:rPr>
        <w:t>分，此处得分为</w:t>
      </w:r>
      <w:r>
        <w:rPr>
          <w:rFonts w:hint="default" w:ascii="Times New Roman" w:hAnsi="Times New Roman" w:eastAsia="方正仿宋简体" w:cs="Times New Roman"/>
          <w:sz w:val="32"/>
          <w:szCs w:val="32"/>
          <w:highlight w:val="none"/>
          <w:lang w:val="en-US" w:eastAsia="zh-CN"/>
        </w:rPr>
        <w:t>14</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82</w:t>
      </w:r>
      <w:r>
        <w:rPr>
          <w:rFonts w:hint="eastAsia" w:ascii="方正仿宋简体" w:hAnsi="方正仿宋简体" w:eastAsia="方正仿宋简体" w:cs="方正仿宋简体"/>
          <w:sz w:val="32"/>
          <w:szCs w:val="32"/>
          <w:highlight w:val="none"/>
        </w:rPr>
        <w:t>分。</w:t>
      </w:r>
    </w:p>
    <w:p w14:paraId="73461CF6">
      <w:pPr>
        <w:keepNext w:val="0"/>
        <w:keepLines w:val="0"/>
        <w:pageBreakBefore w:val="0"/>
        <w:numPr>
          <w:ilvl w:val="0"/>
          <w:numId w:val="2"/>
        </w:numPr>
        <w:kinsoku/>
        <w:wordWrap/>
        <w:overflowPunct/>
        <w:topLinePunct w:val="0"/>
        <w:autoSpaceDE/>
        <w:autoSpaceDN/>
        <w:bidi w:val="0"/>
        <w:spacing w:line="600" w:lineRule="exact"/>
        <w:ind w:left="0" w:firstLine="560"/>
        <w:outlineLvl w:val="9"/>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项目自评报告编制</w:t>
      </w:r>
    </w:p>
    <w:p w14:paraId="3E62F88D">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bookmarkStart w:id="127" w:name="_Toc28439"/>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项目自评报告编制</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下设</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两</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个三级指标为</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：项目自评报告编制完整性</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和项目自评报告编制质量。</w:t>
      </w:r>
      <w:bookmarkEnd w:id="127"/>
    </w:p>
    <w:p w14:paraId="1EBD0C98">
      <w:pPr>
        <w:pStyle w:val="10"/>
        <w:keepNext w:val="0"/>
        <w:keepLines w:val="0"/>
        <w:pageBreakBefore w:val="0"/>
        <w:numPr>
          <w:ilvl w:val="0"/>
          <w:numId w:val="3"/>
        </w:numPr>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pPr>
      <w:bookmarkStart w:id="128" w:name="_Toc14621"/>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项目自评报告编制完整性</w:t>
      </w:r>
      <w:bookmarkEnd w:id="128"/>
    </w:p>
    <w:p w14:paraId="3F930EC6">
      <w:pPr>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pPr>
      <w:r>
        <w:rPr>
          <w:rFonts w:hint="eastAsia" w:ascii="方正仿宋简体" w:hAnsi="方正仿宋简体" w:eastAsia="方正仿宋简体" w:cs="方正仿宋简体"/>
          <w:kern w:val="0"/>
          <w:sz w:val="32"/>
          <w:szCs w:val="32"/>
          <w:highlight w:val="none"/>
          <w:lang w:eastAsia="zh-CN" w:bidi="ar"/>
        </w:rPr>
        <w:t>泸定县烹坝镇人民政府</w:t>
      </w:r>
      <w:r>
        <w:rPr>
          <w:rFonts w:hint="default" w:ascii="Times New Roman" w:hAnsi="Times New Roman" w:eastAsia="方正仿宋简体" w:cs="Times New Roman"/>
          <w:kern w:val="0"/>
          <w:sz w:val="32"/>
          <w:szCs w:val="32"/>
          <w:highlight w:val="none"/>
          <w:lang w:val="en-US" w:eastAsia="zh-CN" w:bidi="ar"/>
        </w:rPr>
        <w:t>2023</w:t>
      </w:r>
      <w:r>
        <w:rPr>
          <w:rFonts w:hint="eastAsia" w:ascii="方正仿宋简体" w:hAnsi="方正仿宋简体" w:eastAsia="方正仿宋简体" w:cs="方正仿宋简体"/>
          <w:kern w:val="0"/>
          <w:sz w:val="32"/>
          <w:szCs w:val="32"/>
          <w:highlight w:val="none"/>
          <w:lang w:val="en-US" w:eastAsia="zh-CN" w:bidi="ar"/>
        </w:rPr>
        <w:t>年共有</w:t>
      </w:r>
      <w:r>
        <w:rPr>
          <w:rFonts w:hint="default" w:ascii="Times New Roman" w:hAnsi="Times New Roman" w:eastAsia="方正仿宋简体" w:cs="Times New Roman"/>
          <w:kern w:val="0"/>
          <w:sz w:val="32"/>
          <w:szCs w:val="32"/>
          <w:highlight w:val="none"/>
          <w:lang w:val="en-US" w:eastAsia="zh-CN" w:bidi="ar"/>
        </w:rPr>
        <w:t>17</w:t>
      </w:r>
      <w:r>
        <w:rPr>
          <w:rFonts w:hint="eastAsia" w:ascii="方正仿宋简体" w:hAnsi="方正仿宋简体" w:eastAsia="方正仿宋简体" w:cs="方正仿宋简体"/>
          <w:kern w:val="0"/>
          <w:sz w:val="32"/>
          <w:szCs w:val="32"/>
          <w:highlight w:val="none"/>
          <w:lang w:val="en-US" w:eastAsia="zh-CN" w:bidi="ar"/>
        </w:rPr>
        <w:t>个专项项目，已</w:t>
      </w:r>
      <w:r>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t>向评价组提交了</w:t>
      </w:r>
      <w:r>
        <w:rPr>
          <w:rFonts w:hint="default" w:ascii="Times New Roman" w:hAnsi="Times New Roman" w:eastAsia="方正仿宋简体" w:cs="Times New Roman"/>
          <w:color w:val="000000" w:themeColor="text1"/>
          <w:spacing w:val="-4"/>
          <w:kern w:val="2"/>
          <w:sz w:val="32"/>
          <w:szCs w:val="32"/>
          <w:highlight w:val="none"/>
          <w:lang w:val="en-US" w:eastAsia="zh-CN" w:bidi="ar-SA"/>
          <w14:textFill>
            <w14:solidFill>
              <w14:schemeClr w14:val="tx1"/>
            </w14:solidFill>
          </w14:textFill>
        </w:rPr>
        <w:t>17</w:t>
      </w:r>
      <w:r>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t>个专项项目自评报告。</w:t>
      </w:r>
    </w:p>
    <w:p w14:paraId="25AD5EDD">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highlight w:val="none"/>
          <w:lang w:bidi="ar"/>
        </w:rPr>
      </w:pPr>
      <w:bookmarkStart w:id="129" w:name="_Toc14606"/>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10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val="en-US" w:eastAsia="zh-CN"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10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bookmarkEnd w:id="129"/>
    </w:p>
    <w:p w14:paraId="27E32ABA">
      <w:pPr>
        <w:pStyle w:val="10"/>
        <w:keepNext w:val="0"/>
        <w:keepLines w:val="0"/>
        <w:pageBreakBefore w:val="0"/>
        <w:numPr>
          <w:ilvl w:val="0"/>
          <w:numId w:val="3"/>
        </w:numPr>
        <w:kinsoku/>
        <w:wordWrap/>
        <w:overflowPunct/>
        <w:topLinePunct w:val="0"/>
        <w:autoSpaceDE/>
        <w:autoSpaceDN/>
        <w:bidi w:val="0"/>
        <w:spacing w:line="600" w:lineRule="exact"/>
        <w:ind w:left="0" w:leftChars="0" w:firstLine="624" w:firstLineChars="200"/>
        <w:outlineLvl w:val="9"/>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bookmarkStart w:id="130" w:name="_Toc10077"/>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项目自评报告编制质量</w:t>
      </w:r>
      <w:bookmarkEnd w:id="130"/>
    </w:p>
    <w:p w14:paraId="69411B10">
      <w:pPr>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pPr>
      <w:r>
        <w:rPr>
          <w:rFonts w:hint="eastAsia" w:ascii="方正仿宋简体" w:hAnsi="方正仿宋简体" w:eastAsia="方正仿宋简体" w:cs="方正仿宋简体"/>
          <w:kern w:val="0"/>
          <w:sz w:val="32"/>
          <w:szCs w:val="32"/>
          <w:highlight w:val="none"/>
          <w:lang w:eastAsia="zh-CN" w:bidi="ar"/>
        </w:rPr>
        <w:t>泸定县烹坝镇人民政府</w:t>
      </w:r>
      <w:r>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t>向评价组提交了</w:t>
      </w:r>
      <w:r>
        <w:rPr>
          <w:rFonts w:hint="default" w:ascii="Times New Roman" w:hAnsi="Times New Roman" w:eastAsia="方正仿宋简体" w:cs="Times New Roman"/>
          <w:color w:val="000000" w:themeColor="text1"/>
          <w:spacing w:val="-4"/>
          <w:kern w:val="2"/>
          <w:sz w:val="32"/>
          <w:szCs w:val="32"/>
          <w:highlight w:val="none"/>
          <w:lang w:val="en-US" w:eastAsia="zh-CN" w:bidi="ar-SA"/>
          <w14:textFill>
            <w14:solidFill>
              <w14:schemeClr w14:val="tx1"/>
            </w14:solidFill>
          </w14:textFill>
        </w:rPr>
        <w:t>17</w:t>
      </w:r>
      <w:r>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t>个</w:t>
      </w:r>
      <w:r>
        <w:rPr>
          <w:rFonts w:hint="default" w:ascii="Times New Roman" w:hAnsi="Times New Roman" w:eastAsia="方正仿宋简体" w:cs="Times New Roman"/>
          <w:color w:val="000000" w:themeColor="text1"/>
          <w:spacing w:val="-4"/>
          <w:kern w:val="2"/>
          <w:sz w:val="32"/>
          <w:szCs w:val="32"/>
          <w:highlight w:val="none"/>
          <w:lang w:val="en-US" w:eastAsia="zh-CN" w:bidi="ar-SA"/>
          <w14:textFill>
            <w14:solidFill>
              <w14:schemeClr w14:val="tx1"/>
            </w14:solidFill>
          </w14:textFill>
        </w:rPr>
        <w:t>2023</w:t>
      </w:r>
      <w:r>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t>年专项项目自评报告，提交的自评报告均按要求编制自评表、自评报告，有关自评报告编制结构完整、资金计划、到位、使用、项目财务管理、项目组织实施、项目完成、项目效益、存在的问题、相关建议等各项目要素完整。</w:t>
      </w:r>
    </w:p>
    <w:p w14:paraId="487A29E6">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highlight w:val="none"/>
          <w:lang w:bidi="ar"/>
        </w:rPr>
      </w:pPr>
      <w:bookmarkStart w:id="131" w:name="_Toc14712"/>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10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val="en-US" w:eastAsia="zh-CN"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10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bookmarkEnd w:id="131"/>
    </w:p>
    <w:p w14:paraId="67B1F2B9">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highlight w:val="none"/>
          <w:lang w:val="en-US" w:eastAsia="zh-CN" w:bidi="ar"/>
        </w:rPr>
      </w:pPr>
      <w:bookmarkStart w:id="132" w:name="_Toc13762"/>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项目自评报告编制</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sz w:val="32"/>
          <w:szCs w:val="32"/>
          <w:highlight w:val="none"/>
        </w:rPr>
        <w:t>指标分共计</w:t>
      </w:r>
      <w:r>
        <w:rPr>
          <w:rFonts w:hint="default" w:ascii="Times New Roman" w:hAnsi="Times New Roman" w:eastAsia="方正仿宋简体" w:cs="Times New Roman"/>
          <w:sz w:val="32"/>
          <w:szCs w:val="32"/>
          <w:highlight w:val="none"/>
          <w:lang w:val="en-US" w:eastAsia="zh-CN"/>
        </w:rPr>
        <w:t>20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eastAsia="zh"/>
        </w:rPr>
        <w:t>.</w:t>
      </w:r>
      <w:r>
        <w:rPr>
          <w:rFonts w:hint="default" w:ascii="Times New Roman" w:hAnsi="Times New Roman" w:eastAsia="方正仿宋简体" w:cs="Times New Roman"/>
          <w:sz w:val="32"/>
          <w:szCs w:val="32"/>
          <w:highlight w:val="none"/>
          <w:lang w:eastAsia="zh"/>
        </w:rPr>
        <w:t>00</w:t>
      </w:r>
      <w:r>
        <w:rPr>
          <w:rFonts w:hint="eastAsia" w:ascii="方正仿宋简体" w:hAnsi="方正仿宋简体" w:eastAsia="方正仿宋简体" w:cs="方正仿宋简体"/>
          <w:sz w:val="32"/>
          <w:szCs w:val="32"/>
          <w:highlight w:val="none"/>
        </w:rPr>
        <w:t>分，此处得分为</w:t>
      </w:r>
      <w:r>
        <w:rPr>
          <w:rFonts w:hint="default" w:ascii="Times New Roman" w:hAnsi="Times New Roman" w:eastAsia="方正仿宋简体" w:cs="Times New Roman"/>
          <w:sz w:val="32"/>
          <w:szCs w:val="32"/>
          <w:highlight w:val="none"/>
          <w:lang w:val="en-US" w:eastAsia="zh-CN"/>
        </w:rPr>
        <w:t>20</w:t>
      </w:r>
      <w:r>
        <w:rPr>
          <w:rFonts w:hint="eastAsia" w:ascii="方正仿宋简体" w:hAnsi="方正仿宋简体" w:eastAsia="方正仿宋简体" w:cs="方正仿宋简体"/>
          <w:sz w:val="32"/>
          <w:szCs w:val="32"/>
          <w:highlight w:val="none"/>
          <w:lang w:eastAsia="zh"/>
        </w:rPr>
        <w:t>.</w:t>
      </w:r>
      <w:r>
        <w:rPr>
          <w:rFonts w:hint="default" w:ascii="Times New Roman" w:hAnsi="Times New Roman" w:eastAsia="方正仿宋简体" w:cs="Times New Roman"/>
          <w:sz w:val="32"/>
          <w:szCs w:val="32"/>
          <w:highlight w:val="none"/>
          <w:lang w:eastAsia="zh"/>
        </w:rPr>
        <w:t>00</w:t>
      </w:r>
      <w:r>
        <w:rPr>
          <w:rFonts w:hint="eastAsia" w:ascii="方正仿宋简体" w:hAnsi="方正仿宋简体" w:eastAsia="方正仿宋简体" w:cs="方正仿宋简体"/>
          <w:sz w:val="32"/>
          <w:szCs w:val="32"/>
          <w:highlight w:val="none"/>
        </w:rPr>
        <w:t>分。</w:t>
      </w:r>
      <w:bookmarkEnd w:id="132"/>
    </w:p>
    <w:p w14:paraId="4CF66818">
      <w:pPr>
        <w:keepNext w:val="0"/>
        <w:keepLines w:val="0"/>
        <w:pageBreakBefore w:val="0"/>
        <w:numPr>
          <w:ilvl w:val="0"/>
          <w:numId w:val="2"/>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信息公开</w:t>
      </w:r>
    </w:p>
    <w:p w14:paraId="5AD350AC">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信息公开</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下设一个三级指标为自评公开。</w:t>
      </w:r>
    </w:p>
    <w:p w14:paraId="32514D63">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泸定县烹坝镇人民政府</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已自行组织编制</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年部门整体支出绩效自评报告，</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因</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年决算尚未批复，待决算批复后公开时随同决算报告一并公开。</w:t>
      </w:r>
    </w:p>
    <w:p w14:paraId="026ACAB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信息公开</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sz w:val="32"/>
          <w:szCs w:val="32"/>
          <w:highlight w:val="none"/>
        </w:rPr>
        <w:t>指标分共计</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此项得分为</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417B5254">
      <w:pPr>
        <w:keepNext w:val="0"/>
        <w:keepLines w:val="0"/>
        <w:pageBreakBefore w:val="0"/>
        <w:numPr>
          <w:ilvl w:val="0"/>
          <w:numId w:val="2"/>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整改反馈</w:t>
      </w:r>
    </w:p>
    <w:p w14:paraId="74FB3580">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整改反馈</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下设两个三级指标为：结果整改和应用反馈。</w:t>
      </w:r>
    </w:p>
    <w:p w14:paraId="2F2BF0E6">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sz w:val="32"/>
          <w:szCs w:val="32"/>
          <w:highlight w:val="none"/>
          <w:lang w:val="en-US" w:eastAsia="zh-CN"/>
        </w:rPr>
      </w:pPr>
      <w:bookmarkStart w:id="133" w:name="_Toc3074"/>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结果整改</w:t>
      </w:r>
      <w:bookmarkEnd w:id="133"/>
    </w:p>
    <w:p w14:paraId="5A143DC6">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highlight w:val="none"/>
          <w:lang w:eastAsia="zh-CN" w:bidi="ar"/>
        </w:rPr>
      </w:pPr>
      <w:bookmarkStart w:id="134" w:name="_Toc16156"/>
      <w:r>
        <w:rPr>
          <w:rFonts w:hint="eastAsia" w:ascii="方正仿宋简体" w:hAnsi="方正仿宋简体" w:eastAsia="方正仿宋简体" w:cs="方正仿宋简体"/>
          <w:kern w:val="0"/>
          <w:sz w:val="32"/>
          <w:szCs w:val="32"/>
          <w:highlight w:val="none"/>
          <w:lang w:eastAsia="zh-CN" w:bidi="ar"/>
        </w:rPr>
        <w:t>泸定县烹坝镇人民政府</w:t>
      </w:r>
      <w:r>
        <w:rPr>
          <w:rFonts w:hint="default" w:ascii="Times New Roman" w:hAnsi="Times New Roman" w:eastAsia="方正仿宋简体" w:cs="Times New Roman"/>
          <w:kern w:val="0"/>
          <w:sz w:val="32"/>
          <w:szCs w:val="32"/>
          <w:highlight w:val="none"/>
          <w:lang w:val="en-US" w:eastAsia="zh-CN" w:bidi="ar"/>
        </w:rPr>
        <w:t>2023</w:t>
      </w:r>
      <w:r>
        <w:rPr>
          <w:rFonts w:hint="eastAsia" w:ascii="方正仿宋简体" w:hAnsi="方正仿宋简体" w:eastAsia="方正仿宋简体" w:cs="方正仿宋简体"/>
          <w:kern w:val="0"/>
          <w:sz w:val="32"/>
          <w:szCs w:val="32"/>
          <w:highlight w:val="none"/>
          <w:lang w:val="en-US" w:eastAsia="zh-CN" w:bidi="ar"/>
        </w:rPr>
        <w:t>年接受了经济责任审计</w:t>
      </w:r>
      <w:r>
        <w:rPr>
          <w:rFonts w:hint="eastAsia" w:ascii="方正仿宋简体" w:hAnsi="方正仿宋简体" w:eastAsia="方正仿宋简体" w:cs="方正仿宋简体"/>
          <w:kern w:val="0"/>
          <w:sz w:val="32"/>
          <w:szCs w:val="32"/>
          <w:highlight w:val="none"/>
          <w:lang w:eastAsia="zh-CN" w:bidi="ar"/>
        </w:rPr>
        <w:t>，</w:t>
      </w:r>
      <w:r>
        <w:rPr>
          <w:rFonts w:hint="eastAsia" w:ascii="方正仿宋简体" w:hAnsi="方正仿宋简体" w:eastAsia="方正仿宋简体" w:cs="方正仿宋简体"/>
          <w:kern w:val="0"/>
          <w:sz w:val="32"/>
          <w:szCs w:val="32"/>
          <w:highlight w:val="none"/>
          <w:lang w:val="en-US" w:eastAsia="zh-CN" w:bidi="ar"/>
        </w:rPr>
        <w:t>报告反馈的存在</w:t>
      </w:r>
      <w:r>
        <w:rPr>
          <w:rFonts w:hint="eastAsia" w:ascii="方正仿宋简体" w:hAnsi="方正仿宋简体" w:eastAsia="方正仿宋简体" w:cs="方正仿宋简体"/>
          <w:kern w:val="0"/>
          <w:sz w:val="32"/>
          <w:szCs w:val="32"/>
          <w:highlight w:val="none"/>
          <w:lang w:eastAsia="zh-CN" w:bidi="ar"/>
        </w:rPr>
        <w:t>一般性支出</w:t>
      </w:r>
      <w:r>
        <w:rPr>
          <w:rFonts w:hint="eastAsia" w:ascii="方正仿宋简体" w:hAnsi="方正仿宋简体" w:eastAsia="方正仿宋简体" w:cs="方正仿宋简体"/>
          <w:kern w:val="0"/>
          <w:sz w:val="32"/>
          <w:szCs w:val="32"/>
          <w:highlight w:val="none"/>
          <w:lang w:val="en-US" w:eastAsia="zh-CN" w:bidi="ar"/>
        </w:rPr>
        <w:t>和三公经费压缩不到位的问题已经得到整改</w:t>
      </w:r>
      <w:r>
        <w:rPr>
          <w:rFonts w:hint="eastAsia" w:ascii="方正仿宋简体" w:hAnsi="方正仿宋简体" w:eastAsia="方正仿宋简体" w:cs="方正仿宋简体"/>
          <w:kern w:val="0"/>
          <w:sz w:val="32"/>
          <w:szCs w:val="32"/>
          <w:highlight w:val="none"/>
          <w:lang w:eastAsia="zh-CN" w:bidi="ar"/>
        </w:rPr>
        <w:t>。</w:t>
      </w:r>
      <w:bookmarkEnd w:id="134"/>
    </w:p>
    <w:p w14:paraId="73D555F5">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highlight w:val="none"/>
          <w:lang w:bidi="ar"/>
        </w:rPr>
      </w:pPr>
      <w:bookmarkStart w:id="135" w:name="_Toc32427"/>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4</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4</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bookmarkEnd w:id="135"/>
    </w:p>
    <w:p w14:paraId="305C2062">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highlight w:val="none"/>
          <w:lang w:val="en-US" w:eastAsia="zh-CN" w:bidi="ar"/>
        </w:rPr>
      </w:pPr>
      <w:bookmarkStart w:id="136" w:name="_Toc1561"/>
      <w:r>
        <w:rPr>
          <w:rFonts w:hint="eastAsia" w:ascii="方正仿宋简体" w:hAnsi="方正仿宋简体" w:eastAsia="方正仿宋简体" w:cs="方正仿宋简体"/>
          <w:kern w:val="0"/>
          <w:sz w:val="32"/>
          <w:szCs w:val="32"/>
          <w:highlight w:val="none"/>
          <w:lang w:eastAsia="zh-CN" w:bidi="ar"/>
        </w:rPr>
        <w:t>（</w:t>
      </w:r>
      <w:r>
        <w:rPr>
          <w:rFonts w:hint="default" w:ascii="Times New Roman" w:hAnsi="Times New Roman" w:eastAsia="方正仿宋简体" w:cs="Times New Roman"/>
          <w:kern w:val="0"/>
          <w:sz w:val="32"/>
          <w:szCs w:val="32"/>
          <w:highlight w:val="none"/>
          <w:lang w:val="en-US" w:eastAsia="zh-CN" w:bidi="ar"/>
        </w:rPr>
        <w:t>2</w:t>
      </w:r>
      <w:r>
        <w:rPr>
          <w:rFonts w:hint="eastAsia" w:ascii="方正仿宋简体" w:hAnsi="方正仿宋简体" w:eastAsia="方正仿宋简体" w:cs="方正仿宋简体"/>
          <w:kern w:val="0"/>
          <w:sz w:val="32"/>
          <w:szCs w:val="32"/>
          <w:highlight w:val="none"/>
          <w:lang w:eastAsia="zh-CN" w:bidi="ar"/>
        </w:rPr>
        <w:t>）</w:t>
      </w:r>
      <w:r>
        <w:rPr>
          <w:rFonts w:hint="eastAsia" w:ascii="方正仿宋简体" w:hAnsi="方正仿宋简体" w:eastAsia="方正仿宋简体" w:cs="方正仿宋简体"/>
          <w:kern w:val="0"/>
          <w:sz w:val="32"/>
          <w:szCs w:val="32"/>
          <w:highlight w:val="none"/>
          <w:lang w:val="en-US" w:eastAsia="zh-CN" w:bidi="ar"/>
        </w:rPr>
        <w:t>应用反馈</w:t>
      </w:r>
      <w:bookmarkEnd w:id="136"/>
    </w:p>
    <w:p w14:paraId="6C78C306">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highlight w:val="none"/>
          <w:lang w:eastAsia="zh-CN" w:bidi="ar"/>
        </w:rPr>
      </w:pPr>
      <w:r>
        <w:rPr>
          <w:rFonts w:hint="eastAsia" w:ascii="方正仿宋简体" w:hAnsi="方正仿宋简体" w:eastAsia="方正仿宋简体" w:cs="方正仿宋简体"/>
          <w:kern w:val="0"/>
          <w:sz w:val="32"/>
          <w:szCs w:val="32"/>
          <w:highlight w:val="none"/>
          <w:lang w:eastAsia="zh-CN" w:bidi="ar"/>
        </w:rPr>
        <w:t>泸定县烹坝镇人民政府</w:t>
      </w:r>
      <w:r>
        <w:rPr>
          <w:rFonts w:hint="default" w:ascii="Times New Roman" w:hAnsi="Times New Roman" w:eastAsia="方正仿宋简体" w:cs="Times New Roman"/>
          <w:kern w:val="0"/>
          <w:sz w:val="32"/>
          <w:szCs w:val="32"/>
          <w:highlight w:val="none"/>
          <w:lang w:val="en-US" w:eastAsia="zh-CN" w:bidi="ar"/>
        </w:rPr>
        <w:t>2023</w:t>
      </w:r>
      <w:r>
        <w:rPr>
          <w:rFonts w:hint="eastAsia" w:ascii="方正仿宋简体" w:hAnsi="方正仿宋简体" w:eastAsia="方正仿宋简体" w:cs="方正仿宋简体"/>
          <w:kern w:val="0"/>
          <w:sz w:val="32"/>
          <w:szCs w:val="32"/>
          <w:highlight w:val="none"/>
          <w:lang w:val="en-US" w:eastAsia="zh-CN" w:bidi="ar"/>
        </w:rPr>
        <w:t>年接受了经济责任审计</w:t>
      </w:r>
      <w:r>
        <w:rPr>
          <w:rFonts w:hint="eastAsia" w:ascii="方正仿宋简体" w:hAnsi="方正仿宋简体" w:eastAsia="方正仿宋简体" w:cs="方正仿宋简体"/>
          <w:kern w:val="0"/>
          <w:sz w:val="32"/>
          <w:szCs w:val="32"/>
          <w:highlight w:val="none"/>
          <w:lang w:eastAsia="zh-CN" w:bidi="ar"/>
        </w:rPr>
        <w:t>，</w:t>
      </w:r>
      <w:r>
        <w:rPr>
          <w:rFonts w:hint="eastAsia" w:ascii="方正仿宋简体" w:hAnsi="方正仿宋简体" w:eastAsia="方正仿宋简体" w:cs="方正仿宋简体"/>
          <w:kern w:val="0"/>
          <w:sz w:val="32"/>
          <w:szCs w:val="32"/>
          <w:highlight w:val="none"/>
          <w:lang w:val="en-US" w:eastAsia="zh-CN" w:bidi="ar"/>
        </w:rPr>
        <w:t>报告反馈的存在</w:t>
      </w:r>
      <w:r>
        <w:rPr>
          <w:rFonts w:hint="eastAsia" w:ascii="方正仿宋简体" w:hAnsi="方正仿宋简体" w:eastAsia="方正仿宋简体" w:cs="方正仿宋简体"/>
          <w:kern w:val="0"/>
          <w:sz w:val="32"/>
          <w:szCs w:val="32"/>
          <w:highlight w:val="none"/>
          <w:lang w:eastAsia="zh-CN" w:bidi="ar"/>
        </w:rPr>
        <w:t>一般性支出</w:t>
      </w:r>
      <w:r>
        <w:rPr>
          <w:rFonts w:hint="eastAsia" w:ascii="方正仿宋简体" w:hAnsi="方正仿宋简体" w:eastAsia="方正仿宋简体" w:cs="方正仿宋简体"/>
          <w:kern w:val="0"/>
          <w:sz w:val="32"/>
          <w:szCs w:val="32"/>
          <w:highlight w:val="none"/>
          <w:lang w:val="en-US" w:eastAsia="zh-CN" w:bidi="ar"/>
        </w:rPr>
        <w:t>和三公经费压缩不到位的问题已经得到整改，</w:t>
      </w:r>
      <w:r>
        <w:rPr>
          <w:rFonts w:hint="eastAsia" w:ascii="方正仿宋简体" w:hAnsi="方正仿宋简体" w:eastAsia="方正仿宋简体" w:cs="方正仿宋简体"/>
          <w:kern w:val="0"/>
          <w:sz w:val="32"/>
          <w:szCs w:val="32"/>
          <w:highlight w:val="none"/>
          <w:lang w:eastAsia="zh-CN" w:bidi="ar"/>
        </w:rPr>
        <w:t>并编制结果运用报告。</w:t>
      </w:r>
    </w:p>
    <w:p w14:paraId="6D14F067">
      <w:pPr>
        <w:pStyle w:val="10"/>
        <w:keepNext w:val="0"/>
        <w:keepLines w:val="0"/>
        <w:pageBreakBefore w:val="0"/>
        <w:kinsoku/>
        <w:wordWrap/>
        <w:overflowPunct/>
        <w:topLinePunct w:val="0"/>
        <w:autoSpaceDE/>
        <w:autoSpaceDN/>
        <w:bidi w:val="0"/>
        <w:spacing w:line="600" w:lineRule="exact"/>
        <w:ind w:left="0"/>
        <w:outlineLvl w:val="9"/>
        <w:rPr>
          <w:rFonts w:hint="eastAsia" w:ascii="方正仿宋简体" w:hAnsi="方正仿宋简体" w:eastAsia="方正仿宋简体" w:cs="方正仿宋简体"/>
          <w:kern w:val="0"/>
          <w:sz w:val="32"/>
          <w:szCs w:val="32"/>
          <w:highlight w:val="none"/>
          <w:lang w:eastAsia="zh-CN" w:bidi="ar"/>
        </w:rPr>
      </w:pPr>
      <w:bookmarkStart w:id="137" w:name="_Toc7869"/>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4</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val="en-US" w:eastAsia="zh-CN"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4</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bookmarkEnd w:id="137"/>
    </w:p>
    <w:p w14:paraId="31B04B58">
      <w:pPr>
        <w:keepNext w:val="0"/>
        <w:keepLines w:val="0"/>
        <w:pageBreakBefore w:val="0"/>
        <w:numPr>
          <w:ilvl w:val="0"/>
          <w:numId w:val="0"/>
        </w:numPr>
        <w:kinsoku/>
        <w:wordWrap/>
        <w:overflowPunct/>
        <w:topLinePunct w:val="0"/>
        <w:autoSpaceDE/>
        <w:autoSpaceDN/>
        <w:bidi w:val="0"/>
        <w:spacing w:line="600" w:lineRule="exact"/>
        <w:ind w:left="0" w:firstLine="560"/>
        <w:outlineLvl w:val="9"/>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整改反馈</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指标分共计</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分，扣除</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分，此项得分为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7E8B7A42">
      <w:pPr>
        <w:keepNext w:val="0"/>
        <w:keepLines w:val="0"/>
        <w:pageBreakBefore w:val="0"/>
        <w:numPr>
          <w:ilvl w:val="0"/>
          <w:numId w:val="2"/>
        </w:numPr>
        <w:kinsoku/>
        <w:wordWrap/>
        <w:overflowPunct/>
        <w:topLinePunct w:val="0"/>
        <w:autoSpaceDE/>
        <w:autoSpaceDN/>
        <w:bidi w:val="0"/>
        <w:spacing w:line="600" w:lineRule="exact"/>
        <w:ind w:left="0" w:firstLine="560"/>
        <w:outlineLvl w:val="9"/>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自评质量</w:t>
      </w:r>
    </w:p>
    <w:p w14:paraId="5E3C4BE1">
      <w:pPr>
        <w:keepNext w:val="0"/>
        <w:keepLines w:val="0"/>
        <w:pageBreakBefore w:val="0"/>
        <w:kinsoku/>
        <w:wordWrap/>
        <w:overflowPunct/>
        <w:topLinePunct w:val="0"/>
        <w:autoSpaceDE/>
        <w:autoSpaceDN/>
        <w:bidi w:val="0"/>
        <w:spacing w:line="600" w:lineRule="exact"/>
        <w:ind w:left="0" w:firstLine="560"/>
        <w:outlineLvl w:val="9"/>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自评质量</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下设一个三级指标为：自评准确。</w:t>
      </w:r>
    </w:p>
    <w:p w14:paraId="2A86D2A6">
      <w:pPr>
        <w:keepNext w:val="0"/>
        <w:keepLines w:val="0"/>
        <w:pageBreakBefore w:val="0"/>
        <w:numPr>
          <w:ilvl w:val="0"/>
          <w:numId w:val="0"/>
        </w:numPr>
        <w:kinsoku/>
        <w:wordWrap/>
        <w:overflowPunct/>
        <w:topLinePunct w:val="0"/>
        <w:autoSpaceDE/>
        <w:autoSpaceDN/>
        <w:bidi w:val="0"/>
        <w:spacing w:line="600" w:lineRule="exact"/>
        <w:ind w:left="0" w:firstLine="560"/>
        <w:outlineLvl w:val="9"/>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评价组</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对</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泸定县烹坝镇人民政府</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年度部门整体支出绩效评价</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得分为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78</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13</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分（不含自评准确分数</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泸定县烹坝镇人民政府提供了部门整体支出自评报告，但未进行自评打分。</w:t>
      </w:r>
    </w:p>
    <w:p w14:paraId="6D5F5A35">
      <w:pPr>
        <w:keepNext w:val="0"/>
        <w:keepLines w:val="0"/>
        <w:pageBreakBefore w:val="0"/>
        <w:kinsoku/>
        <w:wordWrap/>
        <w:overflowPunct/>
        <w:topLinePunct w:val="0"/>
        <w:autoSpaceDE/>
        <w:autoSpaceDN/>
        <w:bidi w:val="0"/>
        <w:spacing w:line="600" w:lineRule="exact"/>
        <w:ind w:left="0" w:firstLine="560"/>
        <w:outlineLvl w:val="9"/>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自评质量</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kern w:val="0"/>
          <w:sz w:val="32"/>
          <w:szCs w:val="32"/>
          <w:highlight w:val="none"/>
          <w:lang w:bidi="ar"/>
        </w:rPr>
        <w:t>指标</w:t>
      </w:r>
      <w:r>
        <w:rPr>
          <w:rFonts w:hint="eastAsia" w:ascii="方正仿宋简体" w:hAnsi="方正仿宋简体" w:eastAsia="方正仿宋简体" w:cs="方正仿宋简体"/>
          <w:sz w:val="32"/>
          <w:szCs w:val="32"/>
          <w:highlight w:val="none"/>
        </w:rPr>
        <w:t>分共计</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8</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得分为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77069509">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38" w:name="_Toc28577"/>
      <w:bookmarkStart w:id="139" w:name="_Toc30147"/>
      <w:bookmarkStart w:id="140" w:name="_Toc14032"/>
      <w:bookmarkStart w:id="141" w:name="_Toc30515"/>
      <w:bookmarkStart w:id="142" w:name="_Toc823448808"/>
      <w:bookmarkStart w:id="143" w:name="_Toc248033833"/>
      <w:bookmarkStart w:id="144" w:name="_Toc21218"/>
      <w:bookmarkStart w:id="145" w:name="_Toc5060"/>
      <w:bookmarkStart w:id="146" w:name="_Toc6224"/>
      <w:bookmarkStart w:id="147" w:name="_Toc4350"/>
      <w:bookmarkStart w:id="148" w:name="_Toc19973"/>
      <w:bookmarkStart w:id="149" w:name="_Toc8336"/>
      <w:r>
        <w:rPr>
          <w:rFonts w:hint="eastAsia" w:ascii="方正黑体简体" w:hAnsi="方正黑体简体" w:eastAsia="方正黑体简体" w:cs="方正黑体简体"/>
          <w:color w:val="000000"/>
          <w:kern w:val="0"/>
          <w:sz w:val="32"/>
          <w:szCs w:val="32"/>
          <w:highlight w:val="none"/>
          <w:shd w:val="clear" w:color="auto" w:fill="FFFFFF"/>
          <w:lang w:val="en-US" w:eastAsia="zh-CN"/>
        </w:rPr>
        <w:t>五</w:t>
      </w:r>
      <w:r>
        <w:rPr>
          <w:rFonts w:hint="eastAsia" w:ascii="方正黑体简体" w:hAnsi="方正黑体简体" w:eastAsia="方正黑体简体" w:cs="方正黑体简体"/>
          <w:color w:val="000000"/>
          <w:kern w:val="0"/>
          <w:sz w:val="32"/>
          <w:szCs w:val="32"/>
          <w:highlight w:val="none"/>
          <w:shd w:val="clear" w:color="auto" w:fill="FFFFFF"/>
        </w:rPr>
        <w:t>、存在的主要问题</w:t>
      </w:r>
      <w:bookmarkEnd w:id="138"/>
      <w:bookmarkEnd w:id="139"/>
      <w:bookmarkEnd w:id="140"/>
      <w:bookmarkEnd w:id="141"/>
      <w:bookmarkEnd w:id="142"/>
      <w:bookmarkEnd w:id="143"/>
      <w:bookmarkEnd w:id="144"/>
      <w:bookmarkEnd w:id="145"/>
      <w:bookmarkEnd w:id="146"/>
      <w:bookmarkEnd w:id="147"/>
    </w:p>
    <w:p w14:paraId="1BE97CB7">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kern w:val="2"/>
          <w:sz w:val="32"/>
          <w:szCs w:val="32"/>
          <w:highlight w:val="none"/>
          <w:lang w:val="en-US" w:eastAsia="zh-CN" w:bidi="ar-SA"/>
        </w:rPr>
      </w:pPr>
      <w:bookmarkStart w:id="150" w:name="_Toc9656"/>
      <w:bookmarkStart w:id="151" w:name="_Toc8770"/>
      <w:bookmarkStart w:id="152" w:name="_Toc29510"/>
      <w:bookmarkStart w:id="153" w:name="_Toc8389"/>
      <w:bookmarkStart w:id="154" w:name="_Toc3386"/>
      <w:bookmarkStart w:id="155" w:name="_Toc30926"/>
      <w:bookmarkStart w:id="156" w:name="_Toc12343"/>
      <w:bookmarkStart w:id="157" w:name="_Toc6895"/>
      <w:bookmarkStart w:id="158" w:name="_Toc352795849"/>
      <w:r>
        <w:rPr>
          <w:rFonts w:hint="eastAsia" w:ascii="方正楷体简体" w:hAnsi="方正楷体简体" w:eastAsia="方正楷体简体" w:cs="方正楷体简体"/>
          <w:kern w:val="2"/>
          <w:sz w:val="32"/>
          <w:szCs w:val="32"/>
          <w:highlight w:val="none"/>
          <w:lang w:val="zh-CN" w:eastAsia="zh-CN" w:bidi="ar-SA"/>
        </w:rPr>
        <w:t>（一</w:t>
      </w:r>
      <w:bookmarkEnd w:id="150"/>
      <w:bookmarkEnd w:id="151"/>
      <w:bookmarkEnd w:id="152"/>
      <w:bookmarkEnd w:id="153"/>
      <w:bookmarkEnd w:id="154"/>
      <w:r>
        <w:rPr>
          <w:rFonts w:hint="eastAsia" w:ascii="方正楷体简体" w:hAnsi="方正楷体简体" w:eastAsia="方正楷体简体" w:cs="方正楷体简体"/>
          <w:kern w:val="2"/>
          <w:sz w:val="32"/>
          <w:szCs w:val="32"/>
          <w:highlight w:val="none"/>
          <w:lang w:val="zh-CN" w:eastAsia="zh-CN" w:bidi="ar-SA"/>
        </w:rPr>
        <w:t>）</w:t>
      </w:r>
      <w:bookmarkEnd w:id="155"/>
      <w:r>
        <w:rPr>
          <w:rFonts w:hint="eastAsia" w:ascii="方正楷体简体" w:hAnsi="方正楷体简体" w:eastAsia="方正楷体简体" w:cs="方正楷体简体"/>
          <w:kern w:val="2"/>
          <w:sz w:val="32"/>
          <w:szCs w:val="32"/>
          <w:highlight w:val="none"/>
          <w:lang w:val="en-US" w:eastAsia="zh-CN" w:bidi="ar-SA"/>
        </w:rPr>
        <w:t>预算编制不准确，资金使用不够精准</w:t>
      </w:r>
      <w:bookmarkEnd w:id="156"/>
      <w:bookmarkEnd w:id="157"/>
    </w:p>
    <w:p w14:paraId="2F3ACB92">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eastAsia="zh-CN" w:bidi="ar"/>
        </w:rPr>
        <w:t>泸定县烹坝镇人民政府</w:t>
      </w:r>
      <w:r>
        <w:rPr>
          <w:rFonts w:hint="default" w:ascii="Times New Roman" w:hAnsi="Times New Roman" w:eastAsia="方正仿宋简体" w:cs="Times New Roman"/>
          <w:kern w:val="0"/>
          <w:sz w:val="32"/>
          <w:szCs w:val="32"/>
          <w:highlight w:val="none"/>
          <w:lang w:eastAsia="zh-CN" w:bidi="ar"/>
        </w:rPr>
        <w:t>2023</w:t>
      </w:r>
      <w:r>
        <w:rPr>
          <w:rFonts w:hint="eastAsia" w:ascii="方正仿宋简体" w:hAnsi="方正仿宋简体" w:eastAsia="方正仿宋简体" w:cs="方正仿宋简体"/>
          <w:kern w:val="0"/>
          <w:sz w:val="32"/>
          <w:szCs w:val="32"/>
          <w:highlight w:val="none"/>
          <w:lang w:eastAsia="zh-CN" w:bidi="ar"/>
        </w:rPr>
        <w:t>年部门全年预算调剂金额为</w:t>
      </w:r>
      <w:r>
        <w:rPr>
          <w:rFonts w:hint="default" w:ascii="Times New Roman" w:hAnsi="Times New Roman" w:eastAsia="方正仿宋简体" w:cs="Times New Roman"/>
          <w:kern w:val="0"/>
          <w:sz w:val="32"/>
          <w:szCs w:val="32"/>
          <w:highlight w:val="none"/>
          <w:lang w:eastAsia="zh-CN" w:bidi="ar"/>
        </w:rPr>
        <w:t>67</w:t>
      </w:r>
      <w:r>
        <w:rPr>
          <w:rFonts w:hint="eastAsia" w:ascii="方正仿宋简体" w:hAnsi="方正仿宋简体" w:eastAsia="方正仿宋简体" w:cs="方正仿宋简体"/>
          <w:kern w:val="0"/>
          <w:sz w:val="32"/>
          <w:szCs w:val="32"/>
          <w:highlight w:val="none"/>
          <w:lang w:eastAsia="zh-CN" w:bidi="ar"/>
        </w:rPr>
        <w:t>.</w:t>
      </w:r>
      <w:r>
        <w:rPr>
          <w:rFonts w:hint="default" w:ascii="Times New Roman" w:hAnsi="Times New Roman" w:eastAsia="方正仿宋简体" w:cs="Times New Roman"/>
          <w:kern w:val="0"/>
          <w:sz w:val="32"/>
          <w:szCs w:val="32"/>
          <w:highlight w:val="none"/>
          <w:lang w:eastAsia="zh-CN" w:bidi="ar"/>
        </w:rPr>
        <w:t>65</w:t>
      </w:r>
      <w:r>
        <w:rPr>
          <w:rFonts w:hint="eastAsia" w:ascii="方正仿宋简体" w:hAnsi="方正仿宋简体" w:eastAsia="方正仿宋简体" w:cs="方正仿宋简体"/>
          <w:kern w:val="0"/>
          <w:sz w:val="32"/>
          <w:szCs w:val="32"/>
          <w:highlight w:val="none"/>
          <w:lang w:eastAsia="zh-CN" w:bidi="ar"/>
        </w:rPr>
        <w:t>万元，年初部门预算数为</w:t>
      </w:r>
      <w:r>
        <w:rPr>
          <w:rFonts w:hint="default" w:ascii="Times New Roman" w:hAnsi="Times New Roman" w:eastAsia="方正仿宋简体" w:cs="Times New Roman"/>
          <w:kern w:val="0"/>
          <w:sz w:val="32"/>
          <w:szCs w:val="32"/>
          <w:highlight w:val="none"/>
          <w:lang w:eastAsia="zh-CN" w:bidi="ar"/>
        </w:rPr>
        <w:t>882</w:t>
      </w:r>
      <w:r>
        <w:rPr>
          <w:rFonts w:hint="eastAsia" w:ascii="方正仿宋简体" w:hAnsi="方正仿宋简体" w:eastAsia="方正仿宋简体" w:cs="方正仿宋简体"/>
          <w:kern w:val="0"/>
          <w:sz w:val="32"/>
          <w:szCs w:val="32"/>
          <w:highlight w:val="none"/>
          <w:lang w:eastAsia="zh-CN" w:bidi="ar"/>
        </w:rPr>
        <w:t>.</w:t>
      </w:r>
      <w:r>
        <w:rPr>
          <w:rFonts w:hint="default" w:ascii="Times New Roman" w:hAnsi="Times New Roman" w:eastAsia="方正仿宋简体" w:cs="Times New Roman"/>
          <w:kern w:val="0"/>
          <w:sz w:val="32"/>
          <w:szCs w:val="32"/>
          <w:highlight w:val="none"/>
          <w:lang w:eastAsia="zh-CN" w:bidi="ar"/>
        </w:rPr>
        <w:t>26</w:t>
      </w:r>
      <w:r>
        <w:rPr>
          <w:rFonts w:hint="eastAsia" w:ascii="方正仿宋简体" w:hAnsi="方正仿宋简体" w:eastAsia="方正仿宋简体" w:cs="方正仿宋简体"/>
          <w:kern w:val="0"/>
          <w:sz w:val="32"/>
          <w:szCs w:val="32"/>
          <w:highlight w:val="none"/>
          <w:lang w:eastAsia="zh-CN" w:bidi="ar"/>
        </w:rPr>
        <w:t>万元，预算调剂率为</w:t>
      </w:r>
      <w:r>
        <w:rPr>
          <w:rFonts w:hint="default" w:ascii="Times New Roman" w:hAnsi="Times New Roman" w:eastAsia="方正仿宋简体" w:cs="Times New Roman"/>
          <w:kern w:val="0"/>
          <w:sz w:val="32"/>
          <w:szCs w:val="32"/>
          <w:highlight w:val="none"/>
          <w:lang w:val="en-US" w:eastAsia="zh-CN" w:bidi="ar"/>
        </w:rPr>
        <w:t>7</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67</w:t>
      </w:r>
      <w:r>
        <w:rPr>
          <w:rFonts w:hint="default" w:ascii="Times New Roman" w:hAnsi="Times New Roman" w:eastAsia="方正仿宋简体" w:cs="Times New Roman"/>
          <w:kern w:val="0"/>
          <w:sz w:val="32"/>
          <w:szCs w:val="32"/>
          <w:highlight w:val="none"/>
          <w:lang w:eastAsia="zh-CN" w:bidi="ar"/>
        </w:rPr>
        <w:t>%</w:t>
      </w:r>
      <w:r>
        <w:rPr>
          <w:rFonts w:hint="eastAsia" w:ascii="方正仿宋简体" w:hAnsi="方正仿宋简体" w:eastAsia="方正仿宋简体" w:cs="方正仿宋简体"/>
          <w:kern w:val="0"/>
          <w:sz w:val="32"/>
          <w:szCs w:val="32"/>
          <w:highlight w:val="none"/>
          <w:lang w:eastAsia="zh-CN" w:bidi="ar"/>
        </w:rPr>
        <w:t>。</w:t>
      </w:r>
    </w:p>
    <w:bookmarkEnd w:id="158"/>
    <w:p w14:paraId="7F81C714">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kern w:val="2"/>
          <w:sz w:val="32"/>
          <w:szCs w:val="32"/>
          <w:highlight w:val="none"/>
          <w:lang w:val="zh-CN" w:eastAsia="zh" w:bidi="ar-SA"/>
        </w:rPr>
      </w:pPr>
      <w:bookmarkStart w:id="159" w:name="_Toc23313"/>
      <w:bookmarkStart w:id="160" w:name="_Toc30275"/>
      <w:bookmarkStart w:id="161" w:name="_Toc464104487"/>
      <w:bookmarkStart w:id="162" w:name="_Toc771997543"/>
      <w:r>
        <w:rPr>
          <w:rFonts w:hint="eastAsia" w:ascii="方正楷体简体" w:hAnsi="方正楷体简体" w:eastAsia="方正楷体简体" w:cs="方正楷体简体"/>
          <w:kern w:val="2"/>
          <w:sz w:val="32"/>
          <w:szCs w:val="32"/>
          <w:highlight w:val="none"/>
          <w:lang w:val="en-US" w:eastAsia="zh" w:bidi="ar-SA"/>
        </w:rPr>
        <w:t>（二）</w:t>
      </w:r>
      <w:r>
        <w:rPr>
          <w:rFonts w:hint="eastAsia" w:ascii="方正楷体简体" w:hAnsi="方正楷体简体" w:eastAsia="方正楷体简体" w:cs="方正楷体简体"/>
          <w:kern w:val="2"/>
          <w:sz w:val="32"/>
          <w:szCs w:val="32"/>
          <w:highlight w:val="none"/>
          <w:lang w:val="en-US" w:eastAsia="zh-CN" w:bidi="ar-SA"/>
        </w:rPr>
        <w:t>绩效管理不规范</w:t>
      </w:r>
      <w:bookmarkEnd w:id="159"/>
      <w:bookmarkEnd w:id="160"/>
    </w:p>
    <w:p w14:paraId="0FB0E21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pacing w:val="0"/>
          <w:kern w:val="0"/>
          <w:sz w:val="32"/>
          <w:szCs w:val="32"/>
          <w:highlight w:val="none"/>
          <w:lang w:val="en-US" w:eastAsia="zh" w:bidi="ar"/>
        </w:rPr>
      </w:pP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1</w:t>
      </w:r>
      <w:r>
        <w:rPr>
          <w:rFonts w:hint="eastAsia" w:ascii="方正仿宋简体" w:hAnsi="方正仿宋简体" w:eastAsia="方正仿宋简体" w:cs="方正仿宋简体"/>
          <w:kern w:val="0"/>
          <w:sz w:val="32"/>
          <w:szCs w:val="32"/>
          <w:highlight w:val="none"/>
          <w:lang w:val="en-US" w:eastAsia="zh-CN" w:bidi="ar"/>
        </w:rPr>
        <w:t>）绩效目标编制不规范。评价组检查发现</w:t>
      </w:r>
      <w:r>
        <w:rPr>
          <w:rFonts w:hint="eastAsia" w:ascii="方正仿宋简体" w:hAnsi="方正仿宋简体" w:eastAsia="方正仿宋简体" w:cs="方正仿宋简体"/>
          <w:kern w:val="0"/>
          <w:sz w:val="32"/>
          <w:szCs w:val="32"/>
          <w:highlight w:val="none"/>
          <w:lang w:eastAsia="zh-CN" w:bidi="ar"/>
        </w:rPr>
        <w:t>泸定县烹坝镇人民政府</w:t>
      </w:r>
      <w:r>
        <w:rPr>
          <w:rFonts w:hint="eastAsia" w:ascii="方正仿宋简体" w:hAnsi="方正仿宋简体" w:eastAsia="方正仿宋简体" w:cs="方正仿宋简体"/>
          <w:kern w:val="0"/>
          <w:sz w:val="32"/>
          <w:szCs w:val="32"/>
          <w:highlight w:val="none"/>
          <w:lang w:val="en-US" w:eastAsia="zh-CN" w:bidi="ar"/>
        </w:rPr>
        <w:t>事前申报项目绩效目标工作不到位，存在部分部门项目申报绩效目标不完整、不准确的情况</w:t>
      </w:r>
      <w:r>
        <w:rPr>
          <w:rFonts w:hint="eastAsia" w:ascii="方正仿宋简体" w:hAnsi="方正仿宋简体" w:eastAsia="方正仿宋简体" w:cs="方正仿宋简体"/>
          <w:spacing w:val="0"/>
          <w:kern w:val="0"/>
          <w:sz w:val="32"/>
          <w:szCs w:val="32"/>
          <w:highlight w:val="none"/>
          <w:lang w:val="en-US" w:eastAsia="zh" w:bidi="ar"/>
        </w:rPr>
        <w:t>。</w:t>
      </w:r>
    </w:p>
    <w:p w14:paraId="42A4BA46">
      <w:pPr>
        <w:keepNext w:val="0"/>
        <w:keepLines w:val="0"/>
        <w:pageBreakBefore w:val="0"/>
        <w:widowControl/>
        <w:kinsoku/>
        <w:wordWrap/>
        <w:overflowPunct/>
        <w:topLinePunct w:val="0"/>
        <w:autoSpaceDE/>
        <w:autoSpaceDN/>
        <w:bidi w:val="0"/>
        <w:adjustRightInd w:val="0"/>
        <w:snapToGrid w:val="0"/>
        <w:spacing w:line="600" w:lineRule="exact"/>
        <w:ind w:left="0"/>
        <w:jc w:val="left"/>
        <w:outlineLvl w:val="0"/>
        <w:rPr>
          <w:rFonts w:hint="eastAsia" w:ascii="方正仿宋简体" w:hAnsi="方正仿宋简体" w:eastAsia="方正仿宋简体" w:cs="方正仿宋简体"/>
          <w:color w:val="000000"/>
          <w:kern w:val="0"/>
          <w:sz w:val="32"/>
          <w:szCs w:val="32"/>
          <w:highlight w:val="none"/>
          <w:shd w:val="clear" w:color="auto" w:fill="FFFFFF"/>
          <w:lang w:val="en-US" w:eastAsia="zh-CN"/>
        </w:rPr>
      </w:pPr>
      <w:r>
        <w:rPr>
          <w:rFonts w:hint="eastAsia" w:ascii="方正仿宋简体" w:hAnsi="方正仿宋简体" w:eastAsia="方正仿宋简体" w:cs="方正仿宋简体"/>
          <w:spacing w:val="0"/>
          <w:kern w:val="0"/>
          <w:sz w:val="32"/>
          <w:szCs w:val="32"/>
          <w:highlight w:val="none"/>
          <w:lang w:val="en-US" w:eastAsia="zh-CN" w:bidi="ar"/>
        </w:rPr>
        <w:t>（</w:t>
      </w:r>
      <w:r>
        <w:rPr>
          <w:rFonts w:hint="default" w:ascii="Times New Roman" w:hAnsi="Times New Roman" w:eastAsia="方正仿宋简体" w:cs="Times New Roman"/>
          <w:spacing w:val="0"/>
          <w:kern w:val="0"/>
          <w:sz w:val="32"/>
          <w:szCs w:val="32"/>
          <w:highlight w:val="none"/>
          <w:lang w:val="en-US" w:eastAsia="zh-CN" w:bidi="ar"/>
        </w:rPr>
        <w:t>2</w:t>
      </w:r>
      <w:r>
        <w:rPr>
          <w:rFonts w:hint="eastAsia" w:ascii="方正仿宋简体" w:hAnsi="方正仿宋简体" w:eastAsia="方正仿宋简体" w:cs="方正仿宋简体"/>
          <w:spacing w:val="0"/>
          <w:kern w:val="0"/>
          <w:sz w:val="32"/>
          <w:szCs w:val="32"/>
          <w:highlight w:val="none"/>
          <w:lang w:val="en-US" w:eastAsia="zh-CN" w:bidi="ar"/>
        </w:rPr>
        <w:t>）绩效自评不完整。</w:t>
      </w:r>
      <w:r>
        <w:rPr>
          <w:rFonts w:hint="eastAsia" w:ascii="方正仿宋简体" w:hAnsi="方正仿宋简体" w:eastAsia="方正仿宋简体" w:cs="方正仿宋简体"/>
          <w:color w:val="auto"/>
          <w:kern w:val="0"/>
          <w:sz w:val="32"/>
          <w:szCs w:val="32"/>
          <w:highlight w:val="none"/>
          <w:lang w:val="en-US" w:eastAsia="zh-CN" w:bidi="ar"/>
        </w:rPr>
        <w:t>泸定县烹坝镇人民政府提供了的部门整体支出自评报告，但未进行自评打分。</w:t>
      </w:r>
      <w:bookmarkStart w:id="163" w:name="_Toc22968"/>
      <w:bookmarkStart w:id="164" w:name="_Toc15515"/>
      <w:bookmarkStart w:id="165" w:name="_Toc15651"/>
      <w:bookmarkStart w:id="166" w:name="_Toc3240"/>
      <w:bookmarkStart w:id="167" w:name="_Toc10426"/>
      <w:bookmarkStart w:id="168" w:name="_Toc19985"/>
      <w:bookmarkStart w:id="169" w:name="_Toc31629"/>
    </w:p>
    <w:p w14:paraId="60949451">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70" w:name="_Toc21880"/>
      <w:r>
        <w:rPr>
          <w:rFonts w:hint="eastAsia" w:ascii="方正黑体简体" w:hAnsi="方正黑体简体" w:eastAsia="方正黑体简体" w:cs="方正黑体简体"/>
          <w:color w:val="000000"/>
          <w:kern w:val="0"/>
          <w:sz w:val="32"/>
          <w:szCs w:val="32"/>
          <w:highlight w:val="none"/>
          <w:shd w:val="clear" w:color="auto" w:fill="FFFFFF"/>
          <w:lang w:val="en-US" w:eastAsia="zh-CN"/>
        </w:rPr>
        <w:t>六</w:t>
      </w:r>
      <w:r>
        <w:rPr>
          <w:rFonts w:hint="eastAsia" w:ascii="方正黑体简体" w:hAnsi="方正黑体简体" w:eastAsia="方正黑体简体" w:cs="方正黑体简体"/>
          <w:color w:val="000000"/>
          <w:kern w:val="0"/>
          <w:sz w:val="32"/>
          <w:szCs w:val="32"/>
          <w:highlight w:val="none"/>
          <w:shd w:val="clear" w:color="auto" w:fill="FFFFFF"/>
        </w:rPr>
        <w:t>、相关措施建议</w:t>
      </w:r>
      <w:bookmarkEnd w:id="161"/>
      <w:bookmarkEnd w:id="162"/>
      <w:bookmarkEnd w:id="163"/>
      <w:bookmarkEnd w:id="164"/>
      <w:bookmarkEnd w:id="165"/>
      <w:bookmarkEnd w:id="166"/>
      <w:bookmarkEnd w:id="167"/>
      <w:bookmarkEnd w:id="168"/>
      <w:bookmarkEnd w:id="169"/>
      <w:bookmarkEnd w:id="170"/>
    </w:p>
    <w:p w14:paraId="7FAEB8B7">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kern w:val="2"/>
          <w:sz w:val="32"/>
          <w:szCs w:val="32"/>
          <w:highlight w:val="none"/>
          <w:lang w:val="zh-CN" w:eastAsia="zh-CN" w:bidi="ar-SA"/>
        </w:rPr>
      </w:pPr>
      <w:bookmarkStart w:id="171" w:name="_Toc25014"/>
      <w:bookmarkStart w:id="172" w:name="_Toc16311"/>
      <w:bookmarkStart w:id="173" w:name="_Toc19759"/>
      <w:bookmarkStart w:id="174" w:name="_Toc10383"/>
      <w:bookmarkStart w:id="175" w:name="_Toc30220"/>
      <w:bookmarkStart w:id="176" w:name="_Toc29452"/>
      <w:bookmarkStart w:id="177" w:name="_Toc10202"/>
      <w:bookmarkStart w:id="178" w:name="_Toc19941"/>
      <w:r>
        <w:rPr>
          <w:rFonts w:hint="eastAsia" w:ascii="方正楷体简体" w:hAnsi="方正楷体简体" w:eastAsia="方正楷体简体" w:cs="方正楷体简体"/>
          <w:kern w:val="2"/>
          <w:sz w:val="32"/>
          <w:szCs w:val="32"/>
          <w:highlight w:val="none"/>
          <w:lang w:val="zh-CN" w:eastAsia="zh-CN" w:bidi="ar-SA"/>
        </w:rPr>
        <w:t>（一）针对“</w:t>
      </w:r>
      <w:r>
        <w:rPr>
          <w:rFonts w:hint="eastAsia" w:ascii="方正楷体简体" w:hAnsi="方正楷体简体" w:eastAsia="方正楷体简体" w:cs="方正楷体简体"/>
          <w:kern w:val="2"/>
          <w:sz w:val="32"/>
          <w:szCs w:val="32"/>
          <w:highlight w:val="none"/>
          <w:lang w:val="zh-CN" w:eastAsia="zh" w:bidi="ar-SA"/>
        </w:rPr>
        <w:t>预算编制不准确，资金使用不够精准</w:t>
      </w:r>
      <w:r>
        <w:rPr>
          <w:rFonts w:hint="eastAsia" w:ascii="方正楷体简体" w:hAnsi="方正楷体简体" w:eastAsia="方正楷体简体" w:cs="方正楷体简体"/>
          <w:kern w:val="2"/>
          <w:sz w:val="32"/>
          <w:szCs w:val="32"/>
          <w:highlight w:val="none"/>
          <w:lang w:val="zh-CN" w:eastAsia="zh-CN" w:bidi="ar-SA"/>
        </w:rPr>
        <w:t>”的建议</w:t>
      </w:r>
      <w:bookmarkEnd w:id="171"/>
      <w:bookmarkEnd w:id="172"/>
      <w:bookmarkEnd w:id="173"/>
      <w:bookmarkEnd w:id="174"/>
      <w:bookmarkEnd w:id="175"/>
      <w:bookmarkEnd w:id="176"/>
      <w:bookmarkEnd w:id="177"/>
      <w:bookmarkEnd w:id="178"/>
    </w:p>
    <w:p w14:paraId="7014450F">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000000"/>
          <w:kern w:val="0"/>
          <w:sz w:val="32"/>
          <w:szCs w:val="32"/>
          <w:highlight w:val="none"/>
          <w:shd w:val="clear" w:color="auto" w:fill="FFFFFF"/>
        </w:rPr>
      </w:pPr>
      <w:r>
        <w:rPr>
          <w:rFonts w:hint="eastAsia" w:ascii="方正仿宋简体" w:hAnsi="方正仿宋简体" w:eastAsia="方正仿宋简体" w:cs="方正仿宋简体"/>
          <w:sz w:val="32"/>
          <w:szCs w:val="32"/>
          <w:highlight w:val="none"/>
          <w:lang w:val="en-US" w:eastAsia="zh-CN"/>
        </w:rPr>
        <w:t>建议：</w:t>
      </w:r>
      <w:r>
        <w:rPr>
          <w:rFonts w:hint="eastAsia" w:ascii="方正仿宋简体" w:hAnsi="方正仿宋简体" w:eastAsia="方正仿宋简体" w:cs="方正仿宋简体"/>
          <w:sz w:val="32"/>
          <w:szCs w:val="32"/>
          <w:highlight w:val="none"/>
          <w:lang w:eastAsia="zh-CN"/>
        </w:rPr>
        <w:t>泸定县烹坝镇人民政府</w:t>
      </w:r>
      <w:r>
        <w:rPr>
          <w:rFonts w:hint="eastAsia" w:ascii="方正仿宋简体" w:hAnsi="方正仿宋简体" w:eastAsia="方正仿宋简体" w:cs="方正仿宋简体"/>
          <w:sz w:val="32"/>
          <w:szCs w:val="32"/>
          <w:highlight w:val="none"/>
          <w:lang w:val="en-US" w:eastAsia="zh-CN"/>
        </w:rPr>
        <w:t>应鼓励单位内各股室积极参与预算编制工作，落实支出责任，</w:t>
      </w:r>
      <w:r>
        <w:rPr>
          <w:rFonts w:hint="eastAsia" w:ascii="方正仿宋简体" w:hAnsi="方正仿宋简体" w:eastAsia="方正仿宋简体" w:cs="方正仿宋简体"/>
          <w:color w:val="auto"/>
          <w:sz w:val="32"/>
          <w:szCs w:val="32"/>
          <w:highlight w:val="none"/>
          <w:lang w:val="en-US" w:eastAsia="zh-CN"/>
        </w:rPr>
        <w:t>将预算划分为更细致的分类，利用他们的专业知识和对日常运营的深刻理解更准确地估计可能的成本，提高预算编制的科学性和合理性。</w:t>
      </w:r>
    </w:p>
    <w:p w14:paraId="4CEAD282">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kern w:val="2"/>
          <w:sz w:val="32"/>
          <w:szCs w:val="32"/>
          <w:highlight w:val="none"/>
          <w:lang w:val="zh-CN" w:eastAsia="zh-CN" w:bidi="ar-SA"/>
        </w:rPr>
      </w:pPr>
      <w:bookmarkStart w:id="179" w:name="_Toc24455"/>
      <w:bookmarkStart w:id="180" w:name="_Toc22132"/>
      <w:bookmarkStart w:id="181" w:name="_Toc11203"/>
      <w:bookmarkStart w:id="182" w:name="_Toc31850"/>
      <w:bookmarkStart w:id="183" w:name="_Toc12805"/>
      <w:bookmarkStart w:id="184" w:name="_Toc31667"/>
      <w:bookmarkStart w:id="185" w:name="_Toc7397"/>
      <w:bookmarkStart w:id="186" w:name="_Toc25212"/>
      <w:r>
        <w:rPr>
          <w:rFonts w:hint="eastAsia" w:ascii="方正楷体简体" w:hAnsi="方正楷体简体" w:eastAsia="方正楷体简体" w:cs="方正楷体简体"/>
          <w:kern w:val="2"/>
          <w:sz w:val="32"/>
          <w:szCs w:val="32"/>
          <w:highlight w:val="none"/>
          <w:lang w:val="zh-CN" w:eastAsia="zh-CN" w:bidi="ar-SA"/>
        </w:rPr>
        <w:t>（二）针对“绩效</w:t>
      </w:r>
      <w:r>
        <w:rPr>
          <w:rFonts w:hint="eastAsia" w:ascii="方正楷体简体" w:hAnsi="方正楷体简体" w:eastAsia="方正楷体简体" w:cs="方正楷体简体"/>
          <w:kern w:val="2"/>
          <w:sz w:val="32"/>
          <w:szCs w:val="32"/>
          <w:highlight w:val="none"/>
          <w:lang w:val="en-US" w:eastAsia="zh-CN" w:bidi="ar-SA"/>
        </w:rPr>
        <w:t>管理不规范</w:t>
      </w:r>
      <w:r>
        <w:rPr>
          <w:rFonts w:hint="eastAsia" w:ascii="方正楷体简体" w:hAnsi="方正楷体简体" w:eastAsia="方正楷体简体" w:cs="方正楷体简体"/>
          <w:kern w:val="2"/>
          <w:sz w:val="32"/>
          <w:szCs w:val="32"/>
          <w:highlight w:val="none"/>
          <w:lang w:val="zh-CN" w:eastAsia="zh-CN" w:bidi="ar-SA"/>
        </w:rPr>
        <w:t>”的建议</w:t>
      </w:r>
      <w:bookmarkEnd w:id="179"/>
      <w:bookmarkEnd w:id="180"/>
      <w:bookmarkEnd w:id="181"/>
      <w:bookmarkEnd w:id="182"/>
      <w:bookmarkEnd w:id="183"/>
      <w:bookmarkEnd w:id="184"/>
      <w:bookmarkEnd w:id="185"/>
      <w:bookmarkEnd w:id="186"/>
    </w:p>
    <w:p w14:paraId="79B3DF62">
      <w:pPr>
        <w:pStyle w:val="5"/>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eastAsia" w:ascii="方正仿宋简体" w:hAnsi="方正仿宋简体" w:eastAsia="方正仿宋简体" w:cs="方正仿宋简体"/>
          <w:b w:val="0"/>
          <w:bCs w:val="0"/>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建议：</w:t>
      </w:r>
      <w:r>
        <w:rPr>
          <w:rFonts w:hint="eastAsia" w:ascii="方正仿宋简体" w:hAnsi="方正仿宋简体" w:eastAsia="方正仿宋简体" w:cs="方正仿宋简体"/>
          <w:sz w:val="32"/>
          <w:szCs w:val="32"/>
          <w:highlight w:val="none"/>
          <w:lang w:eastAsia="zh-CN"/>
        </w:rPr>
        <w:t>泸定县烹坝镇人民政府</w:t>
      </w:r>
      <w:r>
        <w:rPr>
          <w:rFonts w:hint="eastAsia" w:ascii="方正仿宋简体" w:hAnsi="方正仿宋简体" w:eastAsia="方正仿宋简体" w:cs="方正仿宋简体"/>
          <w:sz w:val="32"/>
          <w:szCs w:val="32"/>
          <w:highlight w:val="none"/>
          <w:lang w:val="en-US" w:eastAsia="zh-CN"/>
        </w:rPr>
        <w:t>应规范项目绩效目标设置，</w:t>
      </w:r>
      <w:r>
        <w:rPr>
          <w:rFonts w:hint="eastAsia" w:ascii="方正仿宋简体" w:hAnsi="方正仿宋简体" w:eastAsia="方正仿宋简体" w:cs="方正仿宋简体"/>
          <w:b w:val="0"/>
          <w:bCs w:val="0"/>
          <w:sz w:val="32"/>
          <w:szCs w:val="32"/>
          <w:highlight w:val="none"/>
          <w:lang w:val="en-US" w:eastAsia="zh-CN"/>
        </w:rPr>
        <w:t>严格单位自评指标设置，注重采用定量和定性评价相结合的方法，设置最具代表性，最能直接反映产出和效益的核心绩效指标和标准体系。对此次评价中未完成绩效目标或偏离绩效目标较大的项目要分析原因，对由于年初指标值设定明显偏低造成的，要按照偏离度适度调减分值。</w:t>
      </w:r>
    </w:p>
    <w:p w14:paraId="79424430">
      <w:pPr>
        <w:pStyle w:val="2"/>
        <w:keepNext w:val="0"/>
        <w:keepLines w:val="0"/>
        <w:pageBreakBefore w:val="0"/>
        <w:numPr>
          <w:ilvl w:val="-1"/>
          <w:numId w:val="0"/>
        </w:numPr>
        <w:kinsoku/>
        <w:wordWrap/>
        <w:overflowPunct/>
        <w:topLinePunct w:val="0"/>
        <w:autoSpaceDE/>
        <w:autoSpaceDN/>
        <w:bidi w:val="0"/>
        <w:spacing w:after="0" w:line="600" w:lineRule="exact"/>
        <w:ind w:left="0" w:firstLine="0" w:firstLineChars="0"/>
        <w:rPr>
          <w:rFonts w:hint="eastAsia" w:ascii="方正仿宋简体" w:hAnsi="方正仿宋简体" w:eastAsia="方正仿宋简体" w:cs="方正仿宋简体"/>
          <w:color w:val="000000"/>
          <w:sz w:val="32"/>
          <w:szCs w:val="32"/>
          <w:highlight w:val="none"/>
          <w:shd w:val="clear" w:color="auto" w:fill="FFFFFF"/>
        </w:rPr>
      </w:pPr>
    </w:p>
    <w:p w14:paraId="21A531CE">
      <w:pPr>
        <w:keepNext w:val="0"/>
        <w:keepLines w:val="0"/>
        <w:pageBreakBefore w:val="0"/>
        <w:kinsoku/>
        <w:wordWrap/>
        <w:overflowPunct/>
        <w:topLinePunct w:val="0"/>
        <w:autoSpaceDE/>
        <w:autoSpaceDN/>
        <w:bidi w:val="0"/>
        <w:spacing w:line="600" w:lineRule="exact"/>
        <w:ind w:left="1598" w:leftChars="228" w:hanging="960" w:hangingChars="300"/>
        <w:rPr>
          <w:rFonts w:hint="eastAsia" w:ascii="方正仿宋简体" w:hAnsi="方正仿宋简体" w:eastAsia="方正仿宋简体" w:cs="方正仿宋简体"/>
          <w:b/>
          <w:bCs/>
          <w:sz w:val="32"/>
          <w:szCs w:val="32"/>
          <w:highlight w:val="none"/>
        </w:rPr>
      </w:pPr>
      <w:r>
        <w:rPr>
          <w:rFonts w:hint="eastAsia" w:ascii="方正仿宋简体" w:hAnsi="方正仿宋简体" w:eastAsia="方正仿宋简体" w:cs="方正仿宋简体"/>
          <w:color w:val="000000"/>
          <w:sz w:val="32"/>
          <w:szCs w:val="32"/>
          <w:highlight w:val="none"/>
          <w:shd w:val="clear" w:color="auto" w:fill="FFFFFF"/>
        </w:rPr>
        <w:t>附件</w:t>
      </w:r>
      <w:bookmarkEnd w:id="148"/>
      <w:bookmarkEnd w:id="149"/>
      <w:r>
        <w:rPr>
          <w:rFonts w:hint="eastAsia" w:ascii="方正仿宋简体" w:hAnsi="方正仿宋简体" w:eastAsia="方正仿宋简体" w:cs="方正仿宋简体"/>
          <w:color w:val="000000"/>
          <w:sz w:val="32"/>
          <w:szCs w:val="32"/>
          <w:highlight w:val="none"/>
          <w:shd w:val="clear" w:color="auto" w:fill="FFFFFF"/>
          <w:lang w:eastAsia="zh"/>
        </w:rPr>
        <w:t>：</w:t>
      </w:r>
      <w:r>
        <w:rPr>
          <w:rFonts w:hint="eastAsia" w:ascii="方正仿宋简体" w:hAnsi="方正仿宋简体" w:eastAsia="方正仿宋简体" w:cs="方正仿宋简体"/>
          <w:sz w:val="32"/>
          <w:szCs w:val="32"/>
          <w:highlight w:val="none"/>
          <w:lang w:eastAsia="zh-CN"/>
        </w:rPr>
        <w:t>泸定县烹坝镇人民政府</w:t>
      </w:r>
      <w:r>
        <w:rPr>
          <w:rFonts w:hint="eastAsia" w:ascii="方正仿宋简体" w:hAnsi="方正仿宋简体" w:eastAsia="方正仿宋简体" w:cs="方正仿宋简体"/>
          <w:sz w:val="32"/>
          <w:szCs w:val="32"/>
          <w:highlight w:val="none"/>
          <w:lang w:eastAsia="zh"/>
        </w:rPr>
        <w:t>部门整体支出绩效评价指标</w:t>
      </w:r>
      <w:r>
        <w:rPr>
          <w:rFonts w:hint="eastAsia" w:ascii="方正仿宋简体" w:hAnsi="方正仿宋简体" w:eastAsia="方正仿宋简体" w:cs="方正仿宋简体"/>
          <w:sz w:val="32"/>
          <w:szCs w:val="32"/>
          <w:highlight w:val="none"/>
          <w:lang w:val="en-US" w:eastAsia="zh-CN"/>
        </w:rPr>
        <w:t>体系（评分表）</w:t>
      </w:r>
    </w:p>
    <w:p w14:paraId="4C402251">
      <w:pPr>
        <w:pStyle w:val="2"/>
        <w:keepNext w:val="0"/>
        <w:keepLines w:val="0"/>
        <w:pageBreakBefore w:val="0"/>
        <w:kinsoku/>
        <w:wordWrap/>
        <w:overflowPunct/>
        <w:topLinePunct w:val="0"/>
        <w:autoSpaceDE/>
        <w:autoSpaceDN/>
        <w:bidi w:val="0"/>
        <w:spacing w:after="0" w:line="600" w:lineRule="exact"/>
        <w:ind w:left="0" w:leftChars="0" w:firstLine="0" w:firstLineChars="0"/>
        <w:jc w:val="both"/>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（此页无正文）</w:t>
      </w:r>
    </w:p>
    <w:p w14:paraId="54D4290F">
      <w:pPr>
        <w:pStyle w:val="2"/>
        <w:keepNext w:val="0"/>
        <w:keepLines w:val="0"/>
        <w:pageBreakBefore w:val="0"/>
        <w:kinsoku/>
        <w:wordWrap/>
        <w:overflowPunct/>
        <w:topLinePunct w:val="0"/>
        <w:autoSpaceDE/>
        <w:autoSpaceDN/>
        <w:bidi w:val="0"/>
        <w:spacing w:after="0" w:line="600" w:lineRule="exact"/>
        <w:ind w:left="0" w:leftChars="0" w:firstLine="0" w:firstLineChars="0"/>
        <w:jc w:val="both"/>
        <w:rPr>
          <w:rFonts w:hint="eastAsia" w:ascii="方正仿宋简体" w:hAnsi="方正仿宋简体" w:eastAsia="方正仿宋简体" w:cs="方正仿宋简体"/>
          <w:sz w:val="32"/>
          <w:szCs w:val="32"/>
          <w:highlight w:val="none"/>
          <w:lang w:val="en-US" w:eastAsia="zh-CN"/>
        </w:rPr>
      </w:pPr>
    </w:p>
    <w:p w14:paraId="3CE7B0B4">
      <w:pPr>
        <w:pStyle w:val="2"/>
        <w:keepNext w:val="0"/>
        <w:keepLines w:val="0"/>
        <w:pageBreakBefore w:val="0"/>
        <w:kinsoku/>
        <w:wordWrap/>
        <w:overflowPunct/>
        <w:topLinePunct w:val="0"/>
        <w:autoSpaceDE/>
        <w:autoSpaceDN/>
        <w:bidi w:val="0"/>
        <w:spacing w:after="0" w:line="600" w:lineRule="exact"/>
        <w:ind w:left="0" w:leftChars="0" w:firstLine="0" w:firstLineChars="0"/>
        <w:jc w:val="both"/>
        <w:rPr>
          <w:rFonts w:hint="eastAsia" w:ascii="方正仿宋简体" w:hAnsi="方正仿宋简体" w:eastAsia="方正仿宋简体" w:cs="方正仿宋简体"/>
          <w:sz w:val="32"/>
          <w:szCs w:val="32"/>
          <w:highlight w:val="none"/>
          <w:lang w:val="en-US" w:eastAsia="zh-CN"/>
        </w:rPr>
      </w:pPr>
    </w:p>
    <w:p w14:paraId="02CA9FB9">
      <w:pPr>
        <w:pStyle w:val="2"/>
        <w:keepNext w:val="0"/>
        <w:keepLines w:val="0"/>
        <w:pageBreakBefore w:val="0"/>
        <w:kinsoku/>
        <w:wordWrap/>
        <w:overflowPunct/>
        <w:topLinePunct w:val="0"/>
        <w:autoSpaceDE/>
        <w:autoSpaceDN/>
        <w:bidi w:val="0"/>
        <w:spacing w:after="0" w:line="600" w:lineRule="exact"/>
        <w:ind w:left="0" w:leftChars="0" w:firstLine="0" w:firstLineChars="0"/>
        <w:jc w:val="both"/>
        <w:rPr>
          <w:rFonts w:hint="eastAsia" w:ascii="方正仿宋简体" w:hAnsi="方正仿宋简体" w:eastAsia="方正仿宋简体" w:cs="方正仿宋简体"/>
          <w:sz w:val="32"/>
          <w:szCs w:val="32"/>
          <w:highlight w:val="none"/>
          <w:lang w:val="en-US" w:eastAsia="zh-CN"/>
        </w:rPr>
      </w:pPr>
    </w:p>
    <w:p w14:paraId="6C77B4ED">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highlight w:val="none"/>
          <w:lang w:val="en-US" w:eastAsia="zh-CN"/>
        </w:rPr>
      </w:pPr>
      <w:bookmarkStart w:id="187" w:name="_GoBack"/>
      <w:bookmarkEnd w:id="187"/>
      <w:r>
        <w:rPr>
          <w:rFonts w:hint="eastAsia" w:ascii="方正仿宋简体" w:hAnsi="方正仿宋简体" w:eastAsia="方正仿宋简体" w:cs="方正仿宋简体"/>
          <w:b w:val="0"/>
          <w:bCs w:val="0"/>
          <w:sz w:val="32"/>
          <w:szCs w:val="32"/>
          <w:highlight w:val="none"/>
          <w:lang w:eastAsia="zh-CN"/>
        </w:rPr>
        <w:t>　</w:t>
      </w:r>
    </w:p>
    <w:p w14:paraId="2B19F59B">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highlight w:val="none"/>
          <w:lang w:eastAsia="zh-CN"/>
        </w:rPr>
      </w:pPr>
      <w:r>
        <w:rPr>
          <w:rFonts w:hint="eastAsia" w:ascii="方正仿宋简体" w:hAnsi="方正仿宋简体" w:eastAsia="方正仿宋简体" w:cs="方正仿宋简体"/>
          <w:b w:val="0"/>
          <w:bCs w:val="0"/>
          <w:sz w:val="32"/>
          <w:szCs w:val="32"/>
          <w:highlight w:val="none"/>
          <w:lang w:eastAsia="zh-CN"/>
        </w:rPr>
        <w:t>　　　　　　　　　　　</w:t>
      </w:r>
      <w:r>
        <w:rPr>
          <w:rFonts w:hint="eastAsia" w:ascii="方正仿宋简体" w:hAnsi="方正仿宋简体" w:eastAsia="方正仿宋简体" w:cs="方正仿宋简体"/>
          <w:b w:val="0"/>
          <w:bCs w:val="0"/>
          <w:sz w:val="32"/>
          <w:szCs w:val="32"/>
          <w:highlight w:val="none"/>
        </w:rPr>
        <w:t>二〇二四年九月一日</w:t>
      </w:r>
    </w:p>
    <w:p w14:paraId="4FBBDA16">
      <w:pPr>
        <w:pStyle w:val="2"/>
        <w:keepNext w:val="0"/>
        <w:keepLines w:val="0"/>
        <w:pageBreakBefore w:val="0"/>
        <w:kinsoku/>
        <w:wordWrap/>
        <w:overflowPunct/>
        <w:topLinePunct w:val="0"/>
        <w:autoSpaceDE/>
        <w:autoSpaceDN/>
        <w:bidi w:val="0"/>
        <w:spacing w:after="0" w:line="600" w:lineRule="exact"/>
        <w:ind w:left="0" w:leftChars="0" w:firstLine="0" w:firstLineChars="0"/>
        <w:jc w:val="both"/>
        <w:rPr>
          <w:rFonts w:hint="eastAsia" w:ascii="方正仿宋简体" w:hAnsi="方正仿宋简体" w:eastAsia="方正仿宋简体" w:cs="方正仿宋简体"/>
          <w:sz w:val="32"/>
          <w:szCs w:val="32"/>
          <w:highlight w:val="none"/>
          <w:lang w:val="en-US" w:eastAsia="zh-CN"/>
        </w:rPr>
      </w:pPr>
    </w:p>
    <w:sectPr>
      <w:headerReference r:id="rId5" w:type="default"/>
      <w:footerReference r:id="rId6" w:type="default"/>
      <w:pgSz w:w="11906" w:h="16838"/>
      <w:pgMar w:top="2098" w:right="1531" w:bottom="1871" w:left="1531" w:header="850" w:footer="992" w:gutter="0"/>
      <w:pgNumType w:fmt="decimal"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简体">
    <w:panose1 w:val="03000509000000000000"/>
    <w:charset w:val="86"/>
    <w:family w:val="auto"/>
    <w:pitch w:val="default"/>
    <w:sig w:usb0="00000001" w:usb1="080E0000" w:usb2="00000000" w:usb3="00000000" w:csb0="00040000" w:csb1="00000000"/>
    <w:embedRegular r:id="rId1" w:fontKey="{586E7741-4EBD-47C1-B243-92CB157FAD8D}"/>
  </w:font>
  <w:font w:name="等线 Light">
    <w:panose1 w:val="02010600030101010101"/>
    <w:charset w:val="86"/>
    <w:family w:val="auto"/>
    <w:pitch w:val="default"/>
    <w:sig w:usb0="A00002BF" w:usb1="38CF7CFA" w:usb2="00000016" w:usb3="00000000" w:csb0="0004000F" w:csb1="00000000"/>
  </w:font>
  <w:font w:name="方正黑体简体">
    <w:panose1 w:val="03000509000000000000"/>
    <w:charset w:val="86"/>
    <w:family w:val="auto"/>
    <w:pitch w:val="default"/>
    <w:sig w:usb0="00000001" w:usb1="080E0000" w:usb2="00000000" w:usb3="00000000" w:csb0="00040000" w:csb1="00000000"/>
    <w:embedRegular r:id="rId2" w:fontKey="{FB15CADF-08C3-442E-8E62-04DA32ADF3F6}"/>
  </w:font>
  <w:font w:name="方正小标宋简体">
    <w:panose1 w:val="03000509000000000000"/>
    <w:charset w:val="86"/>
    <w:family w:val="auto"/>
    <w:pitch w:val="default"/>
    <w:sig w:usb0="00000001" w:usb1="080E0000" w:usb2="00000000" w:usb3="00000000" w:csb0="00040000" w:csb1="00000000"/>
    <w:embedRegular r:id="rId3" w:fontKey="{3204B1BE-B6CD-4263-8343-19232CD4B7A0}"/>
  </w:font>
  <w:font w:name="方正楷体简体">
    <w:panose1 w:val="02000000000000000000"/>
    <w:charset w:val="86"/>
    <w:family w:val="auto"/>
    <w:pitch w:val="default"/>
    <w:sig w:usb0="00000001" w:usb1="080E0000" w:usb2="00000000" w:usb3="00000000" w:csb0="00040000" w:csb1="00000000"/>
    <w:embedRegular r:id="rId4" w:fontKey="{91762B4E-45A5-43A8-B7C8-029C90D9314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1A76A">
    <w:pPr>
      <w:pStyle w:val="11"/>
      <w:ind w:firstLine="0" w:firstLineChars="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3A6371">
                          <w:pPr>
                            <w:pStyle w:val="11"/>
                            <w:ind w:left="0" w:leftChars="0" w:firstLine="0" w:firstLineChars="0"/>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C3A6371">
                    <w:pPr>
                      <w:pStyle w:val="11"/>
                      <w:ind w:left="0" w:leftChars="0" w:firstLine="0" w:firstLineChars="0"/>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E6942">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FDE6DE"/>
    <w:multiLevelType w:val="singleLevel"/>
    <w:tmpl w:val="B1FDE6DE"/>
    <w:lvl w:ilvl="0" w:tentative="0">
      <w:start w:val="3"/>
      <w:numFmt w:val="decimal"/>
      <w:lvlText w:val="%1."/>
      <w:lvlJc w:val="left"/>
      <w:pPr>
        <w:tabs>
          <w:tab w:val="left" w:pos="312"/>
        </w:tabs>
      </w:pPr>
      <w:rPr>
        <w:rFonts w:hint="default" w:ascii="Times New Roman" w:hAnsi="Times New Roman" w:cs="Times New Roman"/>
        <w:sz w:val="32"/>
        <w:szCs w:val="32"/>
      </w:rPr>
    </w:lvl>
  </w:abstractNum>
  <w:abstractNum w:abstractNumId="1">
    <w:nsid w:val="D2166634"/>
    <w:multiLevelType w:val="singleLevel"/>
    <w:tmpl w:val="D2166634"/>
    <w:lvl w:ilvl="0" w:tentative="0">
      <w:start w:val="1"/>
      <w:numFmt w:val="decimal"/>
      <w:suff w:val="nothing"/>
      <w:lvlText w:val="（%1）"/>
      <w:lvlJc w:val="left"/>
      <w:rPr>
        <w:rFonts w:hint="default" w:ascii="Times New Roman" w:hAnsi="Times New Roman" w:cs="Times New Roman"/>
        <w:sz w:val="32"/>
        <w:szCs w:val="32"/>
      </w:rPr>
    </w:lvl>
  </w:abstractNum>
  <w:abstractNum w:abstractNumId="2">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hZjA1ZDYwZTQyOTVmYzkxZGI0NDg1YWQ3Njk0Yjg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592D6B"/>
    <w:rsid w:val="015B3238"/>
    <w:rsid w:val="0174274A"/>
    <w:rsid w:val="01A97D86"/>
    <w:rsid w:val="01AE1362"/>
    <w:rsid w:val="01AE5E5C"/>
    <w:rsid w:val="0209008E"/>
    <w:rsid w:val="0221101D"/>
    <w:rsid w:val="028212C5"/>
    <w:rsid w:val="02B56978"/>
    <w:rsid w:val="034B0AC6"/>
    <w:rsid w:val="03BD26AA"/>
    <w:rsid w:val="03C46413"/>
    <w:rsid w:val="03F043C9"/>
    <w:rsid w:val="03F5560D"/>
    <w:rsid w:val="05370DC3"/>
    <w:rsid w:val="05704583"/>
    <w:rsid w:val="05AE5131"/>
    <w:rsid w:val="062C70FB"/>
    <w:rsid w:val="06D05B2E"/>
    <w:rsid w:val="06E2185D"/>
    <w:rsid w:val="074574B7"/>
    <w:rsid w:val="077F711D"/>
    <w:rsid w:val="0815093A"/>
    <w:rsid w:val="08280844"/>
    <w:rsid w:val="08321414"/>
    <w:rsid w:val="08CA0DBA"/>
    <w:rsid w:val="0AA10A64"/>
    <w:rsid w:val="0AAA2B3A"/>
    <w:rsid w:val="0BD10723"/>
    <w:rsid w:val="0C82214A"/>
    <w:rsid w:val="0CC90B55"/>
    <w:rsid w:val="0D4639D6"/>
    <w:rsid w:val="0D7C008D"/>
    <w:rsid w:val="0DA06897"/>
    <w:rsid w:val="0DF462ED"/>
    <w:rsid w:val="0DF90060"/>
    <w:rsid w:val="0E19564B"/>
    <w:rsid w:val="0E522B49"/>
    <w:rsid w:val="0E5E23AA"/>
    <w:rsid w:val="0E6050D4"/>
    <w:rsid w:val="0E743CC6"/>
    <w:rsid w:val="0E7F3C56"/>
    <w:rsid w:val="0EE4486D"/>
    <w:rsid w:val="0EF40828"/>
    <w:rsid w:val="0EF610D2"/>
    <w:rsid w:val="0EF97BEC"/>
    <w:rsid w:val="0F207817"/>
    <w:rsid w:val="0F24115F"/>
    <w:rsid w:val="0F7D48CD"/>
    <w:rsid w:val="0F895427"/>
    <w:rsid w:val="0FA36556"/>
    <w:rsid w:val="10607EBA"/>
    <w:rsid w:val="10A609B0"/>
    <w:rsid w:val="10C177C0"/>
    <w:rsid w:val="10FB12CE"/>
    <w:rsid w:val="11034D52"/>
    <w:rsid w:val="11641A35"/>
    <w:rsid w:val="11A54F88"/>
    <w:rsid w:val="1256364C"/>
    <w:rsid w:val="12F71BB3"/>
    <w:rsid w:val="13445E84"/>
    <w:rsid w:val="13463C67"/>
    <w:rsid w:val="134E407D"/>
    <w:rsid w:val="136916A0"/>
    <w:rsid w:val="13B73534"/>
    <w:rsid w:val="14447B5C"/>
    <w:rsid w:val="144B4CE8"/>
    <w:rsid w:val="14827494"/>
    <w:rsid w:val="14DA48CB"/>
    <w:rsid w:val="14DF4D30"/>
    <w:rsid w:val="1537321C"/>
    <w:rsid w:val="155B04E5"/>
    <w:rsid w:val="15762967"/>
    <w:rsid w:val="15C0420D"/>
    <w:rsid w:val="16310CFC"/>
    <w:rsid w:val="16521418"/>
    <w:rsid w:val="167B192A"/>
    <w:rsid w:val="16BA737C"/>
    <w:rsid w:val="17404D18"/>
    <w:rsid w:val="178D5376"/>
    <w:rsid w:val="179E79D9"/>
    <w:rsid w:val="17FB2A01"/>
    <w:rsid w:val="17FD7EEE"/>
    <w:rsid w:val="180A196B"/>
    <w:rsid w:val="181B0371"/>
    <w:rsid w:val="186A5A33"/>
    <w:rsid w:val="18A93AFC"/>
    <w:rsid w:val="18DA3FE0"/>
    <w:rsid w:val="18DD5A8A"/>
    <w:rsid w:val="195A2D50"/>
    <w:rsid w:val="196B6F54"/>
    <w:rsid w:val="19CD71FA"/>
    <w:rsid w:val="19E605C7"/>
    <w:rsid w:val="1A48253C"/>
    <w:rsid w:val="1A94413A"/>
    <w:rsid w:val="1AF776D6"/>
    <w:rsid w:val="1B0B2AA5"/>
    <w:rsid w:val="1BDF6BC8"/>
    <w:rsid w:val="1C2C3D72"/>
    <w:rsid w:val="1C535707"/>
    <w:rsid w:val="1C580E62"/>
    <w:rsid w:val="1C975E00"/>
    <w:rsid w:val="1D046172"/>
    <w:rsid w:val="1D4F18C5"/>
    <w:rsid w:val="1D641F5B"/>
    <w:rsid w:val="1D9A1CE4"/>
    <w:rsid w:val="1DD67D6F"/>
    <w:rsid w:val="1ED16069"/>
    <w:rsid w:val="1ED24185"/>
    <w:rsid w:val="1ED35C04"/>
    <w:rsid w:val="1ED903FD"/>
    <w:rsid w:val="1EE16233"/>
    <w:rsid w:val="1EFB57A6"/>
    <w:rsid w:val="1F2F0353"/>
    <w:rsid w:val="1F3031B6"/>
    <w:rsid w:val="1F406C39"/>
    <w:rsid w:val="1FD20322"/>
    <w:rsid w:val="1FE92B41"/>
    <w:rsid w:val="1FFEDEEE"/>
    <w:rsid w:val="201E1FEE"/>
    <w:rsid w:val="202E7632"/>
    <w:rsid w:val="20533B33"/>
    <w:rsid w:val="207456E4"/>
    <w:rsid w:val="20CB7E98"/>
    <w:rsid w:val="21CC56B8"/>
    <w:rsid w:val="21F711A6"/>
    <w:rsid w:val="22460F43"/>
    <w:rsid w:val="22612BC4"/>
    <w:rsid w:val="2297354C"/>
    <w:rsid w:val="22F7E8FF"/>
    <w:rsid w:val="234C0C7F"/>
    <w:rsid w:val="23F46FD7"/>
    <w:rsid w:val="24283899"/>
    <w:rsid w:val="24436E8F"/>
    <w:rsid w:val="248C4080"/>
    <w:rsid w:val="24C04FDC"/>
    <w:rsid w:val="25F533FB"/>
    <w:rsid w:val="26331263"/>
    <w:rsid w:val="263F3713"/>
    <w:rsid w:val="265058AE"/>
    <w:rsid w:val="265F3B15"/>
    <w:rsid w:val="269C2300"/>
    <w:rsid w:val="271534C4"/>
    <w:rsid w:val="271E56C4"/>
    <w:rsid w:val="272635C4"/>
    <w:rsid w:val="27391076"/>
    <w:rsid w:val="273B0505"/>
    <w:rsid w:val="277338DD"/>
    <w:rsid w:val="27F31AB9"/>
    <w:rsid w:val="27F60C89"/>
    <w:rsid w:val="27FFC5C7"/>
    <w:rsid w:val="282B56B9"/>
    <w:rsid w:val="28371A2F"/>
    <w:rsid w:val="284452E7"/>
    <w:rsid w:val="28757938"/>
    <w:rsid w:val="28950ECF"/>
    <w:rsid w:val="291B3F45"/>
    <w:rsid w:val="294B0B24"/>
    <w:rsid w:val="29581F66"/>
    <w:rsid w:val="29942B89"/>
    <w:rsid w:val="29D75EAA"/>
    <w:rsid w:val="2A0E67EA"/>
    <w:rsid w:val="2A14341E"/>
    <w:rsid w:val="2A257690"/>
    <w:rsid w:val="2A817549"/>
    <w:rsid w:val="2ADB2B70"/>
    <w:rsid w:val="2B625A5F"/>
    <w:rsid w:val="2BBE5215"/>
    <w:rsid w:val="2BD70482"/>
    <w:rsid w:val="2C2F0835"/>
    <w:rsid w:val="2CBB4441"/>
    <w:rsid w:val="2CC80ED2"/>
    <w:rsid w:val="2CD1263C"/>
    <w:rsid w:val="2CF37A27"/>
    <w:rsid w:val="2CF74E38"/>
    <w:rsid w:val="2D241E80"/>
    <w:rsid w:val="2D324D1A"/>
    <w:rsid w:val="2D525A3B"/>
    <w:rsid w:val="2D6319D3"/>
    <w:rsid w:val="2DE812E1"/>
    <w:rsid w:val="2E750BE6"/>
    <w:rsid w:val="2E7B50BC"/>
    <w:rsid w:val="2EAE40F8"/>
    <w:rsid w:val="2ED1320F"/>
    <w:rsid w:val="2F040BD9"/>
    <w:rsid w:val="2F3274A5"/>
    <w:rsid w:val="2FBBA5AB"/>
    <w:rsid w:val="2FEF2A5C"/>
    <w:rsid w:val="3052247A"/>
    <w:rsid w:val="30652AAF"/>
    <w:rsid w:val="3090670D"/>
    <w:rsid w:val="312B48AF"/>
    <w:rsid w:val="32A47AB4"/>
    <w:rsid w:val="32B163F1"/>
    <w:rsid w:val="32CB27BC"/>
    <w:rsid w:val="33105381"/>
    <w:rsid w:val="336B6A5B"/>
    <w:rsid w:val="337B49B9"/>
    <w:rsid w:val="33EB569F"/>
    <w:rsid w:val="33FA0C54"/>
    <w:rsid w:val="34113BD6"/>
    <w:rsid w:val="34140406"/>
    <w:rsid w:val="342C7375"/>
    <w:rsid w:val="34B42BB5"/>
    <w:rsid w:val="34C73C1C"/>
    <w:rsid w:val="350D6544"/>
    <w:rsid w:val="36001598"/>
    <w:rsid w:val="360308FA"/>
    <w:rsid w:val="36870F62"/>
    <w:rsid w:val="369B1CB2"/>
    <w:rsid w:val="36AB69CD"/>
    <w:rsid w:val="36BF54EC"/>
    <w:rsid w:val="36C17759"/>
    <w:rsid w:val="36DC449D"/>
    <w:rsid w:val="36F56951"/>
    <w:rsid w:val="37987F75"/>
    <w:rsid w:val="37E36263"/>
    <w:rsid w:val="37EE368E"/>
    <w:rsid w:val="38C96200"/>
    <w:rsid w:val="38D85C62"/>
    <w:rsid w:val="390E6F8C"/>
    <w:rsid w:val="39374DDA"/>
    <w:rsid w:val="393C614A"/>
    <w:rsid w:val="39411EEC"/>
    <w:rsid w:val="39935632"/>
    <w:rsid w:val="3A3949DD"/>
    <w:rsid w:val="3A4A7C37"/>
    <w:rsid w:val="3A7649A2"/>
    <w:rsid w:val="3A81279A"/>
    <w:rsid w:val="3AE5274E"/>
    <w:rsid w:val="3B072D35"/>
    <w:rsid w:val="3B3301C2"/>
    <w:rsid w:val="3B626037"/>
    <w:rsid w:val="3BD70C1C"/>
    <w:rsid w:val="3C4B567C"/>
    <w:rsid w:val="3C837FE5"/>
    <w:rsid w:val="3CB15DE8"/>
    <w:rsid w:val="3D1F22E5"/>
    <w:rsid w:val="3D3960CA"/>
    <w:rsid w:val="3D997564"/>
    <w:rsid w:val="3DA54EA8"/>
    <w:rsid w:val="3DB744C0"/>
    <w:rsid w:val="3DFC2E05"/>
    <w:rsid w:val="3E432DCF"/>
    <w:rsid w:val="3E8E1632"/>
    <w:rsid w:val="3F5605BF"/>
    <w:rsid w:val="3F7B5870"/>
    <w:rsid w:val="3FAD280D"/>
    <w:rsid w:val="3FAFC9F3"/>
    <w:rsid w:val="3FBD0AA0"/>
    <w:rsid w:val="3FBFE8A3"/>
    <w:rsid w:val="3FBFF11E"/>
    <w:rsid w:val="3FC78042"/>
    <w:rsid w:val="3FCF6EEE"/>
    <w:rsid w:val="3FFA9567"/>
    <w:rsid w:val="3FFBC9EC"/>
    <w:rsid w:val="3FFFEA14"/>
    <w:rsid w:val="400D7690"/>
    <w:rsid w:val="4069560F"/>
    <w:rsid w:val="412070D7"/>
    <w:rsid w:val="41DC7289"/>
    <w:rsid w:val="41FD2ABB"/>
    <w:rsid w:val="421C165C"/>
    <w:rsid w:val="42685E5E"/>
    <w:rsid w:val="428B71EF"/>
    <w:rsid w:val="42A2347D"/>
    <w:rsid w:val="43251644"/>
    <w:rsid w:val="43802285"/>
    <w:rsid w:val="43A7F1A6"/>
    <w:rsid w:val="43D2284D"/>
    <w:rsid w:val="43ED42A2"/>
    <w:rsid w:val="44865DC2"/>
    <w:rsid w:val="44986F84"/>
    <w:rsid w:val="44A86EA6"/>
    <w:rsid w:val="44B03869"/>
    <w:rsid w:val="44FE2B7A"/>
    <w:rsid w:val="45221C05"/>
    <w:rsid w:val="455812EC"/>
    <w:rsid w:val="456F5F37"/>
    <w:rsid w:val="45761D23"/>
    <w:rsid w:val="4593493B"/>
    <w:rsid w:val="459B16D3"/>
    <w:rsid w:val="459E4A6E"/>
    <w:rsid w:val="45F31D67"/>
    <w:rsid w:val="45FF29D4"/>
    <w:rsid w:val="462A15BD"/>
    <w:rsid w:val="4633306D"/>
    <w:rsid w:val="46625636"/>
    <w:rsid w:val="46E2098A"/>
    <w:rsid w:val="4712301E"/>
    <w:rsid w:val="477F5E1C"/>
    <w:rsid w:val="47970F04"/>
    <w:rsid w:val="48D56225"/>
    <w:rsid w:val="49D23684"/>
    <w:rsid w:val="49E92B81"/>
    <w:rsid w:val="49F243D5"/>
    <w:rsid w:val="4A3F0AC3"/>
    <w:rsid w:val="4AFA2C7B"/>
    <w:rsid w:val="4B0435C5"/>
    <w:rsid w:val="4B58271A"/>
    <w:rsid w:val="4B6B11A9"/>
    <w:rsid w:val="4B9C6B82"/>
    <w:rsid w:val="4BDE4024"/>
    <w:rsid w:val="4C1635B0"/>
    <w:rsid w:val="4C2809B5"/>
    <w:rsid w:val="4C907F6D"/>
    <w:rsid w:val="4CAE35BE"/>
    <w:rsid w:val="4CFC2039"/>
    <w:rsid w:val="4D6E449B"/>
    <w:rsid w:val="4EBB1F4E"/>
    <w:rsid w:val="4F0A34DF"/>
    <w:rsid w:val="4F5F5C7E"/>
    <w:rsid w:val="4F7241B1"/>
    <w:rsid w:val="4FCD04DF"/>
    <w:rsid w:val="4FEE9EF0"/>
    <w:rsid w:val="4FF7181A"/>
    <w:rsid w:val="4FFE309A"/>
    <w:rsid w:val="507D0BBC"/>
    <w:rsid w:val="507E6B2A"/>
    <w:rsid w:val="50BF0C19"/>
    <w:rsid w:val="50C4388E"/>
    <w:rsid w:val="50D70F77"/>
    <w:rsid w:val="51290B58"/>
    <w:rsid w:val="51381763"/>
    <w:rsid w:val="51960840"/>
    <w:rsid w:val="51E2208C"/>
    <w:rsid w:val="52265F38"/>
    <w:rsid w:val="52EF2BDF"/>
    <w:rsid w:val="53311DBA"/>
    <w:rsid w:val="535B753F"/>
    <w:rsid w:val="53FF3156"/>
    <w:rsid w:val="543748C0"/>
    <w:rsid w:val="54555AC5"/>
    <w:rsid w:val="54B716A8"/>
    <w:rsid w:val="55516FE9"/>
    <w:rsid w:val="55681707"/>
    <w:rsid w:val="55AC2CD2"/>
    <w:rsid w:val="55B812E3"/>
    <w:rsid w:val="55D82153"/>
    <w:rsid w:val="561A2F05"/>
    <w:rsid w:val="56A7003A"/>
    <w:rsid w:val="575D29C4"/>
    <w:rsid w:val="577B4EF8"/>
    <w:rsid w:val="57950BEC"/>
    <w:rsid w:val="579A41D9"/>
    <w:rsid w:val="57BD01C5"/>
    <w:rsid w:val="57BE73BD"/>
    <w:rsid w:val="57C56C55"/>
    <w:rsid w:val="57E13BCA"/>
    <w:rsid w:val="57EAF5E5"/>
    <w:rsid w:val="58334AD1"/>
    <w:rsid w:val="5864421C"/>
    <w:rsid w:val="5901172B"/>
    <w:rsid w:val="59561F19"/>
    <w:rsid w:val="596B1981"/>
    <w:rsid w:val="59821BED"/>
    <w:rsid w:val="59990903"/>
    <w:rsid w:val="59CF4D9E"/>
    <w:rsid w:val="5AB4383C"/>
    <w:rsid w:val="5AED719F"/>
    <w:rsid w:val="5B0A7A07"/>
    <w:rsid w:val="5B1433B1"/>
    <w:rsid w:val="5B353327"/>
    <w:rsid w:val="5B3C271A"/>
    <w:rsid w:val="5B3F384B"/>
    <w:rsid w:val="5B5F5E1B"/>
    <w:rsid w:val="5BFBC47E"/>
    <w:rsid w:val="5BFBFEEF"/>
    <w:rsid w:val="5BFE6DE9"/>
    <w:rsid w:val="5C1E1F40"/>
    <w:rsid w:val="5C5537BA"/>
    <w:rsid w:val="5C694A22"/>
    <w:rsid w:val="5C7458E1"/>
    <w:rsid w:val="5CBF46AD"/>
    <w:rsid w:val="5CE479D1"/>
    <w:rsid w:val="5CFF3025"/>
    <w:rsid w:val="5D3C5456"/>
    <w:rsid w:val="5D3E2967"/>
    <w:rsid w:val="5D7A0704"/>
    <w:rsid w:val="5D7B4679"/>
    <w:rsid w:val="5D7C3989"/>
    <w:rsid w:val="5DCDBD87"/>
    <w:rsid w:val="5E7C5B9B"/>
    <w:rsid w:val="5EB1D3F4"/>
    <w:rsid w:val="5EDB5F93"/>
    <w:rsid w:val="5F246AEA"/>
    <w:rsid w:val="5F3B183F"/>
    <w:rsid w:val="5F562031"/>
    <w:rsid w:val="5F774ACC"/>
    <w:rsid w:val="5F9C373E"/>
    <w:rsid w:val="5FBB4ACD"/>
    <w:rsid w:val="5FBF7263"/>
    <w:rsid w:val="5FCF84ED"/>
    <w:rsid w:val="5FDFC83C"/>
    <w:rsid w:val="5FF7A0DE"/>
    <w:rsid w:val="60017C7C"/>
    <w:rsid w:val="6020741B"/>
    <w:rsid w:val="608914CC"/>
    <w:rsid w:val="6094289E"/>
    <w:rsid w:val="609D7CD2"/>
    <w:rsid w:val="60F11867"/>
    <w:rsid w:val="615C16D6"/>
    <w:rsid w:val="61651B6E"/>
    <w:rsid w:val="618A3DC3"/>
    <w:rsid w:val="61C15430"/>
    <w:rsid w:val="61FF4CFE"/>
    <w:rsid w:val="62102CE3"/>
    <w:rsid w:val="62222B09"/>
    <w:rsid w:val="62311D7E"/>
    <w:rsid w:val="62350D51"/>
    <w:rsid w:val="627C5614"/>
    <w:rsid w:val="62BA758E"/>
    <w:rsid w:val="62BB6119"/>
    <w:rsid w:val="62D11B87"/>
    <w:rsid w:val="630D7F41"/>
    <w:rsid w:val="636C18B0"/>
    <w:rsid w:val="639D1621"/>
    <w:rsid w:val="63A71F74"/>
    <w:rsid w:val="64FE5F84"/>
    <w:rsid w:val="652F1904"/>
    <w:rsid w:val="65BF660F"/>
    <w:rsid w:val="65C7404D"/>
    <w:rsid w:val="65F17436"/>
    <w:rsid w:val="667D5A64"/>
    <w:rsid w:val="66BB8914"/>
    <w:rsid w:val="66C0483B"/>
    <w:rsid w:val="66CC410D"/>
    <w:rsid w:val="66EE54A9"/>
    <w:rsid w:val="67152FB8"/>
    <w:rsid w:val="67551304"/>
    <w:rsid w:val="676254A4"/>
    <w:rsid w:val="678D0D6C"/>
    <w:rsid w:val="67AB4C59"/>
    <w:rsid w:val="67D8ED11"/>
    <w:rsid w:val="684306E9"/>
    <w:rsid w:val="68723580"/>
    <w:rsid w:val="68994500"/>
    <w:rsid w:val="69172000"/>
    <w:rsid w:val="697F1380"/>
    <w:rsid w:val="699A1F8A"/>
    <w:rsid w:val="69A93917"/>
    <w:rsid w:val="6A4A3BFD"/>
    <w:rsid w:val="6B43739A"/>
    <w:rsid w:val="6BCA6B98"/>
    <w:rsid w:val="6BFFA4D9"/>
    <w:rsid w:val="6C196A9A"/>
    <w:rsid w:val="6C2A760F"/>
    <w:rsid w:val="6C4D44B9"/>
    <w:rsid w:val="6C75429C"/>
    <w:rsid w:val="6C7D23DE"/>
    <w:rsid w:val="6C862912"/>
    <w:rsid w:val="6CFA1652"/>
    <w:rsid w:val="6CFD7E08"/>
    <w:rsid w:val="6D0F4A6A"/>
    <w:rsid w:val="6D3D4391"/>
    <w:rsid w:val="6D7DE018"/>
    <w:rsid w:val="6D8E68B6"/>
    <w:rsid w:val="6DB91B96"/>
    <w:rsid w:val="6DCD214C"/>
    <w:rsid w:val="6E3C3302"/>
    <w:rsid w:val="6E7E0482"/>
    <w:rsid w:val="6E7F1593"/>
    <w:rsid w:val="6EC3F98A"/>
    <w:rsid w:val="6EFE7E0F"/>
    <w:rsid w:val="6F190954"/>
    <w:rsid w:val="6F4C2FB5"/>
    <w:rsid w:val="6F5F3DDC"/>
    <w:rsid w:val="6F630388"/>
    <w:rsid w:val="6FBF2ED5"/>
    <w:rsid w:val="6FBF4705"/>
    <w:rsid w:val="6FC06BC3"/>
    <w:rsid w:val="6FC24E02"/>
    <w:rsid w:val="6FCD2B35"/>
    <w:rsid w:val="6FEFDAF3"/>
    <w:rsid w:val="6FF658FB"/>
    <w:rsid w:val="6FFB1FF0"/>
    <w:rsid w:val="6FFEF6BD"/>
    <w:rsid w:val="702F342D"/>
    <w:rsid w:val="70756248"/>
    <w:rsid w:val="70E817A2"/>
    <w:rsid w:val="70EF71B7"/>
    <w:rsid w:val="70FAFB2A"/>
    <w:rsid w:val="716138A0"/>
    <w:rsid w:val="71753151"/>
    <w:rsid w:val="71A73D3E"/>
    <w:rsid w:val="71D4087A"/>
    <w:rsid w:val="71E34413"/>
    <w:rsid w:val="71FE401B"/>
    <w:rsid w:val="727D4F24"/>
    <w:rsid w:val="72822E9E"/>
    <w:rsid w:val="72A146DD"/>
    <w:rsid w:val="72A70FAA"/>
    <w:rsid w:val="72DD1E82"/>
    <w:rsid w:val="73113F43"/>
    <w:rsid w:val="734944D8"/>
    <w:rsid w:val="7357511D"/>
    <w:rsid w:val="737446DD"/>
    <w:rsid w:val="737A3B75"/>
    <w:rsid w:val="737C1264"/>
    <w:rsid w:val="739B12EB"/>
    <w:rsid w:val="74D774D1"/>
    <w:rsid w:val="74E42203"/>
    <w:rsid w:val="751F197F"/>
    <w:rsid w:val="75297601"/>
    <w:rsid w:val="752C5839"/>
    <w:rsid w:val="758650B4"/>
    <w:rsid w:val="759E9462"/>
    <w:rsid w:val="75AB7F59"/>
    <w:rsid w:val="75D9457B"/>
    <w:rsid w:val="7613520C"/>
    <w:rsid w:val="76937428"/>
    <w:rsid w:val="76EEE66D"/>
    <w:rsid w:val="76EF82A2"/>
    <w:rsid w:val="76FBFBCD"/>
    <w:rsid w:val="77245415"/>
    <w:rsid w:val="77503BA8"/>
    <w:rsid w:val="777EE8E3"/>
    <w:rsid w:val="77BDFB3C"/>
    <w:rsid w:val="77BF2551"/>
    <w:rsid w:val="77CB4ADD"/>
    <w:rsid w:val="77F50D0E"/>
    <w:rsid w:val="77FCCDF3"/>
    <w:rsid w:val="77FF90C3"/>
    <w:rsid w:val="782E0A91"/>
    <w:rsid w:val="788E7EA5"/>
    <w:rsid w:val="78F74A7F"/>
    <w:rsid w:val="7922343B"/>
    <w:rsid w:val="7926388B"/>
    <w:rsid w:val="79521C10"/>
    <w:rsid w:val="795E17F1"/>
    <w:rsid w:val="795FF9E4"/>
    <w:rsid w:val="79BF218C"/>
    <w:rsid w:val="79D42C0A"/>
    <w:rsid w:val="79F0BE7E"/>
    <w:rsid w:val="79FFF26D"/>
    <w:rsid w:val="7A267238"/>
    <w:rsid w:val="7A30225F"/>
    <w:rsid w:val="7AD5E80B"/>
    <w:rsid w:val="7AE7FD2B"/>
    <w:rsid w:val="7AF3D7EA"/>
    <w:rsid w:val="7AFE98C0"/>
    <w:rsid w:val="7B0A37F3"/>
    <w:rsid w:val="7B2EC99E"/>
    <w:rsid w:val="7B3E4BF5"/>
    <w:rsid w:val="7B676EB1"/>
    <w:rsid w:val="7B93031C"/>
    <w:rsid w:val="7BB3345A"/>
    <w:rsid w:val="7BBDDF45"/>
    <w:rsid w:val="7BBE09F0"/>
    <w:rsid w:val="7BCF7C7E"/>
    <w:rsid w:val="7BD61AD5"/>
    <w:rsid w:val="7BF9C739"/>
    <w:rsid w:val="7BFB259B"/>
    <w:rsid w:val="7BFF440A"/>
    <w:rsid w:val="7BFF8FB5"/>
    <w:rsid w:val="7C8549E9"/>
    <w:rsid w:val="7C9E2A4A"/>
    <w:rsid w:val="7CCD70F6"/>
    <w:rsid w:val="7CFC4664"/>
    <w:rsid w:val="7D4E5235"/>
    <w:rsid w:val="7D7B61FA"/>
    <w:rsid w:val="7D7D8DD1"/>
    <w:rsid w:val="7D9F8B72"/>
    <w:rsid w:val="7DB64648"/>
    <w:rsid w:val="7DBBA20B"/>
    <w:rsid w:val="7DC66335"/>
    <w:rsid w:val="7DDC75DE"/>
    <w:rsid w:val="7DDEDC0D"/>
    <w:rsid w:val="7DE8244C"/>
    <w:rsid w:val="7DEF7A8A"/>
    <w:rsid w:val="7DF3FD3E"/>
    <w:rsid w:val="7DF7F354"/>
    <w:rsid w:val="7DFB0575"/>
    <w:rsid w:val="7E6B12CB"/>
    <w:rsid w:val="7E7273D9"/>
    <w:rsid w:val="7E7F81E4"/>
    <w:rsid w:val="7E8D051D"/>
    <w:rsid w:val="7EACC565"/>
    <w:rsid w:val="7EB151EC"/>
    <w:rsid w:val="7EBB205B"/>
    <w:rsid w:val="7EBF2D50"/>
    <w:rsid w:val="7ECF1D1B"/>
    <w:rsid w:val="7ED22AB7"/>
    <w:rsid w:val="7ED7E605"/>
    <w:rsid w:val="7EDB722B"/>
    <w:rsid w:val="7EDD74B9"/>
    <w:rsid w:val="7EEB6048"/>
    <w:rsid w:val="7EF62516"/>
    <w:rsid w:val="7EFFE568"/>
    <w:rsid w:val="7F4B6054"/>
    <w:rsid w:val="7F5ABD7A"/>
    <w:rsid w:val="7F5CEBBD"/>
    <w:rsid w:val="7F737C9A"/>
    <w:rsid w:val="7F7D7081"/>
    <w:rsid w:val="7F824F8C"/>
    <w:rsid w:val="7F8D9A96"/>
    <w:rsid w:val="7FB61EE9"/>
    <w:rsid w:val="7FBF1A71"/>
    <w:rsid w:val="7FDFB4E3"/>
    <w:rsid w:val="7FDFE4A1"/>
    <w:rsid w:val="7FEF3380"/>
    <w:rsid w:val="7FF15542"/>
    <w:rsid w:val="7FF76D58"/>
    <w:rsid w:val="7FFD28CD"/>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E478D4"/>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734D44"/>
    <w:rsid w:val="DFF65503"/>
    <w:rsid w:val="DFF70CE7"/>
    <w:rsid w:val="DFFE046B"/>
    <w:rsid w:val="E5B7349A"/>
    <w:rsid w:val="E5FFA019"/>
    <w:rsid w:val="E6DD0BF9"/>
    <w:rsid w:val="E7D6CC62"/>
    <w:rsid w:val="EAEF2BD8"/>
    <w:rsid w:val="EB6F6F65"/>
    <w:rsid w:val="EBDE771E"/>
    <w:rsid w:val="EBF37862"/>
    <w:rsid w:val="EC6F8A7D"/>
    <w:rsid w:val="ED574481"/>
    <w:rsid w:val="EDBD7309"/>
    <w:rsid w:val="EDDFEE17"/>
    <w:rsid w:val="EDFDC52D"/>
    <w:rsid w:val="EEDBFCB9"/>
    <w:rsid w:val="EEDF5C73"/>
    <w:rsid w:val="EFB7FA07"/>
    <w:rsid w:val="EFDD9E34"/>
    <w:rsid w:val="EFEC0D03"/>
    <w:rsid w:val="EFF9121F"/>
    <w:rsid w:val="F1FFAE07"/>
    <w:rsid w:val="F4FEB764"/>
    <w:rsid w:val="F57F0C23"/>
    <w:rsid w:val="F5DCD828"/>
    <w:rsid w:val="F6FFEE89"/>
    <w:rsid w:val="F77F6848"/>
    <w:rsid w:val="F77FB31B"/>
    <w:rsid w:val="F79FF762"/>
    <w:rsid w:val="F7D8FE1B"/>
    <w:rsid w:val="F7F540A6"/>
    <w:rsid w:val="F7F99798"/>
    <w:rsid w:val="F7FC4A44"/>
    <w:rsid w:val="F7FF2F46"/>
    <w:rsid w:val="F7FF624F"/>
    <w:rsid w:val="F8A20F1B"/>
    <w:rsid w:val="F8DF9610"/>
    <w:rsid w:val="F8ED456B"/>
    <w:rsid w:val="F8FC959D"/>
    <w:rsid w:val="F9FE23CE"/>
    <w:rsid w:val="FA997B01"/>
    <w:rsid w:val="FAFF326D"/>
    <w:rsid w:val="FBED27CB"/>
    <w:rsid w:val="FD77E073"/>
    <w:rsid w:val="FDA3C67D"/>
    <w:rsid w:val="FDBFCCB1"/>
    <w:rsid w:val="FDE76F5F"/>
    <w:rsid w:val="FDF70401"/>
    <w:rsid w:val="FDFBBA80"/>
    <w:rsid w:val="FE9A4642"/>
    <w:rsid w:val="FEF71790"/>
    <w:rsid w:val="FEFEEE24"/>
    <w:rsid w:val="FEFF1801"/>
    <w:rsid w:val="FF256A0D"/>
    <w:rsid w:val="FF331568"/>
    <w:rsid w:val="FF825E8E"/>
    <w:rsid w:val="FF9EC63C"/>
    <w:rsid w:val="FF9F7E4F"/>
    <w:rsid w:val="FFAE71A9"/>
    <w:rsid w:val="FFB75A54"/>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4">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pPr>
      <w:spacing w:after="120"/>
    </w:pPr>
    <w:rPr>
      <w:rFonts w:ascii="Calibri" w:hAnsi="Calibri"/>
      <w:kern w:val="0"/>
      <w:szCs w:val="20"/>
    </w:rPr>
  </w:style>
  <w:style w:type="paragraph" w:styleId="5">
    <w:name w:val="Normal Indent"/>
    <w:basedOn w:val="1"/>
    <w:unhideWhenUsed/>
    <w:qFormat/>
    <w:uiPriority w:val="99"/>
    <w:pPr>
      <w:ind w:firstLine="420" w:firstLineChars="200"/>
    </w:pPr>
  </w:style>
  <w:style w:type="paragraph" w:styleId="6">
    <w:name w:val="annotation text"/>
    <w:basedOn w:val="1"/>
    <w:semiHidden/>
    <w:unhideWhenUsed/>
    <w:qFormat/>
    <w:uiPriority w:val="99"/>
    <w:pPr>
      <w:jc w:val="left"/>
    </w:pPr>
  </w:style>
  <w:style w:type="paragraph" w:styleId="7">
    <w:name w:val="Salutation"/>
    <w:basedOn w:val="1"/>
    <w:next w:val="1"/>
    <w:qFormat/>
    <w:uiPriority w:val="0"/>
  </w:style>
  <w:style w:type="paragraph" w:styleId="8">
    <w:name w:val="Body Text Indent"/>
    <w:basedOn w:val="1"/>
    <w:link w:val="40"/>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Body Text Indent 2"/>
    <w:basedOn w:val="1"/>
    <w:qFormat/>
    <w:uiPriority w:val="0"/>
    <w:pPr>
      <w:ind w:firstLine="645"/>
      <w:outlineLvl w:val="0"/>
    </w:pPr>
    <w:rPr>
      <w:rFonts w:ascii="仿宋_GB2312"/>
      <w:spacing w:val="-4"/>
      <w:sz w:val="32"/>
    </w:rPr>
  </w:style>
  <w:style w:type="paragraph" w:styleId="11">
    <w:name w:val="footer"/>
    <w:basedOn w:val="1"/>
    <w:link w:val="27"/>
    <w:unhideWhenUsed/>
    <w:qFormat/>
    <w:uiPriority w:val="99"/>
    <w:pPr>
      <w:tabs>
        <w:tab w:val="center" w:pos="4153"/>
        <w:tab w:val="right" w:pos="8306"/>
      </w:tabs>
      <w:snapToGrid w:val="0"/>
      <w:jc w:val="left"/>
    </w:pPr>
    <w:rPr>
      <w:sz w:val="18"/>
      <w:szCs w:val="18"/>
    </w:rPr>
  </w:style>
  <w:style w:type="paragraph" w:styleId="12">
    <w:name w:val="header"/>
    <w:basedOn w:val="1"/>
    <w:next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left" w:pos="709"/>
        <w:tab w:val="right" w:leader="dot" w:pos="8296"/>
      </w:tabs>
    </w:p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pPr>
      <w:spacing w:before="100" w:beforeAutospacing="1" w:after="100" w:afterAutospacing="1"/>
      <w:jc w:val="left"/>
    </w:pPr>
    <w:rPr>
      <w:rFonts w:cs="Times New Roman"/>
      <w:kern w:val="0"/>
      <w:sz w:val="24"/>
    </w:rPr>
  </w:style>
  <w:style w:type="paragraph" w:styleId="16">
    <w:name w:val="Title"/>
    <w:basedOn w:val="1"/>
    <w:link w:val="39"/>
    <w:qFormat/>
    <w:uiPriority w:val="10"/>
    <w:pPr>
      <w:spacing w:before="240" w:after="60"/>
      <w:jc w:val="center"/>
      <w:outlineLvl w:val="0"/>
    </w:pPr>
    <w:rPr>
      <w:rFonts w:ascii="Arial" w:hAnsi="Arial"/>
      <w:b/>
      <w:sz w:val="32"/>
    </w:rPr>
  </w:style>
  <w:style w:type="paragraph" w:styleId="17">
    <w:name w:val="Body Text First Indent 2"/>
    <w:basedOn w:val="8"/>
    <w:qFormat/>
    <w:uiPriority w:val="0"/>
    <w:pPr>
      <w:ind w:firstLine="420"/>
    </w:p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rPr>
  </w:style>
  <w:style w:type="character" w:styleId="22">
    <w:name w:val="Hyperlink"/>
    <w:unhideWhenUsed/>
    <w:qFormat/>
    <w:uiPriority w:val="99"/>
    <w:rPr>
      <w:color w:val="4D4D4D"/>
      <w:u w:val="none"/>
    </w:rPr>
  </w:style>
  <w:style w:type="character" w:styleId="23">
    <w:name w:val="annotation reference"/>
    <w:basedOn w:val="20"/>
    <w:semiHidden/>
    <w:unhideWhenUsed/>
    <w:qFormat/>
    <w:uiPriority w:val="99"/>
    <w:rPr>
      <w:sz w:val="21"/>
      <w:szCs w:val="21"/>
    </w:rPr>
  </w:style>
  <w:style w:type="paragraph" w:customStyle="1" w:styleId="24">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5">
    <w:name w:val="常用样式（方正仿宋简）"/>
    <w:basedOn w:val="1"/>
    <w:qFormat/>
    <w:uiPriority w:val="0"/>
    <w:pPr>
      <w:spacing w:line="560" w:lineRule="exact"/>
      <w:ind w:firstLine="640"/>
    </w:pPr>
    <w:rPr>
      <w:rFonts w:eastAsia="方正仿宋简体"/>
      <w:sz w:val="32"/>
    </w:rPr>
  </w:style>
  <w:style w:type="character" w:customStyle="1" w:styleId="26">
    <w:name w:val="页眉 字符"/>
    <w:basedOn w:val="20"/>
    <w:link w:val="12"/>
    <w:qFormat/>
    <w:uiPriority w:val="99"/>
    <w:rPr>
      <w:sz w:val="18"/>
      <w:szCs w:val="18"/>
    </w:rPr>
  </w:style>
  <w:style w:type="character" w:customStyle="1" w:styleId="27">
    <w:name w:val="页脚 字符"/>
    <w:basedOn w:val="20"/>
    <w:link w:val="11"/>
    <w:qFormat/>
    <w:uiPriority w:val="99"/>
    <w:rPr>
      <w:sz w:val="18"/>
      <w:szCs w:val="18"/>
    </w:rPr>
  </w:style>
  <w:style w:type="character" w:customStyle="1" w:styleId="28">
    <w:name w:val="font11"/>
    <w:basedOn w:val="20"/>
    <w:qFormat/>
    <w:uiPriority w:val="0"/>
    <w:rPr>
      <w:rFonts w:hint="eastAsia" w:ascii="宋体" w:hAnsi="宋体" w:eastAsia="宋体" w:cs="宋体"/>
      <w:color w:val="000000"/>
      <w:sz w:val="21"/>
      <w:szCs w:val="21"/>
      <w:u w:val="none"/>
    </w:rPr>
  </w:style>
  <w:style w:type="character" w:customStyle="1" w:styleId="29">
    <w:name w:val="font01"/>
    <w:basedOn w:val="20"/>
    <w:qFormat/>
    <w:uiPriority w:val="0"/>
    <w:rPr>
      <w:rFonts w:hint="default" w:ascii="Calibri" w:hAnsi="Calibri" w:cs="Calibri"/>
      <w:color w:val="000000"/>
      <w:sz w:val="21"/>
      <w:szCs w:val="21"/>
      <w:u w:val="none"/>
    </w:rPr>
  </w:style>
  <w:style w:type="character" w:customStyle="1" w:styleId="30">
    <w:name w:val="font71"/>
    <w:basedOn w:val="20"/>
    <w:qFormat/>
    <w:uiPriority w:val="0"/>
    <w:rPr>
      <w:rFonts w:hint="eastAsia" w:ascii="仿宋" w:hAnsi="仿宋" w:eastAsia="仿宋" w:cs="仿宋"/>
      <w:b/>
      <w:color w:val="000000"/>
      <w:sz w:val="24"/>
      <w:szCs w:val="24"/>
      <w:u w:val="none"/>
    </w:rPr>
  </w:style>
  <w:style w:type="character" w:customStyle="1" w:styleId="31">
    <w:name w:val="font51"/>
    <w:basedOn w:val="20"/>
    <w:qFormat/>
    <w:uiPriority w:val="0"/>
    <w:rPr>
      <w:rFonts w:hint="eastAsia" w:ascii="仿宋" w:hAnsi="仿宋" w:eastAsia="仿宋" w:cs="仿宋"/>
      <w:color w:val="000000"/>
      <w:sz w:val="24"/>
      <w:szCs w:val="24"/>
      <w:u w:val="none"/>
    </w:rPr>
  </w:style>
  <w:style w:type="character" w:customStyle="1" w:styleId="32">
    <w:name w:val="font31"/>
    <w:basedOn w:val="20"/>
    <w:qFormat/>
    <w:uiPriority w:val="0"/>
    <w:rPr>
      <w:rFonts w:hint="eastAsia" w:ascii="宋体" w:hAnsi="宋体" w:eastAsia="宋体" w:cs="宋体"/>
      <w:b/>
      <w:color w:val="000000"/>
      <w:sz w:val="22"/>
      <w:szCs w:val="22"/>
      <w:u w:val="none"/>
    </w:rPr>
  </w:style>
  <w:style w:type="character" w:customStyle="1" w:styleId="33">
    <w:name w:val="font21"/>
    <w:basedOn w:val="20"/>
    <w:qFormat/>
    <w:uiPriority w:val="0"/>
    <w:rPr>
      <w:rFonts w:hint="eastAsia" w:ascii="宋体" w:hAnsi="宋体" w:eastAsia="宋体" w:cs="宋体"/>
      <w:color w:val="000000"/>
      <w:sz w:val="20"/>
      <w:szCs w:val="20"/>
      <w:u w:val="none"/>
    </w:rPr>
  </w:style>
  <w:style w:type="character" w:customStyle="1" w:styleId="34">
    <w:name w:val="font41"/>
    <w:basedOn w:val="20"/>
    <w:qFormat/>
    <w:uiPriority w:val="0"/>
    <w:rPr>
      <w:rFonts w:hint="default" w:ascii="Times New Roman" w:hAnsi="Times New Roman" w:cs="Times New Roman"/>
      <w:b/>
      <w:color w:val="000000"/>
      <w:sz w:val="20"/>
      <w:szCs w:val="20"/>
      <w:u w:val="none"/>
    </w:rPr>
  </w:style>
  <w:style w:type="paragraph" w:customStyle="1" w:styleId="35">
    <w:name w:val="WPSOffice手动目录 1"/>
    <w:qFormat/>
    <w:uiPriority w:val="0"/>
    <w:rPr>
      <w:rFonts w:ascii="Times New Roman" w:hAnsi="Times New Roman" w:eastAsia="宋体" w:cs="Times New Roman"/>
      <w:lang w:val="en-US" w:eastAsia="zh-CN" w:bidi="ar-SA"/>
    </w:rPr>
  </w:style>
  <w:style w:type="paragraph" w:customStyle="1" w:styleId="3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7">
    <w:name w:val="表格"/>
    <w:basedOn w:val="1"/>
    <w:qFormat/>
    <w:uiPriority w:val="0"/>
    <w:rPr>
      <w:rFonts w:hint="eastAsia"/>
      <w:kern w:val="0"/>
      <w:sz w:val="24"/>
      <w:szCs w:val="20"/>
    </w:rPr>
  </w:style>
  <w:style w:type="paragraph" w:customStyle="1" w:styleId="38">
    <w:name w:val="页眉或页脚 (2)"/>
    <w:basedOn w:val="1"/>
    <w:qFormat/>
    <w:uiPriority w:val="0"/>
    <w:rPr>
      <w:rFonts w:eastAsia="Times New Roman" w:cs="Times New Roman"/>
      <w:sz w:val="20"/>
      <w:szCs w:val="20"/>
      <w:lang w:val="zh-CN" w:bidi="zh-CN"/>
    </w:rPr>
  </w:style>
  <w:style w:type="character" w:customStyle="1" w:styleId="39">
    <w:name w:val="标题 字符"/>
    <w:basedOn w:val="20"/>
    <w:link w:val="16"/>
    <w:qFormat/>
    <w:uiPriority w:val="0"/>
    <w:rPr>
      <w:rFonts w:ascii="等线 Light" w:hAnsi="等线 Light" w:eastAsia="等线 Light" w:cs="Times New Roman"/>
      <w:b/>
      <w:bCs/>
      <w:kern w:val="2"/>
      <w:sz w:val="32"/>
      <w:szCs w:val="32"/>
    </w:rPr>
  </w:style>
  <w:style w:type="character" w:customStyle="1" w:styleId="40">
    <w:name w:val="正文文本缩进 字符"/>
    <w:basedOn w:val="20"/>
    <w:link w:val="8"/>
    <w:qFormat/>
    <w:uiPriority w:val="0"/>
    <w:rPr>
      <w:kern w:val="2"/>
      <w:sz w:val="32"/>
      <w:szCs w:val="24"/>
    </w:rPr>
  </w:style>
  <w:style w:type="paragraph" w:customStyle="1" w:styleId="41">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2">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3">
    <w:name w:val="15"/>
    <w:basedOn w:val="20"/>
    <w:qFormat/>
    <w:uiPriority w:val="0"/>
    <w:rPr>
      <w:rFonts w:hint="default" w:ascii="Times New Roman" w:hAnsi="Times New Roman" w:cs="Times New Roman"/>
    </w:rPr>
  </w:style>
  <w:style w:type="character" w:customStyle="1" w:styleId="44">
    <w:name w:val="s1"/>
    <w:basedOn w:val="20"/>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16</Pages>
  <Words>1714</Words>
  <Characters>1848</Characters>
  <Lines>1</Lines>
  <Paragraphs>1</Paragraphs>
  <TotalTime>0</TotalTime>
  <ScaleCrop>false</ScaleCrop>
  <LinksUpToDate>false</LinksUpToDate>
  <CharactersWithSpaces>1852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2020-04-12T07:49:00Z</dcterms:created>
  <dc:creator>ZC</dc:creator>
  <cp:lastModifiedBy>李国宝</cp:lastModifiedBy>
  <cp:lastPrinted>2024-11-08T08:42:00Z</cp:lastPrinted>
  <dcterms:modified xsi:type="dcterms:W3CDTF">2025-01-07T09:02:37Z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