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bookmarkStart w:id="0" w:name="_Toc29524"/>
      <w:bookmarkStart w:id="1" w:name="_Toc27398"/>
      <w:bookmarkStart w:id="2" w:name="_Toc22314"/>
      <w:bookmarkStart w:id="3"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0F26538B">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auto"/>
          <w:kern w:val="0"/>
          <w:sz w:val="44"/>
          <w:szCs w:val="44"/>
          <w:highlight w:val="none"/>
        </w:rPr>
        <w:t>部门整体支出绩效评价</w:t>
      </w:r>
    </w:p>
    <w:p w14:paraId="555E23A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0A55398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4909B08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77BE8A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30C0212F">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4B95209C">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被评价单位名称：中国共产党泸定县纪律检查委员会</w:t>
      </w:r>
    </w:p>
    <w:p w14:paraId="2BDA8DEB">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25A70CCE">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025EE6A0">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highlight w:val="none"/>
        </w:rPr>
      </w:pPr>
    </w:p>
    <w:p w14:paraId="108DCB97">
      <w:pPr>
        <w:pStyle w:val="2"/>
        <w:rPr>
          <w:rFonts w:hint="eastAsia" w:ascii="方正仿宋简体" w:hAnsi="方正仿宋简体" w:eastAsia="方正仿宋简体" w:cs="方正仿宋简体"/>
          <w:color w:val="333333"/>
          <w:kern w:val="0"/>
          <w:sz w:val="32"/>
          <w:szCs w:val="32"/>
          <w:highlight w:val="none"/>
        </w:rPr>
      </w:pPr>
    </w:p>
    <w:p w14:paraId="739CC950">
      <w:pPr>
        <w:rPr>
          <w:rFonts w:hint="eastAsia" w:ascii="方正仿宋简体" w:hAnsi="方正仿宋简体" w:eastAsia="方正仿宋简体" w:cs="方正仿宋简体"/>
          <w:color w:val="333333"/>
          <w:kern w:val="0"/>
          <w:sz w:val="32"/>
          <w:szCs w:val="32"/>
          <w:highlight w:val="none"/>
        </w:rPr>
      </w:pPr>
    </w:p>
    <w:p w14:paraId="343E6FB3">
      <w:pPr>
        <w:pStyle w:val="2"/>
        <w:rPr>
          <w:rFonts w:hint="eastAsia" w:ascii="方正仿宋简体" w:hAnsi="方正仿宋简体" w:eastAsia="方正仿宋简体" w:cs="方正仿宋简体"/>
          <w:color w:val="333333"/>
          <w:kern w:val="0"/>
          <w:sz w:val="32"/>
          <w:szCs w:val="32"/>
          <w:highlight w:val="none"/>
        </w:rPr>
      </w:pPr>
    </w:p>
    <w:p w14:paraId="6CA8A844">
      <w:pPr>
        <w:rPr>
          <w:rFonts w:hint="eastAsia"/>
        </w:rPr>
      </w:pPr>
    </w:p>
    <w:p w14:paraId="14DBB894">
      <w:pPr>
        <w:pStyle w:val="9"/>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4C44CB00">
      <w:pPr>
        <w:pStyle w:val="9"/>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062C928D">
      <w:pPr>
        <w:pStyle w:val="9"/>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1DA9DDBB">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lang w:eastAsia="zh-CN"/>
        </w:rPr>
        <w:t>中国共产党泸定县纪律检查委员会</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highlight w:val="none"/>
        </w:rPr>
      </w:pPr>
      <w:r>
        <w:rPr>
          <w:rFonts w:hint="default" w:ascii="Times New Roman" w:hAnsi="Times New Roman" w:eastAsia="方正小标宋简体" w:cs="Times New Roman"/>
          <w:sz w:val="44"/>
          <w:szCs w:val="44"/>
          <w:highlight w:val="none"/>
          <w:lang w:eastAsia="zh"/>
        </w:rPr>
        <w:t>2023</w:t>
      </w:r>
      <w:r>
        <w:rPr>
          <w:rFonts w:hint="eastAsia" w:ascii="方正小标宋简体" w:hAnsi="方正小标宋简体" w:eastAsia="方正小标宋简体" w:cs="方正小标宋简体"/>
          <w:sz w:val="44"/>
          <w:szCs w:val="44"/>
          <w:highlight w:val="none"/>
        </w:rPr>
        <w:t>年部门整体支出绩效评价报告</w:t>
      </w:r>
      <w:bookmarkEnd w:id="0"/>
      <w:bookmarkEnd w:id="1"/>
      <w:bookmarkEnd w:id="2"/>
    </w:p>
    <w:p w14:paraId="5BE92F20">
      <w:pPr>
        <w:keepNext w:val="0"/>
        <w:keepLines w:val="0"/>
        <w:pageBreakBefore w:val="0"/>
        <w:widowControl/>
        <w:kinsoku/>
        <w:wordWrap/>
        <w:overflowPunct/>
        <w:topLinePunct w:val="0"/>
        <w:autoSpaceDE/>
        <w:autoSpaceDN/>
        <w:bidi w:val="0"/>
        <w:adjustRightInd w:val="0"/>
        <w:snapToGrid w:val="0"/>
        <w:spacing w:line="600" w:lineRule="exact"/>
        <w:ind w:left="0" w:firstLine="0" w:firstLineChars="0"/>
        <w:jc w:val="center"/>
        <w:rPr>
          <w:rFonts w:hint="eastAsia" w:ascii="方正仿宋简体" w:hAnsi="方正仿宋简体" w:eastAsia="方正仿宋简体" w:cs="方正仿宋简体"/>
          <w:sz w:val="32"/>
          <w:szCs w:val="32"/>
          <w:highlight w:val="none"/>
          <w:lang w:val="fr-FR"/>
        </w:rPr>
      </w:pPr>
    </w:p>
    <w:p w14:paraId="3CF72CA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pPr>
      <w:bookmarkStart w:id="4" w:name="_Toc8938"/>
      <w:bookmarkStart w:id="5" w:name="_Toc6252"/>
      <w:bookmarkStart w:id="6" w:name="_Toc26210"/>
    </w:p>
    <w:p w14:paraId="50FB6A3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w:t>
      </w:r>
      <w:r>
        <w:rPr>
          <w:rFonts w:hint="eastAsia" w:ascii="方正仿宋简体" w:hAnsi="方正仿宋简体" w:eastAsia="方正仿宋简体" w:cs="方正仿宋简体"/>
          <w:color w:val="auto"/>
          <w:sz w:val="32"/>
          <w:szCs w:val="32"/>
          <w:highlight w:val="none"/>
          <w:lang w:val="en-US" w:eastAsia="zh-CN"/>
        </w:rPr>
        <w:t>要求，我单位</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对</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中国共产党泸定县纪律检查委员会</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年部门整体支出进行</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绩效评价。</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中国共产党泸定县纪律检查委员会</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对其提供的绩效评价相关资料的真实性、合法性和完整性负责；我们的责任是依据《中共中央 国务院关于全面实施预算绩效管理的意见》（中发〔</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2018</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34</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号）、《中共四川省委 四川省人民政府关于全面实施预算绩效管理的实施意见》（川委发〔</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号）、《中共甘孜州委办公室 甘孜州人民政府办公室关于印发</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甘孜州全面实施预算绩效管理工作实施方案</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的通知》（甘委办〔</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120</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和《泸定县财政局</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关于开展</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年度部门整体绩效评价工作的通知</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泸财〔</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30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文件要求，结合</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中国共产党泸定县纪律检查委员会</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的实际情况，对</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进行绩效评价，并出具绩效评价报告，现将相关情况报告如下：</w:t>
      </w:r>
      <w:bookmarkEnd w:id="4"/>
      <w:bookmarkEnd w:id="5"/>
      <w:bookmarkEnd w:id="6"/>
      <w:bookmarkStart w:id="7" w:name="_Toc12185"/>
      <w:bookmarkStart w:id="8" w:name="_Toc8555"/>
      <w:bookmarkStart w:id="9" w:name="_Toc109483833"/>
    </w:p>
    <w:p w14:paraId="1CE7ED0B">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lang w:eastAsia="zh-CN"/>
        </w:rPr>
      </w:pPr>
      <w:bookmarkStart w:id="10" w:name="_Toc799907804"/>
      <w:bookmarkStart w:id="11" w:name="_Toc26009"/>
      <w:bookmarkStart w:id="12" w:name="_Toc31286"/>
      <w:bookmarkStart w:id="13" w:name="_Toc10147"/>
      <w:bookmarkStart w:id="14" w:name="_Toc31816"/>
      <w:bookmarkStart w:id="15" w:name="_Toc18579"/>
      <w:bookmarkStart w:id="16" w:name="_Toc12546"/>
      <w:r>
        <w:rPr>
          <w:rFonts w:hint="eastAsia" w:ascii="方正黑体简体" w:hAnsi="方正黑体简体" w:eastAsia="方正黑体简体" w:cs="方正黑体简体"/>
          <w:color w:val="000000"/>
          <w:kern w:val="0"/>
          <w:sz w:val="32"/>
          <w:szCs w:val="32"/>
          <w:highlight w:val="none"/>
          <w:shd w:val="clear" w:color="auto" w:fill="FFFFFF"/>
        </w:rPr>
        <w:t>一、</w:t>
      </w:r>
      <w:bookmarkEnd w:id="7"/>
      <w:bookmarkEnd w:id="8"/>
      <w:r>
        <w:rPr>
          <w:rFonts w:hint="eastAsia" w:ascii="方正黑体简体" w:hAnsi="方正黑体简体" w:eastAsia="方正黑体简体" w:cs="方正黑体简体"/>
          <w:color w:val="000000"/>
          <w:kern w:val="0"/>
          <w:sz w:val="32"/>
          <w:szCs w:val="32"/>
          <w:highlight w:val="none"/>
          <w:shd w:val="clear" w:color="auto" w:fill="FFFFFF"/>
        </w:rPr>
        <w:t>部门</w:t>
      </w:r>
      <w:bookmarkEnd w:id="9"/>
      <w:bookmarkEnd w:id="10"/>
      <w:bookmarkEnd w:id="11"/>
      <w:bookmarkStart w:id="17" w:name="_Toc30550"/>
      <w:bookmarkStart w:id="18" w:name="_Toc16549"/>
      <w:bookmarkStart w:id="19" w:name="_Toc109483834"/>
      <w:r>
        <w:rPr>
          <w:rFonts w:hint="eastAsia" w:ascii="方正黑体简体" w:hAnsi="方正黑体简体" w:eastAsia="方正黑体简体" w:cs="方正黑体简体"/>
          <w:color w:val="000000"/>
          <w:kern w:val="0"/>
          <w:sz w:val="32"/>
          <w:szCs w:val="32"/>
          <w:highlight w:val="none"/>
          <w:shd w:val="clear" w:color="auto" w:fill="FFFFFF"/>
          <w:lang w:val="en-US" w:eastAsia="zh-CN"/>
        </w:rPr>
        <w:t>概况</w:t>
      </w:r>
      <w:bookmarkEnd w:id="12"/>
      <w:bookmarkEnd w:id="13"/>
      <w:bookmarkEnd w:id="14"/>
      <w:bookmarkEnd w:id="15"/>
      <w:bookmarkEnd w:id="16"/>
    </w:p>
    <w:p w14:paraId="20C60406">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20" w:name="_Toc7513"/>
      <w:bookmarkStart w:id="21" w:name="_Toc419097264"/>
      <w:bookmarkStart w:id="22" w:name="_Toc20865"/>
      <w:bookmarkStart w:id="23" w:name="_Toc2584"/>
      <w:bookmarkStart w:id="24" w:name="_Toc5988"/>
      <w:bookmarkStart w:id="25" w:name="_Toc2337"/>
      <w:bookmarkStart w:id="26" w:name="_Toc24161"/>
      <w:r>
        <w:rPr>
          <w:rFonts w:hint="eastAsia" w:ascii="方正楷体简体" w:hAnsi="方正楷体简体" w:eastAsia="方正楷体简体" w:cs="方正楷体简体"/>
          <w:color w:val="000000"/>
          <w:kern w:val="0"/>
          <w:sz w:val="32"/>
          <w:szCs w:val="32"/>
          <w:highlight w:val="none"/>
          <w:shd w:val="clear" w:color="auto" w:fill="FFFFFF"/>
          <w:lang w:val="zh-CN"/>
        </w:rPr>
        <w:t>（一）</w:t>
      </w:r>
      <w:bookmarkEnd w:id="17"/>
      <w:bookmarkEnd w:id="18"/>
      <w:bookmarkEnd w:id="19"/>
      <w:bookmarkEnd w:id="20"/>
      <w:bookmarkEnd w:id="21"/>
      <w:r>
        <w:rPr>
          <w:rFonts w:hint="eastAsia" w:ascii="方正楷体简体" w:hAnsi="方正楷体简体" w:eastAsia="方正楷体简体" w:cs="方正楷体简体"/>
          <w:color w:val="000000"/>
          <w:kern w:val="0"/>
          <w:sz w:val="32"/>
          <w:szCs w:val="32"/>
          <w:highlight w:val="none"/>
          <w:shd w:val="clear" w:color="auto" w:fill="FFFFFF"/>
          <w:lang w:val="zh-CN" w:eastAsia="zh-CN"/>
        </w:rPr>
        <w:t>部门基本情况</w:t>
      </w:r>
      <w:bookmarkEnd w:id="22"/>
      <w:bookmarkEnd w:id="23"/>
      <w:bookmarkEnd w:id="24"/>
      <w:bookmarkEnd w:id="25"/>
      <w:bookmarkEnd w:id="26"/>
    </w:p>
    <w:p w14:paraId="05FA19E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pPr>
      <w:bookmarkStart w:id="27" w:name="_Toc109483835"/>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中国共产党泸定县纪律检查委员会</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，属财政补助（收支统管、全额保障）的一级预算单位，机构性质：机关单位；单位负责人：央西；统一社会信用代码：</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115133220089780627</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；单位所在地：泸定县泸桥镇红军路</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320</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 xml:space="preserve">号。 </w:t>
      </w:r>
    </w:p>
    <w:p w14:paraId="5FA54FAF">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
        </w:rPr>
      </w:pPr>
      <w:bookmarkStart w:id="28" w:name="_Toc31223"/>
      <w:bookmarkStart w:id="29" w:name="_Toc1278"/>
      <w:bookmarkStart w:id="30" w:name="_Toc17750"/>
      <w:bookmarkStart w:id="31" w:name="_Toc22534"/>
      <w:bookmarkStart w:id="32" w:name="_Toc14899"/>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（二）部门</w:t>
      </w:r>
      <w:bookmarkEnd w:id="28"/>
      <w:bookmarkEnd w:id="29"/>
      <w:bookmarkEnd w:id="30"/>
      <w:r>
        <w:rPr>
          <w:rFonts w:hint="eastAsia" w:ascii="方正楷体简体" w:hAnsi="方正楷体简体" w:eastAsia="方正楷体简体" w:cs="方正楷体简体"/>
          <w:color w:val="000000"/>
          <w:kern w:val="0"/>
          <w:sz w:val="32"/>
          <w:szCs w:val="32"/>
          <w:highlight w:val="none"/>
          <w:shd w:val="clear" w:color="auto" w:fill="FFFFFF"/>
          <w:lang w:val="zh-CN" w:eastAsia="zh"/>
        </w:rPr>
        <w:t>内设机构及人员概况</w:t>
      </w:r>
      <w:bookmarkEnd w:id="31"/>
      <w:bookmarkEnd w:id="32"/>
    </w:p>
    <w:p w14:paraId="0320D8A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）内设机构。县纪委监委机关下设办公室、党风政风监督室、信访室、案件监督管理室、第一至第三纪检监察室、案件审理室。</w:t>
      </w:r>
    </w:p>
    <w:p w14:paraId="63DEE25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）人员概况。根据</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2019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年</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月</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日《中共泸定县委办公室关于印发〈中共泸定县纪律检查委员会 中国共产党泸定县纪律检查委员会职能配置、内设机构和人员编制规定〉的通知》（泸委办发〔</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2019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号）文件，中共泸定县纪律检查委员会（以下简称县纪委）由中国共产党泸定县代表大会选举产生；中国共产党泸定县纪律检查委员会（以下简称县委监委）由泸定县人民代表大会产生。县纪委与县委监委合署办公，实行一套工作机构、两个机关名称，履行党的纪律检查和国家监察两项职责，在中共泸定县委和州纪委监委双重领导下开展工作。核定中国共产党泸定县纪律检查委员会行政编</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名（含单列管理行政编制</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名），县纪委监委领导班子职数</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名，其中：县纪委常委</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名（含书记）；县委监委主任</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名，由县纪委书记兼任；副主任</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名，由县纪委副书记兼任；监委委员</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名，由县纪委常委兼任</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名，由县纪委常委兼任</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名。委机关内设机构领导职数</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名，根据有关规定和干部本人条件，室主任配副科级或股级干部。</w:t>
      </w:r>
    </w:p>
    <w:p w14:paraId="67D3B28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年末实有人数。截至</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年</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月</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日，县纪委实有在职人员</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人，其中行政在职人员</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56</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人、行政工勤人员</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人、事业人员</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人。</w:t>
      </w:r>
    </w:p>
    <w:p w14:paraId="2171EDF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33" w:name="_Toc16978"/>
      <w:bookmarkStart w:id="34" w:name="_Toc568184988"/>
      <w:bookmarkStart w:id="35" w:name="_Toc22604"/>
      <w:bookmarkStart w:id="36" w:name="_Toc15084"/>
      <w:bookmarkStart w:id="37" w:name="_Toc26186"/>
      <w:r>
        <w:rPr>
          <w:rFonts w:hint="eastAsia" w:ascii="方正楷体简体" w:hAnsi="方正楷体简体" w:eastAsia="方正楷体简体" w:cs="方正楷体简体"/>
          <w:color w:val="000000"/>
          <w:kern w:val="0"/>
          <w:sz w:val="32"/>
          <w:szCs w:val="32"/>
          <w:highlight w:val="none"/>
          <w:shd w:val="clear" w:color="auto" w:fill="FFFFFF"/>
          <w:lang w:val="zh-CN"/>
        </w:rPr>
        <w:t>（</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三</w:t>
      </w:r>
      <w:r>
        <w:rPr>
          <w:rFonts w:hint="eastAsia" w:ascii="方正楷体简体" w:hAnsi="方正楷体简体" w:eastAsia="方正楷体简体" w:cs="方正楷体简体"/>
          <w:color w:val="000000"/>
          <w:kern w:val="0"/>
          <w:sz w:val="32"/>
          <w:szCs w:val="32"/>
          <w:highlight w:val="none"/>
          <w:shd w:val="clear" w:color="auto" w:fill="FFFFFF"/>
          <w:lang w:val="zh-CN"/>
        </w:rPr>
        <w:t>）</w:t>
      </w:r>
      <w:bookmarkEnd w:id="27"/>
      <w:bookmarkEnd w:id="33"/>
      <w:bookmarkEnd w:id="34"/>
      <w:r>
        <w:rPr>
          <w:rFonts w:hint="eastAsia" w:ascii="方正楷体简体" w:hAnsi="方正楷体简体" w:eastAsia="方正楷体简体" w:cs="方正楷体简体"/>
          <w:color w:val="000000"/>
          <w:kern w:val="0"/>
          <w:sz w:val="32"/>
          <w:szCs w:val="32"/>
          <w:highlight w:val="none"/>
          <w:shd w:val="clear" w:color="auto" w:fill="FFFFFF"/>
          <w:lang w:val="zh-CN" w:eastAsia="zh-CN"/>
        </w:rPr>
        <w:t>部门职能职责</w:t>
      </w:r>
      <w:bookmarkEnd w:id="35"/>
      <w:bookmarkEnd w:id="36"/>
      <w:bookmarkEnd w:id="37"/>
    </w:p>
    <w:p w14:paraId="266DE3D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bookmarkStart w:id="38" w:name="_Toc109483836"/>
      <w:bookmarkStart w:id="39" w:name="_Toc33"/>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县纪委监委的主要职责是：（</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）负责党的纪律检查工作；（</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）依照党的章程和其他党内法规履行监督、执行、问责职责；（</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）负责全县监察工作；（</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）依照法律规定履行监督、调查、处置职责；（</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）负责组织协调全面从严治党、党风廉政建设和反腐败宣传教育工作；（</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）负责综合分析全面从严治党、党风廉政建设和反腐败工作情况，对纪检监察工作重要理论及实践问题进行调查研究；（</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）在州纪委监委的领导下，加强对追逃追赃和防逃工作的组织协调，督促有关单位做好相关工作；（</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）根据干部管理权限，负责纪检监察系统领导班子建设、干部队伍建设和组织建设的综合规划、政策研究、制度建设和业务指导；（</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 xml:space="preserve">）完成县委和州纪委监委交办的其他任务。 </w:t>
      </w:r>
    </w:p>
    <w:p w14:paraId="069C751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lang w:val="zh-CN"/>
        </w:rPr>
      </w:pPr>
      <w:bookmarkStart w:id="40" w:name="_Toc16871"/>
      <w:bookmarkStart w:id="41" w:name="_Toc21449"/>
      <w:bookmarkStart w:id="42" w:name="_Toc1218480988"/>
      <w:bookmarkStart w:id="43" w:name="_Toc22594"/>
      <w:bookmarkStart w:id="44" w:name="_Toc13707"/>
      <w:bookmarkStart w:id="45" w:name="_Toc22978"/>
      <w:bookmarkStart w:id="46" w:name="_Toc14896"/>
      <w:r>
        <w:rPr>
          <w:rFonts w:hint="eastAsia" w:ascii="方正黑体简体" w:hAnsi="方正黑体简体" w:eastAsia="方正黑体简体" w:cs="方正黑体简体"/>
          <w:color w:val="000000"/>
          <w:kern w:val="0"/>
          <w:sz w:val="32"/>
          <w:szCs w:val="32"/>
          <w:highlight w:val="none"/>
          <w:shd w:val="clear" w:color="auto" w:fill="FFFFFF"/>
          <w:lang w:val="zh-CN"/>
        </w:rPr>
        <w:t>二、资金来源及使用情况</w:t>
      </w:r>
      <w:bookmarkEnd w:id="38"/>
      <w:bookmarkEnd w:id="39"/>
      <w:bookmarkEnd w:id="40"/>
      <w:bookmarkEnd w:id="41"/>
      <w:bookmarkEnd w:id="42"/>
      <w:bookmarkEnd w:id="43"/>
      <w:bookmarkEnd w:id="44"/>
      <w:bookmarkEnd w:id="45"/>
      <w:bookmarkEnd w:id="46"/>
      <w:bookmarkStart w:id="47" w:name="_Toc2659"/>
      <w:bookmarkStart w:id="48" w:name="_Toc109483837"/>
    </w:p>
    <w:bookmarkEnd w:id="47"/>
    <w:bookmarkEnd w:id="48"/>
    <w:p w14:paraId="24BA0DDE">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49" w:name="_Toc20820"/>
      <w:bookmarkStart w:id="50" w:name="_Toc29180"/>
      <w:bookmarkStart w:id="51" w:name="_Toc15898"/>
      <w:bookmarkStart w:id="52" w:name="_Toc25866"/>
      <w:bookmarkStart w:id="53" w:name="_Toc1949541301"/>
      <w:bookmarkStart w:id="54" w:name="_Toc2374"/>
      <w:bookmarkStart w:id="55" w:name="_Toc29878"/>
      <w:r>
        <w:rPr>
          <w:rFonts w:hint="eastAsia" w:ascii="方正楷体简体" w:hAnsi="方正楷体简体" w:eastAsia="方正楷体简体" w:cs="方正楷体简体"/>
          <w:color w:val="000000"/>
          <w:kern w:val="0"/>
          <w:sz w:val="32"/>
          <w:szCs w:val="32"/>
          <w:highlight w:val="none"/>
          <w:shd w:val="clear" w:color="auto" w:fill="FFFFFF"/>
          <w:lang w:val="zh-CN"/>
        </w:rPr>
        <w:t>（一）部门资金收入决算情况</w:t>
      </w:r>
      <w:bookmarkEnd w:id="49"/>
      <w:bookmarkEnd w:id="50"/>
      <w:bookmarkEnd w:id="51"/>
      <w:bookmarkEnd w:id="52"/>
      <w:bookmarkEnd w:id="53"/>
      <w:bookmarkEnd w:id="54"/>
      <w:bookmarkEnd w:id="55"/>
      <w:bookmarkStart w:id="56" w:name="_Toc19132"/>
    </w:p>
    <w:bookmarkEnd w:id="56"/>
    <w:p w14:paraId="001FEF0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zh-CN" w:eastAsia="zh"/>
          <w14:textFill>
            <w14:solidFill>
              <w14:schemeClr w14:val="tx1"/>
            </w14:solidFill>
          </w14:textFill>
        </w:rPr>
      </w:pPr>
      <w:bookmarkStart w:id="57" w:name="_Toc27073"/>
      <w:bookmarkStart w:id="58" w:name="_Toc27782"/>
      <w:bookmarkStart w:id="59" w:name="_Toc19326"/>
      <w:bookmarkStart w:id="60" w:name="_Toc349786989"/>
      <w:bookmarkStart w:id="61" w:name="_Toc17751"/>
      <w:bookmarkStart w:id="62" w:name="_Toc21171"/>
      <w:bookmarkStart w:id="63" w:name="_Toc109483838"/>
      <w:r>
        <w:rPr>
          <w:rFonts w:hint="default" w:ascii="Times New Roman" w:hAnsi="Times New Roman" w:eastAsia="方正仿宋简体" w:cs="Times New Roman"/>
          <w:color w:val="000000" w:themeColor="text1"/>
          <w:sz w:val="32"/>
          <w:szCs w:val="32"/>
          <w:highlight w:val="none"/>
          <w:lang w:val="zh-CN"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zh-CN" w:eastAsia="zh"/>
          <w14:textFill>
            <w14:solidFill>
              <w14:schemeClr w14:val="tx1"/>
            </w14:solidFill>
          </w14:textFill>
        </w:rPr>
        <w:t>年</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县纪委收入总计</w:t>
      </w:r>
      <w:r>
        <w:rPr>
          <w:rFonts w:hint="default" w:ascii="Times New Roman" w:hAnsi="Times New Roman" w:eastAsia="方正仿宋简体" w:cs="Times New Roman"/>
          <w:color w:val="000000" w:themeColor="text1"/>
          <w:sz w:val="32"/>
          <w:szCs w:val="32"/>
          <w:highlight w:val="none"/>
          <w:lang w:val="zh-CN" w:eastAsia="zh"/>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zh-CN"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zh-CN" w:eastAsia="zh"/>
          <w14:textFill>
            <w14:solidFill>
              <w14:schemeClr w14:val="tx1"/>
            </w14:solidFill>
          </w14:textFill>
        </w:rPr>
        <w:t>629</w:t>
      </w:r>
      <w:r>
        <w:rPr>
          <w:rFonts w:hint="eastAsia" w:ascii="方正仿宋简体" w:hAnsi="方正仿宋简体" w:eastAsia="方正仿宋简体" w:cs="方正仿宋简体"/>
          <w:color w:val="000000" w:themeColor="text1"/>
          <w:sz w:val="32"/>
          <w:szCs w:val="32"/>
          <w:highlight w:val="none"/>
          <w:lang w:val="zh-CN"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zh-CN" w:eastAsia="zh"/>
          <w14:textFill>
            <w14:solidFill>
              <w14:schemeClr w14:val="tx1"/>
            </w14:solidFill>
          </w14:textFill>
        </w:rPr>
        <w:t>54</w:t>
      </w:r>
      <w:r>
        <w:rPr>
          <w:rFonts w:hint="eastAsia" w:ascii="方正仿宋简体" w:hAnsi="方正仿宋简体" w:eastAsia="方正仿宋简体" w:cs="方正仿宋简体"/>
          <w:color w:val="000000" w:themeColor="text1"/>
          <w:sz w:val="32"/>
          <w:szCs w:val="32"/>
          <w:highlight w:val="none"/>
          <w:lang w:val="zh-CN" w:eastAsia="zh"/>
          <w14:textFill>
            <w14:solidFill>
              <w14:schemeClr w14:val="tx1"/>
            </w14:solidFill>
          </w14:textFill>
        </w:rPr>
        <w:t>万元，其中：一般公共预算财政拨款收入</w:t>
      </w:r>
      <w:r>
        <w:rPr>
          <w:rFonts w:hint="default" w:ascii="Times New Roman" w:hAnsi="Times New Roman" w:eastAsia="方正仿宋简体" w:cs="Times New Roman"/>
          <w:color w:val="000000" w:themeColor="text1"/>
          <w:sz w:val="32"/>
          <w:szCs w:val="32"/>
          <w:highlight w:val="none"/>
          <w:lang w:val="zh-CN" w:eastAsia="zh"/>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zh-CN"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zh-CN" w:eastAsia="zh"/>
          <w14:textFill>
            <w14:solidFill>
              <w14:schemeClr w14:val="tx1"/>
            </w14:solidFill>
          </w14:textFill>
        </w:rPr>
        <w:t>629</w:t>
      </w:r>
      <w:r>
        <w:rPr>
          <w:rFonts w:hint="eastAsia" w:ascii="方正仿宋简体" w:hAnsi="方正仿宋简体" w:eastAsia="方正仿宋简体" w:cs="方正仿宋简体"/>
          <w:color w:val="000000" w:themeColor="text1"/>
          <w:sz w:val="32"/>
          <w:szCs w:val="32"/>
          <w:highlight w:val="none"/>
          <w:lang w:val="zh-CN"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zh-CN" w:eastAsia="zh"/>
          <w14:textFill>
            <w14:solidFill>
              <w14:schemeClr w14:val="tx1"/>
            </w14:solidFill>
          </w14:textFill>
        </w:rPr>
        <w:t>54</w:t>
      </w:r>
      <w:r>
        <w:rPr>
          <w:rFonts w:hint="eastAsia" w:ascii="方正仿宋简体" w:hAnsi="方正仿宋简体" w:eastAsia="方正仿宋简体" w:cs="方正仿宋简体"/>
          <w:color w:val="000000" w:themeColor="text1"/>
          <w:sz w:val="32"/>
          <w:szCs w:val="32"/>
          <w:highlight w:val="none"/>
          <w:lang w:val="zh-CN" w:eastAsia="zh"/>
          <w14:textFill>
            <w14:solidFill>
              <w14:schemeClr w14:val="tx1"/>
            </w14:solidFill>
          </w14:textFill>
        </w:rPr>
        <w:t>万元、其他收入</w:t>
      </w:r>
      <w:r>
        <w:rPr>
          <w:rFonts w:hint="default" w:ascii="Times New Roman" w:hAnsi="Times New Roman" w:eastAsia="方正仿宋简体" w:cs="Times New Roman"/>
          <w:color w:val="000000" w:themeColor="text1"/>
          <w:sz w:val="32"/>
          <w:szCs w:val="32"/>
          <w:highlight w:val="none"/>
          <w:lang w:val="zh-CN" w:eastAsia="zh"/>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zh-CN"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zh-CN" w:eastAsia="zh"/>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zh-CN" w:eastAsia="zh"/>
          <w14:textFill>
            <w14:solidFill>
              <w14:schemeClr w14:val="tx1"/>
            </w14:solidFill>
          </w14:textFill>
        </w:rPr>
        <w:t>万元。</w:t>
      </w:r>
    </w:p>
    <w:p w14:paraId="53A3587D">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64" w:name="_Toc32465"/>
      <w:bookmarkStart w:id="65" w:name="_Toc2335"/>
      <w:r>
        <w:rPr>
          <w:rFonts w:hint="eastAsia" w:ascii="方正楷体简体" w:hAnsi="方正楷体简体" w:eastAsia="方正楷体简体" w:cs="方正楷体简体"/>
          <w:color w:val="000000"/>
          <w:kern w:val="0"/>
          <w:sz w:val="32"/>
          <w:szCs w:val="32"/>
          <w:highlight w:val="none"/>
          <w:shd w:val="clear" w:color="auto" w:fill="FFFFFF"/>
          <w:lang w:val="zh-CN"/>
        </w:rPr>
        <w:t>（二）部门资金支出决算情况</w:t>
      </w:r>
      <w:bookmarkEnd w:id="57"/>
      <w:bookmarkEnd w:id="58"/>
      <w:bookmarkEnd w:id="59"/>
      <w:bookmarkEnd w:id="60"/>
      <w:bookmarkEnd w:id="61"/>
      <w:bookmarkEnd w:id="62"/>
      <w:bookmarkEnd w:id="63"/>
      <w:bookmarkEnd w:id="64"/>
      <w:bookmarkEnd w:id="65"/>
    </w:p>
    <w:p w14:paraId="1FF614A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bookmarkStart w:id="66" w:name="_Toc18390"/>
      <w:bookmarkStart w:id="67" w:name="_Toc24721"/>
      <w:bookmarkStart w:id="68" w:name="_Toc10837"/>
      <w:bookmarkStart w:id="69" w:name="_Toc109483839"/>
      <w:bookmarkStart w:id="70" w:name="_Toc809"/>
      <w:bookmarkStart w:id="71" w:name="_Toc1457008154"/>
      <w:bookmarkStart w:id="72" w:name="_Toc13841"/>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年</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县纪委支出总计</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629</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54</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万元，其中基本支出</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373</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24</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万元（人员经费</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218</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65</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 xml:space="preserve"> 万元、日常公用经费</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154</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59</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万元），项目支出</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256</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30</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年末结余结转</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w:t>
      </w:r>
    </w:p>
    <w:p w14:paraId="4BC19A9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lang w:val="en-US" w:eastAsia="zh-CN"/>
        </w:rPr>
      </w:pPr>
      <w:bookmarkStart w:id="73" w:name="_Toc19342"/>
      <w:bookmarkStart w:id="74" w:name="_Toc2283"/>
      <w:r>
        <w:rPr>
          <w:rFonts w:hint="eastAsia" w:ascii="方正黑体简体" w:hAnsi="方正黑体简体" w:eastAsia="方正黑体简体" w:cs="方正黑体简体"/>
          <w:color w:val="000000"/>
          <w:kern w:val="0"/>
          <w:sz w:val="32"/>
          <w:szCs w:val="32"/>
          <w:highlight w:val="none"/>
          <w:shd w:val="clear" w:color="auto" w:fill="FFFFFF"/>
        </w:rPr>
        <w:t>三、</w:t>
      </w:r>
      <w:r>
        <w:rPr>
          <w:rFonts w:hint="eastAsia" w:ascii="方正黑体简体" w:hAnsi="方正黑体简体" w:eastAsia="方正黑体简体" w:cs="方正黑体简体"/>
          <w:color w:val="000000"/>
          <w:kern w:val="0"/>
          <w:sz w:val="32"/>
          <w:szCs w:val="32"/>
          <w:highlight w:val="none"/>
          <w:shd w:val="clear" w:color="auto" w:fill="FFFFFF"/>
          <w:lang w:val="en-US" w:eastAsia="zh-CN"/>
        </w:rPr>
        <w:t>部门目标实现情况</w:t>
      </w:r>
      <w:bookmarkEnd w:id="66"/>
      <w:bookmarkEnd w:id="67"/>
      <w:bookmarkEnd w:id="68"/>
      <w:bookmarkEnd w:id="73"/>
      <w:bookmarkEnd w:id="74"/>
    </w:p>
    <w:p w14:paraId="5552689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75" w:name="_Toc20253"/>
      <w:bookmarkStart w:id="76" w:name="_Toc28011"/>
      <w:bookmarkStart w:id="77" w:name="_Toc1418"/>
      <w:bookmarkStart w:id="78" w:name="_Toc3573"/>
      <w:bookmarkStart w:id="79" w:name="_Toc19439"/>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（一）总体目标</w:t>
      </w:r>
      <w:bookmarkEnd w:id="75"/>
      <w:bookmarkEnd w:id="76"/>
      <w:bookmarkEnd w:id="77"/>
      <w:bookmarkEnd w:id="78"/>
      <w:bookmarkEnd w:id="79"/>
    </w:p>
    <w:p w14:paraId="3B7BFA3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bookmarkStart w:id="80" w:name="_Toc11959"/>
      <w:bookmarkStart w:id="81" w:name="_Toc24652"/>
      <w:bookmarkStart w:id="82" w:name="_Toc132"/>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在州纪委监委和县委的坚持领导下，泸定县纪委坚持以习近平新时代中国特色社会主义思想为指导，深入学习贯彻党的二十大精神和习近平总书记来川视察重要指示精神，认真落实中央、省、州纪委全会部署安排，积极主动围绕中心服务大局，坚定不移正风肃纪反腐，扎实推进主题教育和教育整顿，精准聚焦“六个关键点”，纵深推进纪检监察工作高质量发展有力助推泸定政治生态实现“三大变化”目标。</w:t>
      </w:r>
    </w:p>
    <w:p w14:paraId="332148A8">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83" w:name="_Toc21466"/>
      <w:bookmarkStart w:id="84" w:name="_Toc17996"/>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（二）具体目标</w:t>
      </w:r>
      <w:bookmarkEnd w:id="80"/>
      <w:bookmarkEnd w:id="81"/>
      <w:bookmarkEnd w:id="82"/>
      <w:bookmarkEnd w:id="83"/>
      <w:bookmarkEnd w:id="84"/>
    </w:p>
    <w:p w14:paraId="244AF3E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bookmarkStart w:id="85" w:name="_Toc24081"/>
      <w:bookmarkStart w:id="86" w:name="_Toc17536"/>
      <w:bookmarkStart w:id="87" w:name="_Toc6491"/>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泸定县纪委</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年工作</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认真落实中央、省、州纪委全会部署安排</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完成了以下工作任务：一是找准政治监督切入点，服务保障精准高效。坚持把“两个维护”作为政治监督根本任务，紧紧围绕学习贯彻党的二十大 精神和习近平总书记重要讲话、重要指示批示精神等重点内容，强化专班督导，下发问题交办单</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份，督促整改问题</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个。二是找准审查调查主攻点，三个效果协调统一。坚持系统施治、标本兼治，运用“全周期管理”理念，一体推进办案、整改、治理取得更大综合效能。三是找准作风建设着力点，清风正气不断充盈。深入贯彻落实州委“清风</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”十项突出问题整治部署，围绕“六个突出”，创新开展“重塑泸定巩固年”行动，聚焦责任、作风、腐败问题深化专项整治，查处破规逾矩、不守法治、精神懈怠等问题</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件</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人，不担当不作为问题</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26</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件</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人，实现十项整治统筹兼顾、齐头并进。</w:t>
      </w:r>
    </w:p>
    <w:p w14:paraId="234D532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88" w:name="_Toc18003"/>
      <w:bookmarkStart w:id="89" w:name="_Toc23959"/>
      <w:r>
        <w:rPr>
          <w:rFonts w:hint="eastAsia" w:ascii="方正黑体简体" w:hAnsi="方正黑体简体" w:eastAsia="方正黑体简体" w:cs="方正黑体简体"/>
          <w:color w:val="000000"/>
          <w:kern w:val="0"/>
          <w:sz w:val="32"/>
          <w:szCs w:val="32"/>
          <w:highlight w:val="none"/>
          <w:shd w:val="clear" w:color="auto" w:fill="FFFFFF"/>
          <w:lang w:val="en-US" w:eastAsia="zh-CN"/>
        </w:rPr>
        <w:t>四、</w:t>
      </w:r>
      <w:r>
        <w:rPr>
          <w:rFonts w:hint="eastAsia" w:ascii="方正黑体简体" w:hAnsi="方正黑体简体" w:eastAsia="方正黑体简体" w:cs="方正黑体简体"/>
          <w:color w:val="000000"/>
          <w:kern w:val="0"/>
          <w:sz w:val="32"/>
          <w:szCs w:val="32"/>
          <w:highlight w:val="none"/>
          <w:shd w:val="clear" w:color="auto" w:fill="FFFFFF"/>
        </w:rPr>
        <w:t>部门整体支出</w:t>
      </w:r>
      <w:r>
        <w:rPr>
          <w:rFonts w:hint="eastAsia" w:ascii="方正黑体简体" w:hAnsi="方正黑体简体" w:eastAsia="方正黑体简体" w:cs="方正黑体简体"/>
          <w:color w:val="000000"/>
          <w:kern w:val="0"/>
          <w:sz w:val="32"/>
          <w:szCs w:val="32"/>
          <w:highlight w:val="none"/>
          <w:shd w:val="clear" w:color="auto" w:fill="FFFFFF"/>
          <w:lang w:val="zh-CN"/>
        </w:rPr>
        <w:t>绩效评价</w:t>
      </w:r>
      <w:r>
        <w:rPr>
          <w:rFonts w:hint="eastAsia" w:ascii="方正黑体简体" w:hAnsi="方正黑体简体" w:eastAsia="方正黑体简体" w:cs="方正黑体简体"/>
          <w:color w:val="000000"/>
          <w:kern w:val="0"/>
          <w:sz w:val="32"/>
          <w:szCs w:val="32"/>
          <w:highlight w:val="none"/>
          <w:shd w:val="clear" w:color="auto" w:fill="FFFFFF"/>
        </w:rPr>
        <w:t>情况</w:t>
      </w:r>
      <w:bookmarkEnd w:id="69"/>
      <w:bookmarkEnd w:id="70"/>
      <w:bookmarkEnd w:id="71"/>
      <w:bookmarkEnd w:id="72"/>
      <w:bookmarkEnd w:id="85"/>
      <w:bookmarkEnd w:id="86"/>
      <w:bookmarkEnd w:id="87"/>
      <w:bookmarkEnd w:id="88"/>
      <w:bookmarkEnd w:id="89"/>
    </w:p>
    <w:p w14:paraId="5A75D544">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90" w:name="_Toc24977"/>
      <w:bookmarkStart w:id="91" w:name="_Toc23011"/>
      <w:bookmarkStart w:id="92" w:name="_Toc1034"/>
      <w:bookmarkStart w:id="93" w:name="_Toc11694"/>
      <w:bookmarkStart w:id="94" w:name="_Toc29571"/>
      <w:bookmarkStart w:id="95" w:name="_Toc8903"/>
      <w:bookmarkStart w:id="96" w:name="_Toc428273082"/>
      <w:bookmarkStart w:id="97" w:name="_Toc27305"/>
      <w:bookmarkStart w:id="98" w:name="_Toc4199"/>
      <w:bookmarkStart w:id="99" w:name="_Toc109483840"/>
      <w:r>
        <w:rPr>
          <w:rFonts w:hint="eastAsia" w:ascii="方正楷体简体" w:hAnsi="方正楷体简体" w:eastAsia="方正楷体简体" w:cs="方正楷体简体"/>
          <w:color w:val="000000"/>
          <w:kern w:val="0"/>
          <w:sz w:val="32"/>
          <w:szCs w:val="32"/>
          <w:highlight w:val="none"/>
          <w:shd w:val="clear" w:color="auto" w:fill="FFFFFF"/>
          <w:lang w:val="zh-CN"/>
        </w:rPr>
        <w:t>（一）</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绩效评价实施过程</w:t>
      </w:r>
      <w:bookmarkEnd w:id="90"/>
      <w:bookmarkEnd w:id="91"/>
      <w:bookmarkEnd w:id="92"/>
      <w:bookmarkEnd w:id="93"/>
      <w:bookmarkEnd w:id="94"/>
    </w:p>
    <w:p w14:paraId="3E043EB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zh-CN"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zh-CN" w:eastAsia="zh-CN"/>
          <w14:textFill>
            <w14:solidFill>
              <w14:schemeClr w14:val="tx1"/>
            </w14:solidFill>
          </w14:textFill>
        </w:rPr>
        <w:t>评价小组按照评价日程安排，对</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泸定县纪委</w:t>
      </w:r>
      <w:r>
        <w:rPr>
          <w:rFonts w:hint="eastAsia" w:ascii="方正仿宋简体" w:hAnsi="方正仿宋简体" w:eastAsia="方正仿宋简体" w:cs="方正仿宋简体"/>
          <w:color w:val="000000" w:themeColor="text1"/>
          <w:sz w:val="32"/>
          <w:szCs w:val="32"/>
          <w:highlight w:val="none"/>
          <w:lang w:val="zh-CN" w:eastAsia="zh-CN"/>
          <w14:textFill>
            <w14:solidFill>
              <w14:schemeClr w14:val="tx1"/>
            </w14:solidFill>
          </w14:textFill>
        </w:rPr>
        <w:t>提交的评价资料进行认真梳理，测算分析各项指标，汇总评分并形成评价报告。</w:t>
      </w:r>
    </w:p>
    <w:p w14:paraId="5A0A372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zh-CN" w:eastAsia="zh-CN"/>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zh-CN"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zh-CN" w:eastAsia="zh-CN"/>
          <w14:textFill>
            <w14:solidFill>
              <w14:schemeClr w14:val="tx1"/>
            </w14:solidFill>
          </w14:textFill>
        </w:rPr>
        <w:t>.对相关资料进行研读，对整体评价有基本的把握和了解，归纳出进一步评价所需的信息供下一步取数参考。</w:t>
      </w:r>
    </w:p>
    <w:p w14:paraId="5D575BB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zh-CN" w:eastAsia="zh-CN"/>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zh-CN"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zh-CN" w:eastAsia="zh-CN"/>
          <w14:textFill>
            <w14:solidFill>
              <w14:schemeClr w14:val="tx1"/>
            </w14:solidFill>
          </w14:textFill>
        </w:rPr>
        <w:t>.集中对各个评价指标逐一进行分析，以保证取数的准确性。</w:t>
      </w:r>
    </w:p>
    <w:p w14:paraId="777A176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zh-CN" w:eastAsia="zh-CN"/>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zh-CN" w:eastAsia="zh-CN"/>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val="zh-CN" w:eastAsia="zh-CN"/>
          <w14:textFill>
            <w14:solidFill>
              <w14:schemeClr w14:val="tx1"/>
            </w14:solidFill>
          </w14:textFill>
        </w:rPr>
        <w:t>.评价小组汇总分析评价过程中发现的问题并对存在问题进行讨论，根据取得的数据分别计算各评价指标所得分数，形成评价结果。</w:t>
      </w:r>
    </w:p>
    <w:p w14:paraId="3B0DF91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zh-CN" w:eastAsia="zh-CN"/>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zh-CN" w:eastAsia="zh-CN"/>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lang w:val="zh-CN" w:eastAsia="zh-CN"/>
          <w14:textFill>
            <w14:solidFill>
              <w14:schemeClr w14:val="tx1"/>
            </w14:solidFill>
          </w14:textFill>
        </w:rPr>
        <w:t>.根据评价结果，撰写评价报告。</w:t>
      </w:r>
    </w:p>
    <w:p w14:paraId="0280D38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color w:val="000000" w:themeColor="text1"/>
          <w:sz w:val="32"/>
          <w:szCs w:val="32"/>
          <w:highlight w:val="none"/>
          <w:lang w:val="zh-CN" w:eastAsia="zh-CN"/>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lang w:val="zh-CN" w:eastAsia="zh-CN"/>
          <w14:textFill>
            <w14:solidFill>
              <w14:schemeClr w14:val="tx1"/>
            </w14:solidFill>
          </w14:textFill>
        </w:rPr>
        <w:t>.与绩效评价相关者沟通，完善并形成绩效评价报告终稿。</w:t>
      </w:r>
    </w:p>
    <w:p w14:paraId="2ADF116E">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00" w:name="_Toc23900"/>
      <w:bookmarkStart w:id="101" w:name="_Toc30977"/>
      <w:bookmarkStart w:id="102" w:name="_Toc1493"/>
      <w:bookmarkStart w:id="103" w:name="_Toc13416"/>
      <w:bookmarkStart w:id="104" w:name="_Toc16416"/>
      <w:r>
        <w:rPr>
          <w:rFonts w:hint="eastAsia" w:ascii="方正楷体简体" w:hAnsi="方正楷体简体" w:eastAsia="方正楷体简体" w:cs="方正楷体简体"/>
          <w:color w:val="000000"/>
          <w:kern w:val="0"/>
          <w:sz w:val="32"/>
          <w:szCs w:val="32"/>
          <w:highlight w:val="none"/>
          <w:shd w:val="clear" w:color="auto" w:fill="FFFFFF"/>
          <w:lang w:val="zh-CN" w:eastAsia="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二）</w:t>
      </w:r>
      <w:bookmarkEnd w:id="95"/>
      <w:bookmarkEnd w:id="96"/>
      <w:r>
        <w:rPr>
          <w:rFonts w:hint="eastAsia" w:ascii="方正楷体简体" w:hAnsi="方正楷体简体" w:eastAsia="方正楷体简体" w:cs="方正楷体简体"/>
          <w:color w:val="000000"/>
          <w:kern w:val="0"/>
          <w:sz w:val="32"/>
          <w:szCs w:val="32"/>
          <w:highlight w:val="none"/>
          <w:shd w:val="clear" w:color="auto" w:fill="FFFFFF"/>
          <w:lang w:val="en-US" w:eastAsia="zh-CN"/>
        </w:rPr>
        <w:t>评价结论</w:t>
      </w:r>
      <w:bookmarkEnd w:id="100"/>
      <w:bookmarkEnd w:id="101"/>
      <w:bookmarkEnd w:id="102"/>
      <w:bookmarkEnd w:id="103"/>
      <w:bookmarkEnd w:id="104"/>
    </w:p>
    <w:bookmarkEnd w:id="97"/>
    <w:bookmarkEnd w:id="98"/>
    <w:bookmarkEnd w:id="99"/>
    <w:p w14:paraId="295AA57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度，</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县纪委</w:t>
      </w:r>
      <w:r>
        <w:rPr>
          <w:rFonts w:hint="eastAsia" w:ascii="方正仿宋简体" w:hAnsi="方正仿宋简体" w:eastAsia="方正仿宋简体" w:cs="方正仿宋简体"/>
          <w:color w:val="000000" w:themeColor="text1"/>
          <w:sz w:val="32"/>
          <w:szCs w:val="32"/>
          <w:highlight w:val="none"/>
          <w:lang w:val="fr-FR" w:eastAsia="zh"/>
          <w14:textFill>
            <w14:solidFill>
              <w14:schemeClr w14:val="tx1"/>
            </w14:solidFill>
          </w14:textFill>
        </w:rPr>
        <w:t>深入学习贯彻党的二十大精神和习近平总书记来川视察重要指示精神，认真落实中央、省、州纪委全会部署安排，积极主动围绕中心服务大局，坚定不移正风肃纪反腐，扎实推进主题教育和教育整顿，精准聚焦“六个关键点”，纵深推进纪检监察工作高质量发展有力助推泸定政治生态实现“三大变化”目标</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，在维持部门运转的基础上，完成了部门职责范围内的各项工作，部门履职情况较好。</w:t>
      </w:r>
    </w:p>
    <w:p w14:paraId="38EC819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按照设定的评价指标体系，通过对</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泸定县纪委</w:t>
      </w: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年度部门整体支出情况在预算编制、预算执行、完成结果、信息公开、整改反馈、自评质量方面进行综合评价，</w:t>
      </w: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年度</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泸定县纪委部门</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整体支出绩效评价指标分</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分，得分</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92</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分。详见下表：</w:t>
      </w:r>
    </w:p>
    <w:p w14:paraId="586E1AED">
      <w:pPr>
        <w:keepNext w:val="0"/>
        <w:keepLines w:val="0"/>
        <w:pageBreakBefore w:val="0"/>
        <w:kinsoku/>
        <w:wordWrap/>
        <w:overflowPunct/>
        <w:topLinePunct w:val="0"/>
        <w:autoSpaceDE/>
        <w:autoSpaceDN/>
        <w:bidi w:val="0"/>
        <w:spacing w:line="600" w:lineRule="exact"/>
        <w:ind w:left="0" w:leftChars="0" w:right="0" w:rightChars="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lang w:eastAsia="zh"/>
        </w:rPr>
        <w:t>泸定县纪委</w:t>
      </w:r>
      <w:r>
        <w:rPr>
          <w:rFonts w:hint="default" w:ascii="Times New Roman" w:hAnsi="Times New Roman" w:eastAsia="方正仿宋简体" w:cs="Times New Roman"/>
          <w:color w:val="auto"/>
          <w:sz w:val="32"/>
          <w:szCs w:val="32"/>
          <w:highlight w:val="none"/>
          <w:lang w:eastAsia="zh"/>
        </w:rPr>
        <w:t>2023</w:t>
      </w:r>
      <w:r>
        <w:rPr>
          <w:rFonts w:hint="eastAsia" w:ascii="方正仿宋简体" w:hAnsi="方正仿宋简体" w:eastAsia="方正仿宋简体" w:cs="方正仿宋简体"/>
          <w:color w:val="auto"/>
          <w:sz w:val="32"/>
          <w:szCs w:val="32"/>
          <w:highlight w:val="none"/>
        </w:rPr>
        <w:t>年部门整体支出绩效评价评分表</w:t>
      </w:r>
    </w:p>
    <w:tbl>
      <w:tblPr>
        <w:tblStyle w:val="17"/>
        <w:tblW w:w="4998" w:type="pct"/>
        <w:jc w:val="center"/>
        <w:tblLayout w:type="autofit"/>
        <w:tblCellMar>
          <w:top w:w="0" w:type="dxa"/>
          <w:left w:w="108" w:type="dxa"/>
          <w:bottom w:w="0" w:type="dxa"/>
          <w:right w:w="108" w:type="dxa"/>
        </w:tblCellMar>
      </w:tblPr>
      <w:tblGrid>
        <w:gridCol w:w="1633"/>
        <w:gridCol w:w="1576"/>
        <w:gridCol w:w="2151"/>
        <w:gridCol w:w="1111"/>
        <w:gridCol w:w="1350"/>
        <w:gridCol w:w="7"/>
        <w:gridCol w:w="1228"/>
      </w:tblGrid>
      <w:tr w14:paraId="067C3E46">
        <w:tblPrEx>
          <w:tblCellMar>
            <w:top w:w="0" w:type="dxa"/>
            <w:left w:w="108" w:type="dxa"/>
            <w:bottom w:w="0" w:type="dxa"/>
            <w:right w:w="108" w:type="dxa"/>
          </w:tblCellMar>
        </w:tblPrEx>
        <w:trPr>
          <w:trHeight w:val="680" w:hRule="atLeast"/>
          <w:jc w:val="center"/>
        </w:trPr>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3A37D">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一级指标</w:t>
            </w:r>
          </w:p>
        </w:tc>
        <w:tc>
          <w:tcPr>
            <w:tcW w:w="8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92893">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二级指标</w:t>
            </w:r>
          </w:p>
        </w:tc>
        <w:tc>
          <w:tcPr>
            <w:tcW w:w="1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EF553">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三级指标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FF5DF">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分值</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71FD0">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扣分</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3CB22">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得分</w:t>
            </w:r>
          </w:p>
        </w:tc>
      </w:tr>
      <w:tr w14:paraId="1D8435F3">
        <w:tblPrEx>
          <w:tblCellMar>
            <w:top w:w="0" w:type="dxa"/>
            <w:left w:w="108" w:type="dxa"/>
            <w:bottom w:w="0" w:type="dxa"/>
            <w:right w:w="108" w:type="dxa"/>
          </w:tblCellMar>
        </w:tblPrEx>
        <w:trPr>
          <w:trHeight w:val="680" w:hRule="atLeast"/>
          <w:jc w:val="center"/>
        </w:trPr>
        <w:tc>
          <w:tcPr>
            <w:tcW w:w="9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04BCA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部门预算管理（</w:t>
            </w:r>
            <w:r>
              <w:rPr>
                <w:rFonts w:hint="default" w:ascii="Times New Roman" w:hAnsi="Times New Roman" w:eastAsia="方正仿宋简体" w:cs="Times New Roman"/>
                <w:color w:val="auto"/>
                <w:kern w:val="0"/>
                <w:sz w:val="32"/>
                <w:szCs w:val="32"/>
                <w:highlight w:val="none"/>
                <w:lang w:eastAsia="zh"/>
              </w:rPr>
              <w:t>8</w:t>
            </w:r>
            <w:r>
              <w:rPr>
                <w:rFonts w:hint="default" w:ascii="Times New Roman" w:hAnsi="Times New Roman" w:eastAsia="方正仿宋简体" w:cs="Times New Roman"/>
                <w:color w:val="auto"/>
                <w:kern w:val="0"/>
                <w:sz w:val="32"/>
                <w:szCs w:val="32"/>
                <w:highlight w:val="none"/>
              </w:rPr>
              <w:t>0</w:t>
            </w:r>
            <w:r>
              <w:rPr>
                <w:rFonts w:hint="eastAsia" w:ascii="方正仿宋简体" w:hAnsi="方正仿宋简体" w:eastAsia="方正仿宋简体" w:cs="方正仿宋简体"/>
                <w:color w:val="auto"/>
                <w:kern w:val="0"/>
                <w:sz w:val="32"/>
                <w:szCs w:val="32"/>
                <w:highlight w:val="none"/>
              </w:rPr>
              <w:t>分）</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6F97F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预算编制</w:t>
            </w:r>
          </w:p>
          <w:p w14:paraId="620D76F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lang w:eastAsia="zh"/>
              </w:rPr>
              <w:t>30</w:t>
            </w:r>
            <w:r>
              <w:rPr>
                <w:rFonts w:hint="eastAsia" w:ascii="方正仿宋简体" w:hAnsi="方正仿宋简体" w:eastAsia="方正仿宋简体" w:cs="方正仿宋简体"/>
                <w:color w:val="auto"/>
                <w:kern w:val="0"/>
                <w:sz w:val="32"/>
                <w:szCs w:val="32"/>
                <w:highlight w:val="none"/>
              </w:rPr>
              <w:t>分）</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EEC32">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目标制定</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6F82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1FE7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7E5F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8</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1E7C6D54">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E29A0">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12D62">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07CDC">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目标实现</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08EF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9721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66C2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5B95C501">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6FC6E">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51ABA">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B7D71">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编制准确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B8A3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C18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58F6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8</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1021FD26">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E1217">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79EA2">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预算执行</w:t>
            </w:r>
          </w:p>
          <w:p w14:paraId="15EAE394">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lang w:eastAsia="zh"/>
              </w:rPr>
              <w:t>3</w:t>
            </w:r>
            <w:r>
              <w:rPr>
                <w:rFonts w:hint="default" w:ascii="Times New Roman" w:hAnsi="Times New Roman" w:eastAsia="方正仿宋简体" w:cs="Times New Roman"/>
                <w:color w:val="auto"/>
                <w:sz w:val="32"/>
                <w:szCs w:val="32"/>
                <w:highlight w:val="none"/>
              </w:rPr>
              <w:t>0</w:t>
            </w:r>
            <w:r>
              <w:rPr>
                <w:rFonts w:hint="eastAsia" w:ascii="方正仿宋简体" w:hAnsi="方正仿宋简体" w:eastAsia="方正仿宋简体" w:cs="方正仿宋简体"/>
                <w:color w:val="auto"/>
                <w:sz w:val="32"/>
                <w:szCs w:val="32"/>
                <w:highlight w:val="none"/>
              </w:rPr>
              <w:t>分）</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DB6DF">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支出控制</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1629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80FD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182A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8</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1839BDCC">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4770A">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671A1">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849D2">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动态调整</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6B22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ED3F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07</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0CF0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9</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93</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3614AAF5">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29445">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9A10C">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94303">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执行进度</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A03A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71A9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DAA5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3DABA564">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6F05E">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E467D">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完成结果</w:t>
            </w:r>
          </w:p>
          <w:p w14:paraId="74BFB092">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lang w:eastAsia="zh"/>
              </w:rPr>
              <w:t>20</w:t>
            </w:r>
            <w:r>
              <w:rPr>
                <w:rFonts w:hint="eastAsia" w:ascii="方正仿宋简体" w:hAnsi="方正仿宋简体" w:eastAsia="方正仿宋简体" w:cs="方正仿宋简体"/>
                <w:color w:val="auto"/>
                <w:sz w:val="32"/>
                <w:szCs w:val="32"/>
                <w:highlight w:val="none"/>
              </w:rPr>
              <w:t>）</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5A9B6">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预算完成</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FFA8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F3BB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01</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BF23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9</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99</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5A6E2A1C">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096C1F2">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47049">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95CC3">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违规记录</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E0C7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FF5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E053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66D40231">
        <w:tblPrEx>
          <w:tblCellMar>
            <w:top w:w="0" w:type="dxa"/>
            <w:left w:w="108" w:type="dxa"/>
            <w:bottom w:w="0" w:type="dxa"/>
            <w:right w:w="108" w:type="dxa"/>
          </w:tblCellMar>
        </w:tblPrEx>
        <w:trPr>
          <w:trHeight w:val="680" w:hRule="atLeast"/>
          <w:jc w:val="center"/>
        </w:trPr>
        <w:tc>
          <w:tcPr>
            <w:tcW w:w="91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A8141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绩效结果应用（</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8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643232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信息公开</w:t>
            </w:r>
          </w:p>
          <w:p w14:paraId="396288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2</w:t>
            </w:r>
            <w:r>
              <w:rPr>
                <w:rFonts w:hint="eastAsia" w:ascii="方正仿宋简体" w:hAnsi="方正仿宋简体" w:eastAsia="方正仿宋简体" w:cs="方正仿宋简体"/>
                <w:color w:val="auto"/>
                <w:kern w:val="0"/>
                <w:sz w:val="32"/>
                <w:szCs w:val="32"/>
                <w:highlight w:val="none"/>
              </w:rPr>
              <w:t>分）</w:t>
            </w: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03897E1C">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自评公开</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2BF3BF8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002E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7EF0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7F66AD10">
        <w:tblPrEx>
          <w:tblCellMar>
            <w:top w:w="0" w:type="dxa"/>
            <w:left w:w="108" w:type="dxa"/>
            <w:bottom w:w="0" w:type="dxa"/>
            <w:right w:w="108" w:type="dxa"/>
          </w:tblCellMar>
        </w:tblPrEx>
        <w:trPr>
          <w:trHeight w:val="680" w:hRule="atLeast"/>
          <w:jc w:val="center"/>
        </w:trPr>
        <w:tc>
          <w:tcPr>
            <w:tcW w:w="91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3ED798">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71BF94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整改反馈</w:t>
            </w:r>
          </w:p>
          <w:p w14:paraId="75905C80">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8</w:t>
            </w:r>
            <w:r>
              <w:rPr>
                <w:rFonts w:hint="eastAsia" w:ascii="方正仿宋简体" w:hAnsi="方正仿宋简体" w:eastAsia="方正仿宋简体" w:cs="方正仿宋简体"/>
                <w:color w:val="auto"/>
                <w:sz w:val="32"/>
                <w:szCs w:val="32"/>
                <w:highlight w:val="none"/>
              </w:rPr>
              <w:t>分）</w:t>
            </w: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38DC09D6">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结果整改</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0BBDE06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0890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C970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0D29CB6E">
        <w:tblPrEx>
          <w:tblCellMar>
            <w:top w:w="0" w:type="dxa"/>
            <w:left w:w="108" w:type="dxa"/>
            <w:bottom w:w="0" w:type="dxa"/>
            <w:right w:w="108" w:type="dxa"/>
          </w:tblCellMar>
        </w:tblPrEx>
        <w:trPr>
          <w:trHeight w:val="680" w:hRule="atLeast"/>
          <w:jc w:val="center"/>
        </w:trPr>
        <w:tc>
          <w:tcPr>
            <w:tcW w:w="91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708F7F">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28AA407">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68E0257A">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应用反馈</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5AB747E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E4B0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60B7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18A120D9">
        <w:tblPrEx>
          <w:tblCellMar>
            <w:top w:w="0" w:type="dxa"/>
            <w:left w:w="108" w:type="dxa"/>
            <w:bottom w:w="0" w:type="dxa"/>
            <w:right w:w="108" w:type="dxa"/>
          </w:tblCellMar>
        </w:tblPrEx>
        <w:trPr>
          <w:trHeight w:val="680" w:hRule="atLeast"/>
          <w:jc w:val="center"/>
        </w:trPr>
        <w:tc>
          <w:tcPr>
            <w:tcW w:w="914" w:type="pct"/>
            <w:tcBorders>
              <w:top w:val="single" w:color="auto" w:sz="4" w:space="0"/>
              <w:left w:val="single" w:color="000000" w:sz="4" w:space="0"/>
              <w:bottom w:val="single" w:color="000000" w:sz="4" w:space="0"/>
              <w:right w:val="single" w:color="000000" w:sz="4" w:space="0"/>
            </w:tcBorders>
            <w:shd w:val="clear" w:color="auto" w:fill="auto"/>
            <w:vAlign w:val="center"/>
          </w:tcPr>
          <w:p w14:paraId="5C42AEB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自评质量</w:t>
            </w:r>
          </w:p>
          <w:p w14:paraId="3DBB567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831"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22CC9763">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自评质量</w:t>
            </w:r>
          </w:p>
          <w:p w14:paraId="179A926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1199" w:type="pct"/>
            <w:tcBorders>
              <w:top w:val="single" w:color="auto" w:sz="4" w:space="0"/>
              <w:left w:val="nil"/>
              <w:bottom w:val="single" w:color="000000" w:sz="4" w:space="0"/>
              <w:right w:val="single" w:color="000000" w:sz="4" w:space="0"/>
            </w:tcBorders>
            <w:shd w:val="clear" w:color="auto" w:fill="auto"/>
            <w:vAlign w:val="center"/>
          </w:tcPr>
          <w:p w14:paraId="2FE8F724">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自评准确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A838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01E5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1569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7A4D91B7">
        <w:tblPrEx>
          <w:tblCellMar>
            <w:top w:w="0" w:type="dxa"/>
            <w:left w:w="108" w:type="dxa"/>
            <w:bottom w:w="0" w:type="dxa"/>
            <w:right w:w="108" w:type="dxa"/>
          </w:tblCellMar>
        </w:tblPrEx>
        <w:trPr>
          <w:trHeight w:val="680" w:hRule="atLeast"/>
          <w:jc w:val="center"/>
        </w:trPr>
        <w:tc>
          <w:tcPr>
            <w:tcW w:w="294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20BC1">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合计</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1B85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rPr>
              <w:t>100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86D6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6</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08</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8F15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93</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92</w:t>
            </w:r>
          </w:p>
        </w:tc>
      </w:tr>
    </w:tbl>
    <w:p w14:paraId="057C08AE">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05" w:name="_Toc13516"/>
      <w:bookmarkStart w:id="106" w:name="_Toc26985"/>
      <w:bookmarkStart w:id="107" w:name="_Toc1687911260"/>
      <w:bookmarkStart w:id="108" w:name="_Toc16394"/>
      <w:bookmarkStart w:id="109" w:name="_Toc109483841"/>
      <w:bookmarkStart w:id="110" w:name="_Toc6676"/>
      <w:bookmarkStart w:id="111" w:name="_Toc28266"/>
      <w:bookmarkStart w:id="112" w:name="_Toc31945"/>
      <w:bookmarkStart w:id="113" w:name="_Toc24818"/>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（三）绩效结果应用</w:t>
      </w:r>
      <w:bookmarkEnd w:id="105"/>
    </w:p>
    <w:p w14:paraId="3974C46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县纪委</w:t>
      </w:r>
      <w:r>
        <w:rPr>
          <w:rFonts w:hint="eastAsia" w:ascii="方正仿宋简体" w:hAnsi="方正仿宋简体" w:eastAsia="方正仿宋简体" w:cs="方正仿宋简体"/>
          <w:color w:val="auto"/>
          <w:sz w:val="32"/>
          <w:szCs w:val="32"/>
          <w:highlight w:val="none"/>
          <w:lang w:val="en-US" w:eastAsia="zh"/>
        </w:rPr>
        <w:t>认真落实中央、省、州纪委全会部署安排，积极主动围绕中心服务大局，坚定不移正风肃纪反腐</w:t>
      </w:r>
      <w:r>
        <w:rPr>
          <w:rFonts w:hint="eastAsia" w:ascii="方正仿宋简体" w:hAnsi="方正仿宋简体" w:eastAsia="方正仿宋简体" w:cs="方正仿宋简体"/>
          <w:color w:val="auto"/>
          <w:sz w:val="32"/>
          <w:szCs w:val="32"/>
          <w:highlight w:val="none"/>
          <w:lang w:val="en-US" w:eastAsia="zh-CN"/>
        </w:rPr>
        <w:t>。通过评价组对</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县纪委</w:t>
      </w:r>
      <w:r>
        <w:rPr>
          <w:rFonts w:hint="eastAsia" w:ascii="方正仿宋简体" w:hAnsi="方正仿宋简体" w:eastAsia="方正仿宋简体" w:cs="方正仿宋简体"/>
          <w:color w:val="auto"/>
          <w:sz w:val="32"/>
          <w:szCs w:val="32"/>
          <w:highlight w:val="none"/>
          <w:lang w:val="en-US" w:eastAsia="zh-CN"/>
        </w:rPr>
        <w:t>进行事后评价，最终县监委绩效评价等级为“优”。秉承科学公正、统筹兼顾、激励约束和公开透明财政绩效原则。我单位建议泸定县财政局针对部门预算绩效管理，进一步要求</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县纪委</w:t>
      </w:r>
      <w:r>
        <w:rPr>
          <w:rFonts w:hint="eastAsia" w:ascii="方正仿宋简体" w:hAnsi="方正仿宋简体" w:eastAsia="方正仿宋简体" w:cs="方正仿宋简体"/>
          <w:color w:val="auto"/>
          <w:sz w:val="32"/>
          <w:szCs w:val="32"/>
          <w:highlight w:val="none"/>
          <w:lang w:val="en-US" w:eastAsia="zh-CN"/>
        </w:rPr>
        <w:t>完善绩效目标编制、提高绩效自评质量、提升年初预算编制准确性。</w:t>
      </w:r>
    </w:p>
    <w:p w14:paraId="0651BF7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14" w:name="_Toc18743"/>
      <w:r>
        <w:rPr>
          <w:rFonts w:hint="eastAsia" w:ascii="方正楷体简体" w:hAnsi="方正楷体简体" w:eastAsia="方正楷体简体" w:cs="方正楷体简体"/>
          <w:color w:val="000000"/>
          <w:kern w:val="0"/>
          <w:sz w:val="32"/>
          <w:szCs w:val="32"/>
          <w:highlight w:val="none"/>
          <w:shd w:val="clear" w:color="auto" w:fill="FFFFFF"/>
          <w:lang w:val="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四</w:t>
      </w:r>
      <w:r>
        <w:rPr>
          <w:rFonts w:hint="eastAsia" w:ascii="方正楷体简体" w:hAnsi="方正楷体简体" w:eastAsia="方正楷体简体" w:cs="方正楷体简体"/>
          <w:color w:val="000000"/>
          <w:kern w:val="0"/>
          <w:sz w:val="32"/>
          <w:szCs w:val="32"/>
          <w:highlight w:val="none"/>
          <w:shd w:val="clear" w:color="auto" w:fill="FFFFFF"/>
          <w:lang w:val="zh-CN"/>
        </w:rPr>
        <w:t>）</w:t>
      </w:r>
      <w:bookmarkEnd w:id="106"/>
      <w:bookmarkEnd w:id="107"/>
      <w:bookmarkEnd w:id="108"/>
      <w:bookmarkEnd w:id="109"/>
      <w:r>
        <w:rPr>
          <w:rFonts w:hint="eastAsia" w:ascii="方正楷体简体" w:hAnsi="方正楷体简体" w:eastAsia="方正楷体简体" w:cs="方正楷体简体"/>
          <w:color w:val="000000"/>
          <w:kern w:val="0"/>
          <w:sz w:val="32"/>
          <w:szCs w:val="32"/>
          <w:highlight w:val="none"/>
          <w:shd w:val="clear" w:color="auto" w:fill="FFFFFF"/>
          <w:lang w:val="en-US" w:eastAsia="zh-CN"/>
        </w:rPr>
        <w:t>评价分析</w:t>
      </w:r>
      <w:bookmarkEnd w:id="110"/>
      <w:bookmarkEnd w:id="111"/>
      <w:bookmarkEnd w:id="112"/>
      <w:bookmarkEnd w:id="113"/>
      <w:bookmarkEnd w:id="114"/>
    </w:p>
    <w:p w14:paraId="18E76880">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.预算编制</w:t>
      </w:r>
    </w:p>
    <w:p w14:paraId="14F83EDD">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000000" w:themeColor="text1"/>
          <w:kern w:val="2"/>
          <w:sz w:val="32"/>
          <w:szCs w:val="32"/>
          <w:highlight w:val="none"/>
          <w:lang w:val="fr-FR" w:eastAsia="zh-CN" w:bidi="ar-SA"/>
          <w14:textFill>
            <w14:solidFill>
              <w14:schemeClr w14:val="tx1"/>
            </w14:solidFill>
          </w14:textFill>
        </w:rPr>
        <w:t>二级指标“预算编制”下设三个三级指标分别为：目标制定、目标实现、编制准确。</w:t>
      </w:r>
    </w:p>
    <w:p w14:paraId="5852C135">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kern w:val="2"/>
          <w:sz w:val="32"/>
          <w:szCs w:val="32"/>
          <w:highlight w:val="none"/>
          <w:lang w:val="en-US" w:eastAsia="zh-CN" w:bidi="ar-SA"/>
        </w:rPr>
        <w:t>（1）</w:t>
      </w:r>
      <w:r>
        <w:rPr>
          <w:rFonts w:hint="eastAsia" w:ascii="方正仿宋简体" w:hAnsi="方正仿宋简体" w:eastAsia="方正仿宋简体" w:cs="方正仿宋简体"/>
          <w:color w:val="auto"/>
          <w:sz w:val="32"/>
          <w:szCs w:val="32"/>
          <w:highlight w:val="none"/>
        </w:rPr>
        <w:t>目标制定</w:t>
      </w:r>
    </w:p>
    <w:p w14:paraId="4059A89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根据县委在泸定县人民政府门户网站公开的</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年度部门预算和绩效目标，制定了年度部门及项目整体支出绩效目标，绩效目标涵盖数量、质量、时效、效益等指标，</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但</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未编制可持续影响指标，</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指标编制不完整</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且</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社会效益指标</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的三级</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指标设置为“明确责任、突出重点、完善制度，对强化政治监督、做实日常监督、提高人民群众幸福感、认同感”，指标值为“优良中差”，指标设置笼统、</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不规范</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扣除</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分</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p>
    <w:p w14:paraId="4392A5A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kern w:val="0"/>
          <w:sz w:val="32"/>
          <w:szCs w:val="32"/>
          <w:highlight w:val="none"/>
          <w:lang w:bidi="ar"/>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本项分值为</w:t>
      </w: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分，扣</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w:t>
      </w:r>
    </w:p>
    <w:p w14:paraId="051439E4">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）目标实现</w:t>
      </w:r>
    </w:p>
    <w:p w14:paraId="503DCE4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根据县纪委提供的</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年度年初预算项目绩效目标申报表及项目完成资料，年初预算项目</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个，涉及数量指标共计</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19</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个，实际完成指标</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19</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个，未完成指标</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个，其中偏离度在</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30%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以内的指标有</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19</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个，偏离度超过</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30%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指标</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个。</w:t>
      </w:r>
    </w:p>
    <w:p w14:paraId="6383730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本项分值为</w:t>
      </w: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分，扣</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w:t>
      </w:r>
    </w:p>
    <w:p w14:paraId="47E475D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3</w:t>
      </w:r>
      <w:r>
        <w:rPr>
          <w:rFonts w:hint="eastAsia" w:ascii="方正仿宋简体" w:hAnsi="方正仿宋简体" w:eastAsia="方正仿宋简体" w:cs="方正仿宋简体"/>
          <w:color w:val="auto"/>
          <w:sz w:val="32"/>
          <w:szCs w:val="32"/>
          <w:highlight w:val="none"/>
        </w:rPr>
        <w:t>）编制准确</w:t>
      </w:r>
    </w:p>
    <w:p w14:paraId="4F1D52D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根据县纪委</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年部门决算以及可执行指标执行情况表，县纪委</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年部门全年预算调剂金额为</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109</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万元，年初部门预算数为</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564</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99</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万元，预算调剂率为</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96%</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p>
    <w:p w14:paraId="48CC36A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本项分值为</w:t>
      </w: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分，扣</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w:t>
      </w:r>
    </w:p>
    <w:p w14:paraId="546DE47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二级指标“预算编制”指标分共计</w:t>
      </w: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30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26</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w:t>
      </w:r>
    </w:p>
    <w:p w14:paraId="07A84896">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.预算执行</w:t>
      </w:r>
    </w:p>
    <w:p w14:paraId="51D011B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二级指标“预算执行”下设三个三级指标分别为：支出控制、动态调整和执行进度。</w:t>
      </w:r>
    </w:p>
    <w:p w14:paraId="2AC6A60C">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）支出控制</w:t>
      </w:r>
    </w:p>
    <w:p w14:paraId="0B95CF6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根据县纪委</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年预算、决算以及“可执行指标执行情况表”，本次重点关注</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年县纪委日常公用经费、项目支出中“办公费、印刷费、电费、印刷费、物业管理费”等</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12</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 xml:space="preserve">个科目，重点关注科目年初预算数合计 </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189</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89</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 xml:space="preserve"> 万元，决算数合计 </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191</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09</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 xml:space="preserve"> 万元，总体预决算偏差率</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63%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。其中：公务接待费年初预算</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万元，年末决算</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24</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万元，偏差率</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88</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；高海拔取暖费年初预算</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17</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82</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万元，年末决算</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05</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万元，偏差率</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88</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50%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；培训费年初预算</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万元，年末决算</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25</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93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万元，偏差率</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188</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07%</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；维修（护）费年初预算</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万元，年末决算</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06</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万元，偏差率</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99</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40%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p>
    <w:p w14:paraId="51F3DF0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kern w:val="0"/>
          <w:sz w:val="32"/>
          <w:szCs w:val="32"/>
          <w:highlight w:val="none"/>
          <w:lang w:bidi="ar"/>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本项分值为</w:t>
      </w: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分，扣</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w:t>
      </w:r>
    </w:p>
    <w:p w14:paraId="22956C49">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）动态调整</w:t>
      </w:r>
    </w:p>
    <w:p w14:paraId="6C6EECA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中国共产党泸定县纪律检查委员会</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年部门绩效监控调整取消额为</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，根据可执行指标执行情况表，</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年年度预算总额为</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630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72</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万元，年末未使用完指标结余注销金额（县级预算）为</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17</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万元。</w:t>
      </w:r>
    </w:p>
    <w:p w14:paraId="67B9BB7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本项分值为</w:t>
      </w: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分，扣</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07</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w:t>
      </w:r>
    </w:p>
    <w:p w14:paraId="2756E4F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3</w:t>
      </w:r>
      <w:r>
        <w:rPr>
          <w:rFonts w:hint="eastAsia" w:ascii="方正仿宋简体" w:hAnsi="方正仿宋简体" w:eastAsia="方正仿宋简体" w:cs="方正仿宋简体"/>
          <w:color w:val="auto"/>
          <w:sz w:val="32"/>
          <w:szCs w:val="32"/>
          <w:highlight w:val="none"/>
        </w:rPr>
        <w:t>）执行进度</w:t>
      </w:r>
    </w:p>
    <w:p w14:paraId="5D737CF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根据县纪委</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年度预算、决算报表以及</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年一体化平台“可执行指标执行情况表”，相关月份预算执行进度如下：</w:t>
      </w:r>
    </w:p>
    <w:p w14:paraId="167AD38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截至</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月末累计实现预算支出</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841</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70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万元，占全年预算总额</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630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72</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万元的</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51</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62%</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p>
    <w:p w14:paraId="180DBEA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截至</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月末累计实现预算支出</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225</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46</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万元，占全年预算总额</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630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72</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万元的</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75</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15%</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p>
    <w:p w14:paraId="7D6D253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截至</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11</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月末实现累计预算支出</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471</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37</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万元，占全年预算总额</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630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72</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万元的</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23</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 xml:space="preserve">。                             </w:t>
      </w:r>
    </w:p>
    <w:p w14:paraId="3F0CF77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本项分值为</w:t>
      </w: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分，扣</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分，得分为</w:t>
      </w: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w:t>
      </w:r>
    </w:p>
    <w:p w14:paraId="679B2E5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二级指标“预算执行”指标分共计</w:t>
      </w: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3</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07</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分，得分为</w:t>
      </w: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27</w:t>
      </w:r>
      <w:r>
        <w:rPr>
          <w:rFonts w:hint="eastAsia" w:ascii="方正仿宋简体" w:hAnsi="方正仿宋简体" w:eastAsia="方正仿宋简体" w:cs="方正仿宋简体"/>
          <w:color w:val="000000" w:themeColor="text1"/>
          <w:sz w:val="32"/>
          <w:szCs w:val="32"/>
          <w:highlight w:val="none"/>
          <w:lang w:val="fr-FR"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93</w:t>
      </w:r>
      <w:r>
        <w:rPr>
          <w:rFonts w:hint="eastAsia" w:ascii="方正仿宋简体" w:hAnsi="方正仿宋简体" w:eastAsia="方正仿宋简体" w:cs="方正仿宋简体"/>
          <w:color w:val="000000" w:themeColor="text1"/>
          <w:sz w:val="32"/>
          <w:szCs w:val="32"/>
          <w:highlight w:val="none"/>
          <w:lang w:val="fr-FR" w:eastAsia="zh"/>
          <w14:textFill>
            <w14:solidFill>
              <w14:schemeClr w14:val="tx1"/>
            </w14:solidFill>
          </w14:textFill>
        </w:rPr>
        <w:t xml:space="preserve"> </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w:t>
      </w:r>
    </w:p>
    <w:p w14:paraId="28F3F602">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完成结果</w:t>
      </w:r>
    </w:p>
    <w:p w14:paraId="6AD9472A">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themeColor="text1"/>
          <w:kern w:val="2"/>
          <w:sz w:val="32"/>
          <w:szCs w:val="32"/>
          <w:highlight w:val="none"/>
          <w:lang w:val="fr-FR" w:eastAsia="zh-CN" w:bidi="ar-SA"/>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val="fr-FR" w:eastAsia="zh-CN" w:bidi="ar-SA"/>
          <w14:textFill>
            <w14:solidFill>
              <w14:schemeClr w14:val="tx1"/>
            </w14:solidFill>
          </w14:textFill>
        </w:rPr>
        <w:t>二级指标“完成结果”下设两个三级指标分别为：预算完成和违规记录。</w:t>
      </w:r>
    </w:p>
    <w:p w14:paraId="44D84047">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）预算完成</w:t>
      </w:r>
    </w:p>
    <w:p w14:paraId="73B5FAF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根据县纪委</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年决算报表及“可执行指标执行情况表”，县纪委</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12</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月实现预算支出</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629</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54</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万元，全年预算总额</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630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72</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万元，全年预算完成率为</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99</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93%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p>
    <w:p w14:paraId="4A928BD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本项分值为</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分，扣</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01</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99</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w:t>
      </w:r>
    </w:p>
    <w:p w14:paraId="42DAFDA7">
      <w:pPr>
        <w:keepNext w:val="0"/>
        <w:keepLines w:val="0"/>
        <w:pageBreakBefore w:val="0"/>
        <w:numPr>
          <w:ilvl w:val="255"/>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）违规记录</w:t>
      </w:r>
    </w:p>
    <w:p w14:paraId="3B5BD69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根据县委监察委提供相关资料及现场了解，</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年度未接受相关审计监督或财政检查。</w:t>
      </w:r>
    </w:p>
    <w:p w14:paraId="25C0326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本项分值为</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分，扣</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分，得分为</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w:t>
      </w:r>
    </w:p>
    <w:p w14:paraId="570D0F2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二级指标“完成结果”指标分共计</w:t>
      </w: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fr-FR"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0</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分，此处得分为</w:t>
      </w: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19</w:t>
      </w:r>
      <w:r>
        <w:rPr>
          <w:rFonts w:hint="eastAsia" w:ascii="方正仿宋简体" w:hAnsi="方正仿宋简体" w:eastAsia="方正仿宋简体" w:cs="方正仿宋简体"/>
          <w:color w:val="000000" w:themeColor="text1"/>
          <w:sz w:val="32"/>
          <w:szCs w:val="32"/>
          <w:highlight w:val="none"/>
          <w:lang w:val="fr-FR"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99</w:t>
      </w:r>
      <w:r>
        <w:rPr>
          <w:rFonts w:hint="eastAsia" w:ascii="方正仿宋简体" w:hAnsi="方正仿宋简体" w:eastAsia="方正仿宋简体" w:cs="方正仿宋简体"/>
          <w:color w:val="000000" w:themeColor="text1"/>
          <w:sz w:val="32"/>
          <w:szCs w:val="32"/>
          <w:highlight w:val="none"/>
          <w:lang w:val="fr-FR" w:eastAsia="zh"/>
          <w14:textFill>
            <w14:solidFill>
              <w14:schemeClr w14:val="tx1"/>
            </w14:solidFill>
          </w14:textFill>
        </w:rPr>
        <w:t xml:space="preserve"> </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w:t>
      </w:r>
    </w:p>
    <w:p w14:paraId="69CC418E">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信息公开</w:t>
      </w:r>
    </w:p>
    <w:p w14:paraId="2B68E03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二级指标“信息公开”下设一个三级指标为自评公开。</w:t>
      </w:r>
    </w:p>
    <w:p w14:paraId="09CC687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根据在泸定县人民政府门户网站公开的资料和部门决算，县监察委在</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月</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日公开了</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年度部门预算，同时公开了部门整体支出绩效目标，</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年度</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部门整体绩效自评报告、项目绩效目标完成情况以及项目自评表</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随同</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年度部门决算一起公开</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，截至绩效评价日</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泸定县纪律检查委员会</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还未公开</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年部门决算。</w:t>
      </w:r>
    </w:p>
    <w:p w14:paraId="4ADF518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二级指标“信息公开”指标分共计</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分，此项得分为</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w:t>
      </w:r>
    </w:p>
    <w:p w14:paraId="19A5BE0D">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整改反馈</w:t>
      </w:r>
    </w:p>
    <w:p w14:paraId="1B9DC6F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二级指标“整改反馈”下设两个三级指标为：结果整改和应用反馈。</w:t>
      </w:r>
    </w:p>
    <w:p w14:paraId="75EBD0E3">
      <w:pPr>
        <w:keepNext w:val="0"/>
        <w:keepLines w:val="0"/>
        <w:pageBreakBefore w:val="0"/>
        <w:numPr>
          <w:ilvl w:val="0"/>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eastAsia" w:ascii="方正仿宋简体" w:hAnsi="方正仿宋简体" w:eastAsia="方正仿宋简体" w:cs="方正仿宋简体"/>
          <w:color w:val="auto"/>
          <w:sz w:val="32"/>
          <w:szCs w:val="32"/>
          <w:highlight w:val="none"/>
        </w:rPr>
        <w:t>结果整改。</w:t>
      </w:r>
    </w:p>
    <w:p w14:paraId="53A4A77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年度，县</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纪委</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未收到绩效目标核查、绩效重点监控和重点绩效评价等方面整改意见。</w:t>
      </w:r>
    </w:p>
    <w:p w14:paraId="412D0578">
      <w:pPr>
        <w:keepNext w:val="0"/>
        <w:keepLines w:val="0"/>
        <w:pageBreakBefore w:val="0"/>
        <w:numPr>
          <w:ilvl w:val="0"/>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eastAsia" w:ascii="方正仿宋简体" w:hAnsi="方正仿宋简体" w:eastAsia="方正仿宋简体" w:cs="方正仿宋简体"/>
          <w:color w:val="auto"/>
          <w:sz w:val="32"/>
          <w:szCs w:val="32"/>
          <w:highlight w:val="none"/>
        </w:rPr>
        <w:t>应用反馈。</w:t>
      </w:r>
    </w:p>
    <w:p w14:paraId="4145457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年度，</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县纪委</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已按照财政部门的要求，反馈了绩效结果应用方面的相关资料。</w:t>
      </w:r>
    </w:p>
    <w:p w14:paraId="132B32B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二级指标“整改反馈”指标分共计</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分，此项得分为</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w:t>
      </w:r>
    </w:p>
    <w:p w14:paraId="0BFE4BCB">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自评质量</w:t>
      </w:r>
    </w:p>
    <w:p w14:paraId="1757AA7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二级指标“自评质量”下设一个三级指标为：自评准确。</w:t>
      </w:r>
    </w:p>
    <w:p w14:paraId="4050DC1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县纪委</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年部门整体支出自评得分为</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8</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分（不含自评质量</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分）。评价工作组初步评分</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92</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 xml:space="preserve">分（不含自评质量 </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分），自评差异率</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42</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p>
    <w:p w14:paraId="4FED53A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二级指标“自评质量”指标分共计</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分，得分为</w:t>
      </w:r>
      <w:r>
        <w:rPr>
          <w:rFonts w:hint="default" w:ascii="Times New Roman" w:hAnsi="Times New Roman" w:eastAsia="方正仿宋简体" w:cs="Times New Roman"/>
          <w:color w:val="000000" w:themeColor="text1"/>
          <w:sz w:val="32"/>
          <w:szCs w:val="32"/>
          <w:highlight w:val="none"/>
          <w:lang w:val="fr-FR"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分。</w:t>
      </w:r>
    </w:p>
    <w:bookmarkEnd w:id="3"/>
    <w:p w14:paraId="6478B652">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15" w:name="_Toc14032"/>
      <w:bookmarkStart w:id="116" w:name="_Toc823448808"/>
      <w:bookmarkStart w:id="117" w:name="_Toc30515"/>
      <w:bookmarkStart w:id="118" w:name="_Toc248033833"/>
      <w:bookmarkStart w:id="119" w:name="_Toc15069"/>
      <w:bookmarkStart w:id="120" w:name="_Toc21218"/>
      <w:bookmarkStart w:id="121" w:name="_Toc4350"/>
      <w:bookmarkStart w:id="122" w:name="_Toc5060"/>
      <w:bookmarkStart w:id="123" w:name="_Toc28966"/>
      <w:bookmarkStart w:id="124" w:name="_Toc8336"/>
      <w:bookmarkStart w:id="125" w:name="_Toc19973"/>
      <w:r>
        <w:rPr>
          <w:rFonts w:hint="eastAsia" w:ascii="方正黑体简体" w:hAnsi="方正黑体简体" w:eastAsia="方正黑体简体" w:cs="方正黑体简体"/>
          <w:color w:val="000000"/>
          <w:kern w:val="0"/>
          <w:sz w:val="32"/>
          <w:szCs w:val="32"/>
          <w:highlight w:val="none"/>
          <w:shd w:val="clear" w:color="auto" w:fill="FFFFFF"/>
          <w:lang w:val="en-US" w:eastAsia="zh-CN"/>
        </w:rPr>
        <w:t>五</w:t>
      </w:r>
      <w:r>
        <w:rPr>
          <w:rFonts w:hint="eastAsia" w:ascii="方正黑体简体" w:hAnsi="方正黑体简体" w:eastAsia="方正黑体简体" w:cs="方正黑体简体"/>
          <w:color w:val="000000"/>
          <w:kern w:val="0"/>
          <w:sz w:val="32"/>
          <w:szCs w:val="32"/>
          <w:highlight w:val="none"/>
          <w:shd w:val="clear" w:color="auto" w:fill="FFFFFF"/>
        </w:rPr>
        <w:t>、存在的主要问题</w:t>
      </w:r>
      <w:bookmarkEnd w:id="115"/>
      <w:bookmarkEnd w:id="116"/>
      <w:bookmarkEnd w:id="117"/>
      <w:bookmarkEnd w:id="118"/>
      <w:bookmarkEnd w:id="119"/>
      <w:bookmarkEnd w:id="120"/>
      <w:bookmarkEnd w:id="121"/>
      <w:bookmarkEnd w:id="122"/>
      <w:bookmarkEnd w:id="123"/>
    </w:p>
    <w:p w14:paraId="338D0C5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26" w:name="_Toc8389"/>
      <w:bookmarkStart w:id="127" w:name="_Toc8770"/>
      <w:bookmarkStart w:id="128" w:name="_Toc3386"/>
      <w:bookmarkStart w:id="129" w:name="_Toc352795849"/>
      <w:bookmarkStart w:id="130" w:name="_Toc29510"/>
      <w:bookmarkStart w:id="131" w:name="_Toc9656"/>
      <w:bookmarkStart w:id="132" w:name="_Toc18981"/>
      <w:bookmarkStart w:id="133" w:name="_Toc20083"/>
      <w:r>
        <w:rPr>
          <w:rFonts w:hint="eastAsia" w:ascii="方正楷体简体" w:hAnsi="方正楷体简体" w:eastAsia="方正楷体简体" w:cs="方正楷体简体"/>
          <w:color w:val="000000"/>
          <w:kern w:val="0"/>
          <w:sz w:val="32"/>
          <w:szCs w:val="32"/>
          <w:highlight w:val="none"/>
          <w:shd w:val="clear" w:color="auto" w:fill="FFFFFF"/>
          <w:lang w:val="zh-CN"/>
        </w:rPr>
        <w:t>（一）</w:t>
      </w:r>
      <w:bookmarkEnd w:id="126"/>
      <w:bookmarkEnd w:id="127"/>
      <w:bookmarkEnd w:id="128"/>
      <w:bookmarkEnd w:id="129"/>
      <w:bookmarkEnd w:id="130"/>
      <w:bookmarkEnd w:id="131"/>
      <w:bookmarkStart w:id="134" w:name="_Toc771997543"/>
      <w:bookmarkStart w:id="135" w:name="_Toc464104487"/>
      <w:r>
        <w:rPr>
          <w:rFonts w:hint="eastAsia" w:ascii="方正楷体简体" w:hAnsi="方正楷体简体" w:eastAsia="方正楷体简体" w:cs="方正楷体简体"/>
          <w:color w:val="000000"/>
          <w:kern w:val="0"/>
          <w:sz w:val="32"/>
          <w:szCs w:val="32"/>
          <w:highlight w:val="none"/>
          <w:shd w:val="clear" w:color="auto" w:fill="FFFFFF"/>
          <w:lang w:val="en-US" w:eastAsia="zh-CN"/>
        </w:rPr>
        <w:t>预算编制不准确</w:t>
      </w:r>
      <w:bookmarkEnd w:id="132"/>
      <w:bookmarkEnd w:id="133"/>
    </w:p>
    <w:p w14:paraId="03DDC26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根据</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年部门预算、决算及“可执行指标执行情况表”，重点关注科目预决算偏差率＞</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科目有</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个，其中：公务接待费年初预算</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万元，年末决算</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万元，偏差率</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88</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；高海拔取暖费年初预算</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17</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万元，年末决算</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万元，偏差率</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88</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；培训费年初预算</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万元，年末决算</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万元，偏差率</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188</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07%</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；维修（护）费年初预算</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万元，年末决算</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06</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万元，偏差率</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p>
    <w:p w14:paraId="04520069">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
        </w:rPr>
      </w:pPr>
      <w:bookmarkStart w:id="136" w:name="_Toc30001"/>
      <w:bookmarkStart w:id="137" w:name="_Toc23760"/>
      <w:r>
        <w:rPr>
          <w:rFonts w:hint="eastAsia" w:ascii="方正楷体简体" w:hAnsi="方正楷体简体" w:eastAsia="方正楷体简体" w:cs="方正楷体简体"/>
          <w:color w:val="000000"/>
          <w:kern w:val="0"/>
          <w:sz w:val="32"/>
          <w:szCs w:val="32"/>
          <w:highlight w:val="none"/>
          <w:shd w:val="clear" w:fill="FFFFFF"/>
          <w:lang w:val="en-US" w:eastAsia="zh" w:bidi="ar-SA"/>
        </w:rPr>
        <w:t>（二）</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绩效目标编制不规范</w:t>
      </w:r>
      <w:bookmarkEnd w:id="136"/>
      <w:bookmarkEnd w:id="137"/>
    </w:p>
    <w:p w14:paraId="49F3F21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bookmarkStart w:id="138" w:name="_Toc15651"/>
      <w:bookmarkStart w:id="139" w:name="_Toc3240"/>
      <w:bookmarkStart w:id="140" w:name="_Toc31629"/>
      <w:bookmarkStart w:id="141" w:name="_Toc22968"/>
      <w:bookmarkStart w:id="142" w:name="_Toc10426"/>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根据县委在泸定县人民政府门户网站公开的</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度部门预算和绩效目标，制定了年度部门及项目整体支出绩效目标，绩效目标涵盖数量、质量、时效、效益等指标，但未编制可持续影响指标，指标编制不完整，且社会效益指标的三级指标设置为“明确责任、突出重点、完善制度，对强化政治监督、做实日常监督、提高人民群众幸福感、认同感”，指标值为“优良中差”，指标设置笼统、不规范</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p>
    <w:p w14:paraId="6C7F1241">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eastAsia="zh"/>
        </w:rPr>
      </w:pPr>
      <w:bookmarkStart w:id="143" w:name="_Toc21112"/>
      <w:bookmarkStart w:id="144" w:name="_Toc23478"/>
      <w:r>
        <w:rPr>
          <w:rFonts w:hint="eastAsia" w:ascii="方正楷体简体" w:hAnsi="方正楷体简体" w:eastAsia="方正楷体简体" w:cs="方正楷体简体"/>
          <w:color w:val="000000"/>
          <w:kern w:val="0"/>
          <w:sz w:val="32"/>
          <w:szCs w:val="32"/>
          <w:highlight w:val="none"/>
          <w:shd w:val="clear" w:fill="FFFFFF"/>
          <w:lang w:val="en-US" w:eastAsia="zh" w:bidi="ar-SA"/>
        </w:rPr>
        <w:t>（三）</w:t>
      </w:r>
      <w:r>
        <w:rPr>
          <w:rFonts w:hint="eastAsia" w:ascii="方正楷体简体" w:hAnsi="方正楷体简体" w:eastAsia="方正楷体简体" w:cs="方正楷体简体"/>
          <w:color w:val="000000"/>
          <w:kern w:val="0"/>
          <w:sz w:val="32"/>
          <w:szCs w:val="32"/>
          <w:highlight w:val="none"/>
          <w:shd w:val="clear" w:color="auto" w:fill="FFFFFF"/>
          <w:lang w:val="en-US" w:eastAsia="zh"/>
        </w:rPr>
        <w:t>项目自评质量</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不佳</w:t>
      </w:r>
      <w:bookmarkEnd w:id="143"/>
      <w:bookmarkEnd w:id="144"/>
    </w:p>
    <w:p w14:paraId="74760E5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根据县纪委提供“党风廉政建设文化宣传和警示教育工作经费”项目自评报告，项目效益自评仅对社会效益指标、服务对象满意度指标完成值进行描述，未根据项目具体情况，如项目功能实现、社会效益、运行保障效果等进行分析。</w:t>
      </w:r>
    </w:p>
    <w:p w14:paraId="3BC33EEB">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highlight w:val="none"/>
          <w:shd w:val="clear" w:fill="FFFFFF"/>
          <w:lang w:val="en-US" w:eastAsia="zh" w:bidi="ar-SA"/>
        </w:rPr>
      </w:pPr>
      <w:bookmarkStart w:id="145" w:name="_Toc4355"/>
      <w:bookmarkStart w:id="146" w:name="_Toc24012"/>
      <w:r>
        <w:rPr>
          <w:rFonts w:hint="eastAsia" w:ascii="方正楷体简体" w:hAnsi="方正楷体简体" w:eastAsia="方正楷体简体" w:cs="方正楷体简体"/>
          <w:color w:val="000000"/>
          <w:kern w:val="0"/>
          <w:sz w:val="32"/>
          <w:szCs w:val="32"/>
          <w:highlight w:val="none"/>
          <w:shd w:val="clear" w:fill="FFFFFF"/>
          <w:lang w:val="en-US" w:eastAsia="zh" w:bidi="ar-SA"/>
        </w:rPr>
        <w:t>（四）</w:t>
      </w:r>
      <w:r>
        <w:rPr>
          <w:rFonts w:hint="eastAsia" w:ascii="方正楷体简体" w:hAnsi="方正楷体简体" w:eastAsia="方正楷体简体" w:cs="方正楷体简体"/>
          <w:color w:val="000000"/>
          <w:kern w:val="0"/>
          <w:sz w:val="32"/>
          <w:szCs w:val="32"/>
          <w:highlight w:val="none"/>
          <w:shd w:val="clear" w:fill="FFFFFF"/>
          <w:lang w:val="en-US" w:eastAsia="zh-CN" w:bidi="ar-SA"/>
        </w:rPr>
        <w:t>财务审批不严谨</w:t>
      </w:r>
      <w:bookmarkEnd w:id="145"/>
      <w:bookmarkEnd w:id="146"/>
    </w:p>
    <w:p w14:paraId="01B6979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经检查发现，县纪委存在财务审批不严谨的情况，如：</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年</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月</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号凭证，支付审调加班工作餐费用</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16</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945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元，</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年</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月</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47</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号凭证，支付巡察工作加班餐</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941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元，报销加班餐费用，均无加班审批单。</w:t>
      </w:r>
    </w:p>
    <w:p w14:paraId="5B3D054E">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highlight w:val="none"/>
          <w:shd w:val="clear" w:fill="FFFFFF"/>
          <w:lang w:val="en-US" w:eastAsia="zh-CN" w:bidi="ar-SA"/>
        </w:rPr>
      </w:pPr>
      <w:bookmarkStart w:id="147" w:name="_Toc19269"/>
      <w:bookmarkStart w:id="148" w:name="_Toc5904"/>
      <w:r>
        <w:rPr>
          <w:rFonts w:hint="eastAsia" w:ascii="方正楷体简体" w:hAnsi="方正楷体简体" w:eastAsia="方正楷体简体" w:cs="方正楷体简体"/>
          <w:color w:val="000000"/>
          <w:kern w:val="0"/>
          <w:sz w:val="32"/>
          <w:szCs w:val="32"/>
          <w:highlight w:val="none"/>
          <w:shd w:val="clear" w:fill="FFFFFF"/>
          <w:lang w:val="en-US" w:eastAsia="zh-CN" w:bidi="ar-SA"/>
        </w:rPr>
        <w:t>（五）制度建设不完善</w:t>
      </w:r>
      <w:bookmarkEnd w:id="147"/>
      <w:bookmarkEnd w:id="148"/>
    </w:p>
    <w:p w14:paraId="60A6FEB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经现场了解以及抽查费用报销凭证，县纪委针对加班餐、误餐费以及个人电话费缴纳无明确的制度文件，费用报销依据以往期惯例标准执行，相关费用报销制度制定有待完善。</w:t>
      </w:r>
    </w:p>
    <w:p w14:paraId="4EFDC16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49" w:name="_Toc10670"/>
      <w:bookmarkStart w:id="150" w:name="_Toc7994"/>
      <w:r>
        <w:rPr>
          <w:rFonts w:hint="eastAsia" w:ascii="方正黑体简体" w:hAnsi="方正黑体简体" w:eastAsia="方正黑体简体" w:cs="方正黑体简体"/>
          <w:color w:val="000000"/>
          <w:kern w:val="0"/>
          <w:sz w:val="32"/>
          <w:szCs w:val="32"/>
          <w:highlight w:val="none"/>
          <w:shd w:val="clear" w:color="auto" w:fill="FFFFFF"/>
          <w:lang w:val="en-US" w:eastAsia="zh-CN"/>
        </w:rPr>
        <w:t>六</w:t>
      </w:r>
      <w:r>
        <w:rPr>
          <w:rFonts w:hint="eastAsia" w:ascii="方正黑体简体" w:hAnsi="方正黑体简体" w:eastAsia="方正黑体简体" w:cs="方正黑体简体"/>
          <w:color w:val="000000"/>
          <w:kern w:val="0"/>
          <w:sz w:val="32"/>
          <w:szCs w:val="32"/>
          <w:highlight w:val="none"/>
          <w:shd w:val="clear" w:color="auto" w:fill="FFFFFF"/>
        </w:rPr>
        <w:t>、相关措施建议</w:t>
      </w:r>
      <w:bookmarkEnd w:id="134"/>
      <w:bookmarkEnd w:id="135"/>
      <w:bookmarkEnd w:id="138"/>
      <w:bookmarkEnd w:id="139"/>
      <w:bookmarkEnd w:id="140"/>
      <w:bookmarkEnd w:id="141"/>
      <w:bookmarkEnd w:id="142"/>
      <w:bookmarkEnd w:id="149"/>
      <w:bookmarkEnd w:id="150"/>
    </w:p>
    <w:p w14:paraId="51A15295">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highlight w:val="none"/>
          <w:shd w:val="clear" w:fill="FFFFFF"/>
          <w:lang w:val="en-US" w:eastAsia="zh-CN" w:bidi="ar-SA"/>
        </w:rPr>
      </w:pPr>
      <w:bookmarkStart w:id="151" w:name="_Toc10202"/>
      <w:bookmarkStart w:id="152" w:name="_Toc25014"/>
      <w:bookmarkStart w:id="153" w:name="_Toc19941"/>
      <w:bookmarkStart w:id="154" w:name="_Toc19759"/>
      <w:bookmarkStart w:id="155" w:name="_Toc10383"/>
      <w:bookmarkStart w:id="156" w:name="_Toc21308"/>
      <w:bookmarkStart w:id="157" w:name="_Toc23140"/>
      <w:r>
        <w:rPr>
          <w:rFonts w:hint="eastAsia" w:ascii="方正楷体简体" w:hAnsi="方正楷体简体" w:eastAsia="方正楷体简体" w:cs="方正楷体简体"/>
          <w:color w:val="000000"/>
          <w:kern w:val="0"/>
          <w:sz w:val="32"/>
          <w:szCs w:val="32"/>
          <w:highlight w:val="none"/>
          <w:shd w:val="clear" w:fill="FFFFFF"/>
          <w:lang w:val="en-US" w:eastAsia="zh" w:bidi="ar-SA"/>
        </w:rPr>
        <w:t>（一）</w:t>
      </w:r>
      <w:bookmarkEnd w:id="151"/>
      <w:bookmarkEnd w:id="152"/>
      <w:bookmarkEnd w:id="153"/>
      <w:bookmarkEnd w:id="154"/>
      <w:bookmarkEnd w:id="155"/>
      <w:r>
        <w:rPr>
          <w:rFonts w:hint="eastAsia" w:ascii="方正楷体简体" w:hAnsi="方正楷体简体" w:eastAsia="方正楷体简体" w:cs="方正楷体简体"/>
          <w:color w:val="000000"/>
          <w:kern w:val="0"/>
          <w:sz w:val="32"/>
          <w:szCs w:val="32"/>
          <w:highlight w:val="none"/>
          <w:shd w:val="clear" w:fill="FFFFFF"/>
          <w:lang w:val="en-US" w:eastAsia="zh-CN" w:bidi="ar-SA"/>
        </w:rPr>
        <w:t>针对“</w:t>
      </w:r>
      <w:r>
        <w:rPr>
          <w:rFonts w:hint="eastAsia" w:ascii="方正楷体简体" w:hAnsi="方正楷体简体" w:eastAsia="方正楷体简体" w:cs="方正楷体简体"/>
          <w:color w:val="000000"/>
          <w:kern w:val="0"/>
          <w:sz w:val="32"/>
          <w:szCs w:val="32"/>
          <w:highlight w:val="none"/>
          <w:shd w:val="clear" w:fill="FFFFFF"/>
          <w:lang w:val="en-US" w:eastAsia="zh" w:bidi="ar-SA"/>
        </w:rPr>
        <w:t>预算编制不准确</w:t>
      </w:r>
      <w:r>
        <w:rPr>
          <w:rFonts w:hint="eastAsia" w:ascii="方正楷体简体" w:hAnsi="方正楷体简体" w:eastAsia="方正楷体简体" w:cs="方正楷体简体"/>
          <w:color w:val="000000"/>
          <w:kern w:val="0"/>
          <w:sz w:val="32"/>
          <w:szCs w:val="32"/>
          <w:highlight w:val="none"/>
          <w:shd w:val="clear" w:fill="FFFFFF"/>
          <w:lang w:val="en-US" w:eastAsia="zh-CN" w:bidi="ar-SA"/>
        </w:rPr>
        <w:t>”的建议</w:t>
      </w:r>
      <w:bookmarkEnd w:id="156"/>
      <w:bookmarkEnd w:id="157"/>
    </w:p>
    <w:p w14:paraId="68D67E5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bookmarkStart w:id="158" w:name="_Toc7397"/>
      <w:bookmarkStart w:id="159" w:name="_Toc22132"/>
      <w:bookmarkStart w:id="160" w:name="_Toc24455"/>
      <w:bookmarkStart w:id="161" w:name="_Toc31667"/>
      <w:bookmarkStart w:id="162" w:name="_Toc12805"/>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建议：县纪委一是加强部门前期各项费用预算测算，全面搜集对比往年费用支出数据，准确编制部门预算；二是可以采取“一校验、三比对、一复核”的方法，严把预算编制源头关，确保预算审核数据的客观公正。</w:t>
      </w:r>
    </w:p>
    <w:p w14:paraId="2DF82E7A">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highlight w:val="none"/>
          <w:shd w:val="clear" w:fill="FFFFFF"/>
          <w:lang w:val="en-US" w:eastAsia="zh-CN" w:bidi="ar-SA"/>
        </w:rPr>
      </w:pPr>
      <w:bookmarkStart w:id="163" w:name="_Toc16231"/>
      <w:bookmarkStart w:id="164" w:name="_Toc25377"/>
      <w:r>
        <w:rPr>
          <w:rFonts w:hint="eastAsia" w:ascii="方正楷体简体" w:hAnsi="方正楷体简体" w:eastAsia="方正楷体简体" w:cs="方正楷体简体"/>
          <w:color w:val="000000"/>
          <w:kern w:val="0"/>
          <w:sz w:val="32"/>
          <w:szCs w:val="32"/>
          <w:highlight w:val="none"/>
          <w:shd w:val="clear" w:fill="FFFFFF"/>
          <w:lang w:val="en-US" w:eastAsia="zh" w:bidi="ar-SA"/>
        </w:rPr>
        <w:t>（二）</w:t>
      </w:r>
      <w:bookmarkEnd w:id="158"/>
      <w:bookmarkEnd w:id="159"/>
      <w:bookmarkEnd w:id="160"/>
      <w:bookmarkEnd w:id="161"/>
      <w:bookmarkEnd w:id="162"/>
      <w:r>
        <w:rPr>
          <w:rFonts w:hint="eastAsia" w:ascii="方正楷体简体" w:hAnsi="方正楷体简体" w:eastAsia="方正楷体简体" w:cs="方正楷体简体"/>
          <w:color w:val="000000"/>
          <w:kern w:val="0"/>
          <w:sz w:val="32"/>
          <w:szCs w:val="32"/>
          <w:highlight w:val="none"/>
          <w:shd w:val="clear" w:fill="FFFFFF"/>
          <w:lang w:val="en-US" w:eastAsia="zh-CN" w:bidi="ar-SA"/>
        </w:rPr>
        <w:t>针对“</w:t>
      </w:r>
      <w:r>
        <w:rPr>
          <w:rFonts w:hint="eastAsia" w:ascii="方正楷体简体" w:hAnsi="方正楷体简体" w:eastAsia="方正楷体简体" w:cs="方正楷体简体"/>
          <w:color w:val="000000"/>
          <w:kern w:val="0"/>
          <w:sz w:val="32"/>
          <w:szCs w:val="32"/>
          <w:highlight w:val="none"/>
          <w:shd w:val="clear" w:fill="FFFFFF"/>
          <w:lang w:val="en-US" w:eastAsia="zh" w:bidi="ar-SA"/>
        </w:rPr>
        <w:t>绩效目标编制不规范</w:t>
      </w:r>
      <w:r>
        <w:rPr>
          <w:rFonts w:hint="eastAsia" w:ascii="方正楷体简体" w:hAnsi="方正楷体简体" w:eastAsia="方正楷体简体" w:cs="方正楷体简体"/>
          <w:color w:val="000000"/>
          <w:kern w:val="0"/>
          <w:sz w:val="32"/>
          <w:szCs w:val="32"/>
          <w:highlight w:val="none"/>
          <w:shd w:val="clear" w:fill="FFFFFF"/>
          <w:lang w:val="en-US" w:eastAsia="zh-CN" w:bidi="ar-SA"/>
        </w:rPr>
        <w:t>”的建议</w:t>
      </w:r>
      <w:bookmarkEnd w:id="163"/>
      <w:bookmarkEnd w:id="164"/>
    </w:p>
    <w:p w14:paraId="3BA8CC1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建议：县纪委一是落实绩效管理主体责任，扎实开展前期调研，收集项目相关数据，科学合理测算绩效目标；二是制定编制绩效目标工作流程，重点突出财务部门的审核责任，要求各业务部门在上报绩效目标时，需提供目标值测算依据。</w:t>
      </w:r>
    </w:p>
    <w:p w14:paraId="683905C6">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highlight w:val="none"/>
          <w:shd w:val="clear" w:fill="FFFFFF"/>
          <w:lang w:val="en-US" w:eastAsia="zh" w:bidi="ar-SA"/>
        </w:rPr>
      </w:pPr>
      <w:bookmarkStart w:id="165" w:name="_Toc22851"/>
      <w:bookmarkStart w:id="166" w:name="_Toc15417"/>
      <w:r>
        <w:rPr>
          <w:rFonts w:hint="eastAsia" w:ascii="方正楷体简体" w:hAnsi="方正楷体简体" w:eastAsia="方正楷体简体" w:cs="方正楷体简体"/>
          <w:color w:val="000000"/>
          <w:kern w:val="0"/>
          <w:sz w:val="32"/>
          <w:szCs w:val="32"/>
          <w:highlight w:val="none"/>
          <w:shd w:val="clear" w:fill="FFFFFF"/>
          <w:lang w:val="en-US" w:eastAsia="zh-CN" w:bidi="ar-SA"/>
        </w:rPr>
        <w:t>（三）针对“</w:t>
      </w:r>
      <w:r>
        <w:rPr>
          <w:rFonts w:hint="eastAsia" w:ascii="方正楷体简体" w:hAnsi="方正楷体简体" w:eastAsia="方正楷体简体" w:cs="方正楷体简体"/>
          <w:color w:val="000000"/>
          <w:kern w:val="0"/>
          <w:sz w:val="32"/>
          <w:szCs w:val="32"/>
          <w:highlight w:val="none"/>
          <w:shd w:val="clear" w:fill="FFFFFF"/>
          <w:lang w:val="en-US" w:eastAsia="zh" w:bidi="ar-SA"/>
        </w:rPr>
        <w:t>项目自评质量不佳</w:t>
      </w:r>
      <w:r>
        <w:rPr>
          <w:rFonts w:hint="eastAsia" w:ascii="方正楷体简体" w:hAnsi="方正楷体简体" w:eastAsia="方正楷体简体" w:cs="方正楷体简体"/>
          <w:color w:val="000000"/>
          <w:kern w:val="0"/>
          <w:sz w:val="32"/>
          <w:szCs w:val="32"/>
          <w:highlight w:val="none"/>
          <w:shd w:val="clear" w:fill="FFFFFF"/>
          <w:lang w:val="en-US" w:eastAsia="zh-CN" w:bidi="ar-SA"/>
        </w:rPr>
        <w:t>”的建议</w:t>
      </w:r>
      <w:bookmarkEnd w:id="165"/>
      <w:bookmarkEnd w:id="166"/>
    </w:p>
    <w:p w14:paraId="29469A9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建议：县纪委认真落实绩效管理主体责任，细化各项考核措施，严格执行岗位责任制，同时，逐步完善绩效自评及绩效复核的各个环节，切实提高绩效自评工作水平。</w:t>
      </w:r>
    </w:p>
    <w:p w14:paraId="16698C57">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highlight w:val="none"/>
          <w:shd w:val="clear" w:fill="FFFFFF"/>
          <w:lang w:val="en-US" w:eastAsia="zh-CN" w:bidi="ar-SA"/>
        </w:rPr>
      </w:pPr>
      <w:bookmarkStart w:id="167" w:name="_Toc19400"/>
      <w:bookmarkStart w:id="168" w:name="_Toc19251"/>
      <w:r>
        <w:rPr>
          <w:rFonts w:hint="eastAsia" w:ascii="方正楷体简体" w:hAnsi="方正楷体简体" w:eastAsia="方正楷体简体" w:cs="方正楷体简体"/>
          <w:color w:val="000000"/>
          <w:kern w:val="0"/>
          <w:sz w:val="32"/>
          <w:szCs w:val="32"/>
          <w:highlight w:val="none"/>
          <w:shd w:val="clear" w:fill="FFFFFF"/>
          <w:lang w:val="en-US" w:eastAsia="zh" w:bidi="ar-SA"/>
        </w:rPr>
        <w:t>（</w:t>
      </w:r>
      <w:r>
        <w:rPr>
          <w:rFonts w:hint="eastAsia" w:ascii="方正楷体简体" w:hAnsi="方正楷体简体" w:eastAsia="方正楷体简体" w:cs="方正楷体简体"/>
          <w:color w:val="000000"/>
          <w:kern w:val="0"/>
          <w:sz w:val="32"/>
          <w:szCs w:val="32"/>
          <w:highlight w:val="none"/>
          <w:shd w:val="clear" w:fill="FFFFFF"/>
          <w:lang w:val="en-US" w:eastAsia="zh-CN" w:bidi="ar-SA"/>
        </w:rPr>
        <w:t>四</w:t>
      </w:r>
      <w:r>
        <w:rPr>
          <w:rFonts w:hint="eastAsia" w:ascii="方正楷体简体" w:hAnsi="方正楷体简体" w:eastAsia="方正楷体简体" w:cs="方正楷体简体"/>
          <w:color w:val="000000"/>
          <w:kern w:val="0"/>
          <w:sz w:val="32"/>
          <w:szCs w:val="32"/>
          <w:highlight w:val="none"/>
          <w:shd w:val="clear" w:fill="FFFFFF"/>
          <w:lang w:val="en-US" w:eastAsia="zh" w:bidi="ar-SA"/>
        </w:rPr>
        <w:t>）</w:t>
      </w:r>
      <w:r>
        <w:rPr>
          <w:rFonts w:hint="eastAsia" w:ascii="方正楷体简体" w:hAnsi="方正楷体简体" w:eastAsia="方正楷体简体" w:cs="方正楷体简体"/>
          <w:color w:val="000000"/>
          <w:kern w:val="0"/>
          <w:sz w:val="32"/>
          <w:szCs w:val="32"/>
          <w:highlight w:val="none"/>
          <w:shd w:val="clear" w:fill="FFFFFF"/>
          <w:lang w:val="en-US" w:eastAsia="zh-CN" w:bidi="ar-SA"/>
        </w:rPr>
        <w:t>针对“</w:t>
      </w:r>
      <w:r>
        <w:rPr>
          <w:rFonts w:hint="eastAsia" w:ascii="方正楷体简体" w:hAnsi="方正楷体简体" w:eastAsia="方正楷体简体" w:cs="方正楷体简体"/>
          <w:color w:val="000000"/>
          <w:kern w:val="0"/>
          <w:sz w:val="32"/>
          <w:szCs w:val="32"/>
          <w:highlight w:val="none"/>
          <w:shd w:val="clear" w:fill="FFFFFF"/>
          <w:lang w:val="en-US" w:eastAsia="zh" w:bidi="ar-SA"/>
        </w:rPr>
        <w:t>财务审批不严谨</w:t>
      </w:r>
      <w:r>
        <w:rPr>
          <w:rFonts w:hint="eastAsia" w:ascii="方正楷体简体" w:hAnsi="方正楷体简体" w:eastAsia="方正楷体简体" w:cs="方正楷体简体"/>
          <w:color w:val="000000"/>
          <w:kern w:val="0"/>
          <w:sz w:val="32"/>
          <w:szCs w:val="32"/>
          <w:highlight w:val="none"/>
          <w:shd w:val="clear" w:fill="FFFFFF"/>
          <w:lang w:val="en-US" w:eastAsia="zh-CN" w:bidi="ar-SA"/>
        </w:rPr>
        <w:t>”的建议</w:t>
      </w:r>
      <w:bookmarkEnd w:id="167"/>
      <w:bookmarkEnd w:id="168"/>
    </w:p>
    <w:p w14:paraId="7DCAA2F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建议：县纪委一是加强财务人员培训力度，提高财务人员职业专业性，二是建议应进一步强化单位职能职责履行情况，对各项费用使用情况进行实时监管，做到资金使用合规、有效。</w:t>
      </w:r>
    </w:p>
    <w:p w14:paraId="54482668">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highlight w:val="none"/>
          <w:shd w:val="clear" w:fill="FFFFFF"/>
          <w:lang w:val="en-US" w:eastAsia="zh" w:bidi="ar-SA"/>
        </w:rPr>
      </w:pPr>
      <w:r>
        <w:rPr>
          <w:rFonts w:hint="eastAsia" w:ascii="方正楷体简体" w:hAnsi="方正楷体简体" w:eastAsia="方正楷体简体" w:cs="方正楷体简体"/>
          <w:color w:val="000000"/>
          <w:kern w:val="0"/>
          <w:sz w:val="32"/>
          <w:szCs w:val="32"/>
          <w:highlight w:val="none"/>
          <w:shd w:val="clear" w:fill="FFFFFF"/>
          <w:lang w:val="en-US" w:eastAsia="zh-CN" w:bidi="ar-SA"/>
        </w:rPr>
        <w:t>（五）针对“</w:t>
      </w:r>
      <w:r>
        <w:rPr>
          <w:rFonts w:hint="eastAsia" w:ascii="方正楷体简体" w:hAnsi="方正楷体简体" w:eastAsia="方正楷体简体" w:cs="方正楷体简体"/>
          <w:color w:val="000000"/>
          <w:kern w:val="0"/>
          <w:sz w:val="32"/>
          <w:szCs w:val="32"/>
          <w:highlight w:val="none"/>
          <w:shd w:val="clear" w:fill="FFFFFF"/>
          <w:lang w:val="en-US" w:eastAsia="zh" w:bidi="ar-SA"/>
        </w:rPr>
        <w:t>制度建设不完善</w:t>
      </w:r>
      <w:r>
        <w:rPr>
          <w:rFonts w:hint="eastAsia" w:ascii="方正楷体简体" w:hAnsi="方正楷体简体" w:eastAsia="方正楷体简体" w:cs="方正楷体简体"/>
          <w:color w:val="000000"/>
          <w:kern w:val="0"/>
          <w:sz w:val="32"/>
          <w:szCs w:val="32"/>
          <w:highlight w:val="none"/>
          <w:shd w:val="clear" w:fill="FFFFFF"/>
          <w:lang w:val="en-US" w:eastAsia="zh-CN" w:bidi="ar-SA"/>
        </w:rPr>
        <w:t>”的建议</w:t>
      </w:r>
    </w:p>
    <w:p w14:paraId="59827E6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建议：</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县纪委</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一是对现有各项管理制度进一步细化，</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责任</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落实</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人、加大费用监管力度</w:t>
      </w:r>
      <w:r>
        <w:rPr>
          <w:rFonts w:hint="eastAsia" w:ascii="方正仿宋简体" w:hAnsi="方正仿宋简体" w:eastAsia="方正仿宋简体" w:cs="方正仿宋简体"/>
          <w:color w:val="000000" w:themeColor="text1"/>
          <w:sz w:val="32"/>
          <w:szCs w:val="32"/>
          <w:highlight w:val="none"/>
          <w:lang w:val="fr-FR" w:eastAsia="zh-CN"/>
          <w14:textFill>
            <w14:solidFill>
              <w14:schemeClr w14:val="tx1"/>
            </w14:solidFill>
          </w14:textFill>
        </w:rPr>
        <w:t>；二是</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针对单位各项费用报销，建立具体的管理制度，明确费用报销范围及标准，费用报销有依有据，保障资金使用合规、有效。</w:t>
      </w:r>
    </w:p>
    <w:p w14:paraId="0EEEA32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sz w:val="32"/>
          <w:szCs w:val="32"/>
          <w:highlight w:val="none"/>
          <w:shd w:val="clear" w:color="auto" w:fill="FFFFFF"/>
        </w:rPr>
      </w:pPr>
    </w:p>
    <w:p w14:paraId="41CD81EA">
      <w:pPr>
        <w:keepNext w:val="0"/>
        <w:keepLines w:val="0"/>
        <w:pageBreakBefore w:val="0"/>
        <w:kinsoku/>
        <w:wordWrap/>
        <w:overflowPunct/>
        <w:topLinePunct w:val="0"/>
        <w:autoSpaceDE/>
        <w:autoSpaceDN/>
        <w:bidi w:val="0"/>
        <w:spacing w:line="600" w:lineRule="exact"/>
        <w:ind w:left="1598" w:leftChars="228" w:hanging="960" w:hangingChars="300"/>
        <w:rPr>
          <w:rFonts w:hint="eastAsia" w:ascii="方正仿宋简体" w:hAnsi="方正仿宋简体" w:eastAsia="方正仿宋简体" w:cs="方正仿宋简体"/>
          <w:color w:val="000000"/>
          <w:sz w:val="32"/>
          <w:szCs w:val="32"/>
          <w:highlight w:val="none"/>
          <w:shd w:val="clear" w:color="auto" w:fill="FFFFFF"/>
          <w:lang w:eastAsia="zh-CN"/>
        </w:rPr>
      </w:pPr>
      <w:r>
        <w:rPr>
          <w:rFonts w:hint="eastAsia" w:ascii="方正仿宋简体" w:hAnsi="方正仿宋简体" w:eastAsia="方正仿宋简体" w:cs="方正仿宋简体"/>
          <w:color w:val="000000"/>
          <w:sz w:val="32"/>
          <w:szCs w:val="32"/>
          <w:highlight w:val="none"/>
          <w:shd w:val="clear" w:color="auto" w:fill="FFFFFF"/>
        </w:rPr>
        <w:t>附件</w:t>
      </w:r>
      <w:bookmarkEnd w:id="124"/>
      <w:bookmarkEnd w:id="125"/>
      <w:r>
        <w:rPr>
          <w:rFonts w:hint="eastAsia" w:ascii="方正仿宋简体" w:hAnsi="方正仿宋简体" w:eastAsia="方正仿宋简体" w:cs="方正仿宋简体"/>
          <w:color w:val="000000"/>
          <w:sz w:val="32"/>
          <w:szCs w:val="32"/>
          <w:highlight w:val="none"/>
          <w:shd w:val="clear" w:color="auto" w:fill="FFFFFF"/>
          <w:lang w:eastAsia="zh"/>
        </w:rPr>
        <w:t>：</w:t>
      </w:r>
      <w:r>
        <w:rPr>
          <w:rFonts w:hint="eastAsia" w:ascii="方正仿宋简体" w:hAnsi="方正仿宋简体" w:eastAsia="方正仿宋简体" w:cs="方正仿宋简体"/>
          <w:color w:val="000000"/>
          <w:sz w:val="32"/>
          <w:szCs w:val="32"/>
          <w:highlight w:val="none"/>
          <w:shd w:val="clear" w:color="auto" w:fill="FFFFFF"/>
          <w:lang w:eastAsia="zh-CN"/>
        </w:rPr>
        <w:t>中国共产党泸定县纪律检查委员会部</w:t>
      </w:r>
      <w:r>
        <w:rPr>
          <w:rFonts w:hint="eastAsia" w:ascii="方正仿宋简体" w:hAnsi="方正仿宋简体" w:eastAsia="方正仿宋简体" w:cs="方正仿宋简体"/>
          <w:color w:val="000000"/>
          <w:sz w:val="32"/>
          <w:szCs w:val="32"/>
          <w:highlight w:val="none"/>
          <w:shd w:val="clear" w:color="auto" w:fill="FFFFFF"/>
          <w:lang w:val="en-US" w:eastAsia="zh-CN"/>
        </w:rPr>
        <w:t xml:space="preserve"> </w:t>
      </w:r>
      <w:r>
        <w:rPr>
          <w:rFonts w:hint="eastAsia" w:ascii="方正仿宋简体" w:hAnsi="方正仿宋简体" w:eastAsia="方正仿宋简体" w:cs="方正仿宋简体"/>
          <w:color w:val="000000"/>
          <w:sz w:val="32"/>
          <w:szCs w:val="32"/>
          <w:highlight w:val="none"/>
          <w:shd w:val="clear" w:color="auto" w:fill="FFFFFF"/>
          <w:lang w:eastAsia="zh-CN"/>
        </w:rPr>
        <w:t>门整体支出绩效评价指标体系表（评分表）</w:t>
      </w:r>
    </w:p>
    <w:p w14:paraId="31967C81">
      <w:pPr>
        <w:pStyle w:val="2"/>
        <w:rPr>
          <w:rFonts w:hint="eastAsia" w:ascii="方正仿宋简体" w:hAnsi="方正仿宋简体" w:eastAsia="方正仿宋简体" w:cs="方正仿宋简体"/>
          <w:color w:val="000000"/>
          <w:sz w:val="32"/>
          <w:szCs w:val="32"/>
          <w:highlight w:val="none"/>
          <w:shd w:val="clear" w:color="auto" w:fill="FFFFFF"/>
          <w:lang w:eastAsia="zh-CN"/>
        </w:rPr>
      </w:pPr>
    </w:p>
    <w:p w14:paraId="5015D694">
      <w:pPr>
        <w:rPr>
          <w:rFonts w:hint="eastAsia" w:ascii="方正仿宋简体" w:hAnsi="方正仿宋简体" w:eastAsia="方正仿宋简体" w:cs="方正仿宋简体"/>
          <w:color w:val="000000"/>
          <w:sz w:val="32"/>
          <w:szCs w:val="32"/>
          <w:highlight w:val="none"/>
          <w:shd w:val="clear" w:color="auto" w:fill="FFFFFF"/>
          <w:lang w:eastAsia="zh-CN"/>
        </w:rPr>
      </w:pPr>
    </w:p>
    <w:p w14:paraId="1A45CB96">
      <w:pPr>
        <w:pStyle w:val="2"/>
        <w:rPr>
          <w:rFonts w:hint="eastAsia"/>
          <w:highlight w:val="none"/>
          <w:lang w:eastAsia="zh"/>
        </w:rPr>
      </w:pPr>
    </w:p>
    <w:p w14:paraId="379022D8">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bookmarkStart w:id="169" w:name="_GoBack"/>
      <w:bookmarkEnd w:id="169"/>
      <w:r>
        <w:rPr>
          <w:rFonts w:hint="eastAsia" w:ascii="方正仿宋简体" w:hAnsi="方正仿宋简体" w:eastAsia="方正仿宋简体" w:cs="方正仿宋简体"/>
          <w:b w:val="0"/>
          <w:bCs w:val="0"/>
          <w:sz w:val="32"/>
          <w:szCs w:val="32"/>
          <w:highlight w:val="none"/>
          <w:lang w:eastAsia="zh-CN"/>
        </w:rPr>
        <w:t>　</w:t>
      </w:r>
    </w:p>
    <w:p w14:paraId="5F2406B8">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46D1706B">
      <w:pPr>
        <w:pStyle w:val="2"/>
        <w:keepNext w:val="0"/>
        <w:keepLines w:val="0"/>
        <w:pageBreakBefore w:val="0"/>
        <w:kinsoku/>
        <w:wordWrap/>
        <w:overflowPunct/>
        <w:topLinePunct w:val="0"/>
        <w:autoSpaceDE/>
        <w:autoSpaceDN/>
        <w:bidi w:val="0"/>
        <w:spacing w:after="0" w:line="600" w:lineRule="exact"/>
        <w:ind w:left="0" w:firstLine="560"/>
        <w:jc w:val="right"/>
        <w:rPr>
          <w:rFonts w:hint="eastAsia" w:ascii="方正仿宋简体" w:hAnsi="方正仿宋简体" w:eastAsia="方正仿宋简体" w:cs="方正仿宋简体"/>
          <w:sz w:val="32"/>
          <w:szCs w:val="32"/>
          <w:highlight w:val="none"/>
          <w:lang w:val="en-US" w:eastAsia="zh"/>
        </w:rPr>
      </w:pPr>
    </w:p>
    <w:sectPr>
      <w:headerReference r:id="rId5" w:type="default"/>
      <w:footerReference r:id="rId6" w:type="default"/>
      <w:pgSz w:w="11906" w:h="16838"/>
      <w:pgMar w:top="2098" w:right="1531" w:bottom="1871" w:left="1531" w:header="850" w:footer="992" w:gutter="0"/>
      <w:pgNumType w:fmt="decimal"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简体">
    <w:panose1 w:val="03000509000000000000"/>
    <w:charset w:val="86"/>
    <w:family w:val="auto"/>
    <w:pitch w:val="default"/>
    <w:sig w:usb0="00000001" w:usb1="080E0000" w:usb2="00000000" w:usb3="00000000" w:csb0="00040000" w:csb1="00000000"/>
    <w:embedRegular r:id="rId1" w:fontKey="{9145E1DA-4947-4230-B863-C778C21812E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黑体简体">
    <w:panose1 w:val="03000509000000000000"/>
    <w:charset w:val="86"/>
    <w:family w:val="auto"/>
    <w:pitch w:val="default"/>
    <w:sig w:usb0="00000001" w:usb1="080E0000" w:usb2="00000000" w:usb3="00000000" w:csb0="00040000" w:csb1="00000000"/>
    <w:embedRegular r:id="rId2" w:fontKey="{0279A276-4B4E-4F81-B47B-200BF82B2C24}"/>
  </w:font>
  <w:font w:name="方正小标宋简体">
    <w:panose1 w:val="03000509000000000000"/>
    <w:charset w:val="86"/>
    <w:family w:val="auto"/>
    <w:pitch w:val="default"/>
    <w:sig w:usb0="00000001" w:usb1="080E0000" w:usb2="00000000" w:usb3="00000000" w:csb0="00040000" w:csb1="00000000"/>
    <w:embedRegular r:id="rId3" w:fontKey="{7C9E552D-C0D0-4134-B27C-5201144B441E}"/>
  </w:font>
  <w:font w:name="方正楷体简体">
    <w:panose1 w:val="02000000000000000000"/>
    <w:charset w:val="86"/>
    <w:family w:val="auto"/>
    <w:pitch w:val="default"/>
    <w:sig w:usb0="00000001" w:usb1="080E0000" w:usb2="00000000" w:usb3="00000000" w:csb0="00040000" w:csb1="00000000"/>
    <w:embedRegular r:id="rId4" w:fontKey="{E4A49E5B-CC94-4301-8800-66F80AB774D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0"/>
      <w:ind w:firstLine="0" w:firstLineChars="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0"/>
                            <w:ind w:firstLine="36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0"/>
                      <w:ind w:firstLine="36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6770E4"/>
    <w:multiLevelType w:val="singleLevel"/>
    <w:tmpl w:val="C16770E4"/>
    <w:lvl w:ilvl="0" w:tentative="0">
      <w:start w:val="3"/>
      <w:numFmt w:val="decimal"/>
      <w:suff w:val="nothing"/>
      <w:lvlText w:val="%1."/>
      <w:lvlJc w:val="left"/>
      <w:pPr>
        <w:ind w:left="0" w:firstLine="567"/>
      </w:pPr>
      <w:rPr>
        <w:rFonts w:hint="default" w:ascii="Times New Roman" w:hAnsi="Times New Roman" w:cs="Times New Roman"/>
        <w:sz w:val="32"/>
        <w:szCs w:val="32"/>
      </w:r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34459D"/>
    <w:rsid w:val="015B3238"/>
    <w:rsid w:val="0174274A"/>
    <w:rsid w:val="01AE1362"/>
    <w:rsid w:val="01C315F7"/>
    <w:rsid w:val="0209008E"/>
    <w:rsid w:val="0221101D"/>
    <w:rsid w:val="028212C5"/>
    <w:rsid w:val="02B56978"/>
    <w:rsid w:val="031D77B8"/>
    <w:rsid w:val="033E3204"/>
    <w:rsid w:val="034B0AC6"/>
    <w:rsid w:val="03BD26AA"/>
    <w:rsid w:val="03C46413"/>
    <w:rsid w:val="03F043C9"/>
    <w:rsid w:val="03F5560D"/>
    <w:rsid w:val="05370DC3"/>
    <w:rsid w:val="05704583"/>
    <w:rsid w:val="05AE5131"/>
    <w:rsid w:val="06DF5D71"/>
    <w:rsid w:val="06E2185D"/>
    <w:rsid w:val="07214D46"/>
    <w:rsid w:val="074574B7"/>
    <w:rsid w:val="077F711D"/>
    <w:rsid w:val="0815093A"/>
    <w:rsid w:val="08280844"/>
    <w:rsid w:val="08321414"/>
    <w:rsid w:val="08CA0DBA"/>
    <w:rsid w:val="08E43B13"/>
    <w:rsid w:val="09FB55B8"/>
    <w:rsid w:val="0AA10A64"/>
    <w:rsid w:val="0AAA2B3A"/>
    <w:rsid w:val="0B531799"/>
    <w:rsid w:val="0BD10723"/>
    <w:rsid w:val="0C82214A"/>
    <w:rsid w:val="0CC90B55"/>
    <w:rsid w:val="0D4639D6"/>
    <w:rsid w:val="0D7C008D"/>
    <w:rsid w:val="0DA06897"/>
    <w:rsid w:val="0DF462ED"/>
    <w:rsid w:val="0DF90060"/>
    <w:rsid w:val="0E19564B"/>
    <w:rsid w:val="0E522B49"/>
    <w:rsid w:val="0E5E23AA"/>
    <w:rsid w:val="0E6050D4"/>
    <w:rsid w:val="0E7F3C56"/>
    <w:rsid w:val="0EE4486D"/>
    <w:rsid w:val="0EF40828"/>
    <w:rsid w:val="0EF610D2"/>
    <w:rsid w:val="0EF97BEC"/>
    <w:rsid w:val="0F207817"/>
    <w:rsid w:val="0F24115F"/>
    <w:rsid w:val="0F7D48CD"/>
    <w:rsid w:val="0F895427"/>
    <w:rsid w:val="0FA36556"/>
    <w:rsid w:val="10607EBA"/>
    <w:rsid w:val="10A609B0"/>
    <w:rsid w:val="10C177C0"/>
    <w:rsid w:val="10FB12CE"/>
    <w:rsid w:val="11034D52"/>
    <w:rsid w:val="11641A35"/>
    <w:rsid w:val="11A54F88"/>
    <w:rsid w:val="11D26AC6"/>
    <w:rsid w:val="1256364C"/>
    <w:rsid w:val="12823991"/>
    <w:rsid w:val="12F71BB3"/>
    <w:rsid w:val="13445E84"/>
    <w:rsid w:val="13463C67"/>
    <w:rsid w:val="134E407D"/>
    <w:rsid w:val="136916A0"/>
    <w:rsid w:val="13D1738A"/>
    <w:rsid w:val="144B4CE8"/>
    <w:rsid w:val="14827494"/>
    <w:rsid w:val="14DA48CB"/>
    <w:rsid w:val="155B04E5"/>
    <w:rsid w:val="15762967"/>
    <w:rsid w:val="15C0420D"/>
    <w:rsid w:val="16310CFC"/>
    <w:rsid w:val="16521418"/>
    <w:rsid w:val="167B192A"/>
    <w:rsid w:val="16BA737C"/>
    <w:rsid w:val="17404D18"/>
    <w:rsid w:val="178D5376"/>
    <w:rsid w:val="179E79D9"/>
    <w:rsid w:val="17FD7EEE"/>
    <w:rsid w:val="180A196B"/>
    <w:rsid w:val="181B0371"/>
    <w:rsid w:val="186A5A33"/>
    <w:rsid w:val="18A93AFC"/>
    <w:rsid w:val="18DA3FE0"/>
    <w:rsid w:val="18DD5A8A"/>
    <w:rsid w:val="195A2D50"/>
    <w:rsid w:val="196B6F54"/>
    <w:rsid w:val="19CD71FA"/>
    <w:rsid w:val="19E605C7"/>
    <w:rsid w:val="1A31609C"/>
    <w:rsid w:val="1A48253C"/>
    <w:rsid w:val="1A6B4094"/>
    <w:rsid w:val="1A94413A"/>
    <w:rsid w:val="1AF776D6"/>
    <w:rsid w:val="1B0B2AA5"/>
    <w:rsid w:val="1BDF6BC8"/>
    <w:rsid w:val="1C2C3D72"/>
    <w:rsid w:val="1C535707"/>
    <w:rsid w:val="1C557412"/>
    <w:rsid w:val="1C580E62"/>
    <w:rsid w:val="1C975E00"/>
    <w:rsid w:val="1CA92C52"/>
    <w:rsid w:val="1D046172"/>
    <w:rsid w:val="1D4F18C5"/>
    <w:rsid w:val="1D9A1CE4"/>
    <w:rsid w:val="1DCA10D2"/>
    <w:rsid w:val="1DD67D6F"/>
    <w:rsid w:val="1E3A2659"/>
    <w:rsid w:val="1EAE454F"/>
    <w:rsid w:val="1ED16069"/>
    <w:rsid w:val="1ED24185"/>
    <w:rsid w:val="1ED35C04"/>
    <w:rsid w:val="1ED903FD"/>
    <w:rsid w:val="1EE16233"/>
    <w:rsid w:val="1EFB57A6"/>
    <w:rsid w:val="1F406C39"/>
    <w:rsid w:val="1FD20322"/>
    <w:rsid w:val="1FE92B41"/>
    <w:rsid w:val="1FFEDEEE"/>
    <w:rsid w:val="201E1FEE"/>
    <w:rsid w:val="202E7632"/>
    <w:rsid w:val="20533B33"/>
    <w:rsid w:val="207456E4"/>
    <w:rsid w:val="20CB7E98"/>
    <w:rsid w:val="218C669E"/>
    <w:rsid w:val="21A12149"/>
    <w:rsid w:val="21CC56B8"/>
    <w:rsid w:val="21F711A6"/>
    <w:rsid w:val="221D114C"/>
    <w:rsid w:val="22460F43"/>
    <w:rsid w:val="22612BC4"/>
    <w:rsid w:val="2297354C"/>
    <w:rsid w:val="22F7E8FF"/>
    <w:rsid w:val="23120758"/>
    <w:rsid w:val="234C0C7F"/>
    <w:rsid w:val="23F46FD7"/>
    <w:rsid w:val="24283899"/>
    <w:rsid w:val="24436E8F"/>
    <w:rsid w:val="248C4080"/>
    <w:rsid w:val="24C04FDC"/>
    <w:rsid w:val="24C542BE"/>
    <w:rsid w:val="259C15A5"/>
    <w:rsid w:val="25F533FB"/>
    <w:rsid w:val="25FC3DF2"/>
    <w:rsid w:val="26331263"/>
    <w:rsid w:val="263F3713"/>
    <w:rsid w:val="265058AE"/>
    <w:rsid w:val="265F3B15"/>
    <w:rsid w:val="269C2300"/>
    <w:rsid w:val="271534C4"/>
    <w:rsid w:val="271E56C4"/>
    <w:rsid w:val="27391076"/>
    <w:rsid w:val="273B0505"/>
    <w:rsid w:val="277338DD"/>
    <w:rsid w:val="27F31AB9"/>
    <w:rsid w:val="27F60C89"/>
    <w:rsid w:val="27FFC5C7"/>
    <w:rsid w:val="282B56B9"/>
    <w:rsid w:val="28371A2F"/>
    <w:rsid w:val="284452E7"/>
    <w:rsid w:val="28757938"/>
    <w:rsid w:val="28950ECF"/>
    <w:rsid w:val="291B3F45"/>
    <w:rsid w:val="293D6BFB"/>
    <w:rsid w:val="294B0B24"/>
    <w:rsid w:val="29581F66"/>
    <w:rsid w:val="29942B89"/>
    <w:rsid w:val="2A0E67EA"/>
    <w:rsid w:val="2A14341E"/>
    <w:rsid w:val="2A257690"/>
    <w:rsid w:val="2A7E4A27"/>
    <w:rsid w:val="2A817549"/>
    <w:rsid w:val="2ADB2B70"/>
    <w:rsid w:val="2B000701"/>
    <w:rsid w:val="2B625A5F"/>
    <w:rsid w:val="2B6761B2"/>
    <w:rsid w:val="2BBE5215"/>
    <w:rsid w:val="2BD70482"/>
    <w:rsid w:val="2BE23A8A"/>
    <w:rsid w:val="2C2F0835"/>
    <w:rsid w:val="2CBB4441"/>
    <w:rsid w:val="2CC80ED2"/>
    <w:rsid w:val="2CD1263C"/>
    <w:rsid w:val="2CF37A27"/>
    <w:rsid w:val="2CF74E38"/>
    <w:rsid w:val="2D241E80"/>
    <w:rsid w:val="2D324D1A"/>
    <w:rsid w:val="2D525A3B"/>
    <w:rsid w:val="2D6319D3"/>
    <w:rsid w:val="2DE812E1"/>
    <w:rsid w:val="2E750BE6"/>
    <w:rsid w:val="2E7B50BC"/>
    <w:rsid w:val="2EAE40F8"/>
    <w:rsid w:val="2ED1320F"/>
    <w:rsid w:val="2F040BD9"/>
    <w:rsid w:val="2F3274A5"/>
    <w:rsid w:val="2FBBA5AB"/>
    <w:rsid w:val="2FEF2A5C"/>
    <w:rsid w:val="3052247A"/>
    <w:rsid w:val="3090670D"/>
    <w:rsid w:val="312B48AF"/>
    <w:rsid w:val="31CB478D"/>
    <w:rsid w:val="32A47AB4"/>
    <w:rsid w:val="32CB27BC"/>
    <w:rsid w:val="33105381"/>
    <w:rsid w:val="336B6A5B"/>
    <w:rsid w:val="337B49B9"/>
    <w:rsid w:val="33EB569F"/>
    <w:rsid w:val="33FA0C54"/>
    <w:rsid w:val="34113BD6"/>
    <w:rsid w:val="34140406"/>
    <w:rsid w:val="342C7375"/>
    <w:rsid w:val="34B42BB5"/>
    <w:rsid w:val="34C73C1C"/>
    <w:rsid w:val="350D6544"/>
    <w:rsid w:val="36001598"/>
    <w:rsid w:val="360308FA"/>
    <w:rsid w:val="36870F62"/>
    <w:rsid w:val="369B1CB2"/>
    <w:rsid w:val="36BF54EC"/>
    <w:rsid w:val="36C17759"/>
    <w:rsid w:val="36DC449D"/>
    <w:rsid w:val="36F56951"/>
    <w:rsid w:val="37E36263"/>
    <w:rsid w:val="37EE368E"/>
    <w:rsid w:val="38C96200"/>
    <w:rsid w:val="38D85C62"/>
    <w:rsid w:val="390E6F8C"/>
    <w:rsid w:val="39131F2C"/>
    <w:rsid w:val="39374DDA"/>
    <w:rsid w:val="393C614A"/>
    <w:rsid w:val="39411EEC"/>
    <w:rsid w:val="39935632"/>
    <w:rsid w:val="3A3949DD"/>
    <w:rsid w:val="3A4A7C37"/>
    <w:rsid w:val="3A7649A2"/>
    <w:rsid w:val="3A81279A"/>
    <w:rsid w:val="3AE5274E"/>
    <w:rsid w:val="3B072D35"/>
    <w:rsid w:val="3B3301C2"/>
    <w:rsid w:val="3B626037"/>
    <w:rsid w:val="3BD70C1C"/>
    <w:rsid w:val="3C4B567C"/>
    <w:rsid w:val="3C837FE5"/>
    <w:rsid w:val="3CB15DE8"/>
    <w:rsid w:val="3D1F22E5"/>
    <w:rsid w:val="3D3960CA"/>
    <w:rsid w:val="3D997564"/>
    <w:rsid w:val="3DB744C0"/>
    <w:rsid w:val="3DFC2E05"/>
    <w:rsid w:val="3E432DCF"/>
    <w:rsid w:val="3E8E1632"/>
    <w:rsid w:val="3F5605BF"/>
    <w:rsid w:val="3F7B5870"/>
    <w:rsid w:val="3FAD280D"/>
    <w:rsid w:val="3FAFC9F3"/>
    <w:rsid w:val="3FBD0AA0"/>
    <w:rsid w:val="3FBFE8A3"/>
    <w:rsid w:val="3FBFF11E"/>
    <w:rsid w:val="3FC78042"/>
    <w:rsid w:val="3FCF6EEE"/>
    <w:rsid w:val="3FFA9567"/>
    <w:rsid w:val="3FFBC9EC"/>
    <w:rsid w:val="3FFFEA14"/>
    <w:rsid w:val="400D7690"/>
    <w:rsid w:val="4069560F"/>
    <w:rsid w:val="412070D7"/>
    <w:rsid w:val="41DC7289"/>
    <w:rsid w:val="41FD2ABB"/>
    <w:rsid w:val="421C165C"/>
    <w:rsid w:val="428B71EF"/>
    <w:rsid w:val="42A2347D"/>
    <w:rsid w:val="43251644"/>
    <w:rsid w:val="433E3BCB"/>
    <w:rsid w:val="43802285"/>
    <w:rsid w:val="43A7F1A6"/>
    <w:rsid w:val="43D2284D"/>
    <w:rsid w:val="43ED42A2"/>
    <w:rsid w:val="44865DC2"/>
    <w:rsid w:val="44986F84"/>
    <w:rsid w:val="44A86EA6"/>
    <w:rsid w:val="44B03869"/>
    <w:rsid w:val="44FE2B7A"/>
    <w:rsid w:val="45221C05"/>
    <w:rsid w:val="455812EC"/>
    <w:rsid w:val="456B6447"/>
    <w:rsid w:val="456F5F37"/>
    <w:rsid w:val="45761D23"/>
    <w:rsid w:val="4593493B"/>
    <w:rsid w:val="459B16D3"/>
    <w:rsid w:val="459E4A6E"/>
    <w:rsid w:val="45F31D67"/>
    <w:rsid w:val="45FF29D4"/>
    <w:rsid w:val="462A15BD"/>
    <w:rsid w:val="4633306D"/>
    <w:rsid w:val="463C2279"/>
    <w:rsid w:val="46625636"/>
    <w:rsid w:val="46671304"/>
    <w:rsid w:val="46E2098A"/>
    <w:rsid w:val="4712301E"/>
    <w:rsid w:val="47970F04"/>
    <w:rsid w:val="48723B26"/>
    <w:rsid w:val="48D56225"/>
    <w:rsid w:val="49D23684"/>
    <w:rsid w:val="49F243D5"/>
    <w:rsid w:val="4A3F0AC3"/>
    <w:rsid w:val="4AFA2C7B"/>
    <w:rsid w:val="4B0435C5"/>
    <w:rsid w:val="4B58271A"/>
    <w:rsid w:val="4B6B11A9"/>
    <w:rsid w:val="4B9C6B82"/>
    <w:rsid w:val="4BC114B6"/>
    <w:rsid w:val="4BDE4024"/>
    <w:rsid w:val="4C1635B0"/>
    <w:rsid w:val="4C907F6D"/>
    <w:rsid w:val="4CAE35BE"/>
    <w:rsid w:val="4CEE0089"/>
    <w:rsid w:val="4CFC2039"/>
    <w:rsid w:val="4D6E449B"/>
    <w:rsid w:val="4F0A34DF"/>
    <w:rsid w:val="4F5F5C7E"/>
    <w:rsid w:val="4F7241B1"/>
    <w:rsid w:val="4F781BC9"/>
    <w:rsid w:val="4FCD04DF"/>
    <w:rsid w:val="4FF7181A"/>
    <w:rsid w:val="4FFE309A"/>
    <w:rsid w:val="505568AE"/>
    <w:rsid w:val="507D0BBC"/>
    <w:rsid w:val="507E6B2A"/>
    <w:rsid w:val="51290B58"/>
    <w:rsid w:val="51381763"/>
    <w:rsid w:val="51960840"/>
    <w:rsid w:val="51CB2747"/>
    <w:rsid w:val="51E2208C"/>
    <w:rsid w:val="52265F38"/>
    <w:rsid w:val="52EF2BDF"/>
    <w:rsid w:val="535B753F"/>
    <w:rsid w:val="543748C0"/>
    <w:rsid w:val="54B716A8"/>
    <w:rsid w:val="55430E1B"/>
    <w:rsid w:val="55516FE9"/>
    <w:rsid w:val="55681707"/>
    <w:rsid w:val="55AC2CD2"/>
    <w:rsid w:val="55B812E3"/>
    <w:rsid w:val="55D82153"/>
    <w:rsid w:val="561A2F05"/>
    <w:rsid w:val="56A7003A"/>
    <w:rsid w:val="575D29C4"/>
    <w:rsid w:val="577B4EF8"/>
    <w:rsid w:val="57950BEC"/>
    <w:rsid w:val="579A41D9"/>
    <w:rsid w:val="57BD01C5"/>
    <w:rsid w:val="57BE73BD"/>
    <w:rsid w:val="57C56C55"/>
    <w:rsid w:val="57E13BCA"/>
    <w:rsid w:val="57EAF5E5"/>
    <w:rsid w:val="58334AD1"/>
    <w:rsid w:val="5864421C"/>
    <w:rsid w:val="5901172B"/>
    <w:rsid w:val="59561F19"/>
    <w:rsid w:val="596B1981"/>
    <w:rsid w:val="59821BED"/>
    <w:rsid w:val="59CF4D9E"/>
    <w:rsid w:val="5A202CD9"/>
    <w:rsid w:val="5A3355F2"/>
    <w:rsid w:val="5AB4383C"/>
    <w:rsid w:val="5AED719F"/>
    <w:rsid w:val="5B0A7A07"/>
    <w:rsid w:val="5B1433B1"/>
    <w:rsid w:val="5B353327"/>
    <w:rsid w:val="5B3C271A"/>
    <w:rsid w:val="5B3F384B"/>
    <w:rsid w:val="5B5F5E1B"/>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7C5B9B"/>
    <w:rsid w:val="5EB1D3F4"/>
    <w:rsid w:val="5EDB5F93"/>
    <w:rsid w:val="5F246AEA"/>
    <w:rsid w:val="5F3B183F"/>
    <w:rsid w:val="5F562031"/>
    <w:rsid w:val="5F774ACC"/>
    <w:rsid w:val="5F9C373E"/>
    <w:rsid w:val="5FBF7263"/>
    <w:rsid w:val="5FCF84ED"/>
    <w:rsid w:val="5FDFC83C"/>
    <w:rsid w:val="5FF7A0DE"/>
    <w:rsid w:val="60017C7C"/>
    <w:rsid w:val="6020741B"/>
    <w:rsid w:val="608914CC"/>
    <w:rsid w:val="6094289E"/>
    <w:rsid w:val="60F11867"/>
    <w:rsid w:val="615C16D6"/>
    <w:rsid w:val="618A3DC3"/>
    <w:rsid w:val="61C15430"/>
    <w:rsid w:val="62102CE3"/>
    <w:rsid w:val="62170EF9"/>
    <w:rsid w:val="62222B09"/>
    <w:rsid w:val="62311D7E"/>
    <w:rsid w:val="62350D51"/>
    <w:rsid w:val="626F4A19"/>
    <w:rsid w:val="627C5614"/>
    <w:rsid w:val="62BA758E"/>
    <w:rsid w:val="62BB6119"/>
    <w:rsid w:val="62D11B87"/>
    <w:rsid w:val="630D7F41"/>
    <w:rsid w:val="636C18B0"/>
    <w:rsid w:val="63A71F74"/>
    <w:rsid w:val="64F41B5D"/>
    <w:rsid w:val="64FE5F84"/>
    <w:rsid w:val="652F1904"/>
    <w:rsid w:val="65BF660F"/>
    <w:rsid w:val="65C7404D"/>
    <w:rsid w:val="65F17436"/>
    <w:rsid w:val="66BB8914"/>
    <w:rsid w:val="66C0483B"/>
    <w:rsid w:val="66CC410D"/>
    <w:rsid w:val="66EE54A9"/>
    <w:rsid w:val="67152FB8"/>
    <w:rsid w:val="67551304"/>
    <w:rsid w:val="676254A4"/>
    <w:rsid w:val="678D0D6C"/>
    <w:rsid w:val="67AB4C59"/>
    <w:rsid w:val="67D8ED11"/>
    <w:rsid w:val="684306E9"/>
    <w:rsid w:val="68723580"/>
    <w:rsid w:val="68994500"/>
    <w:rsid w:val="69172000"/>
    <w:rsid w:val="697F1380"/>
    <w:rsid w:val="69981651"/>
    <w:rsid w:val="699A1F8A"/>
    <w:rsid w:val="69A93917"/>
    <w:rsid w:val="6A4A3BFD"/>
    <w:rsid w:val="6B43739A"/>
    <w:rsid w:val="6BFFA4D9"/>
    <w:rsid w:val="6C196A9A"/>
    <w:rsid w:val="6C75429C"/>
    <w:rsid w:val="6C7D23DE"/>
    <w:rsid w:val="6C862912"/>
    <w:rsid w:val="6CFA1652"/>
    <w:rsid w:val="6CFD7E08"/>
    <w:rsid w:val="6D0F4A6A"/>
    <w:rsid w:val="6D3D4391"/>
    <w:rsid w:val="6D8E68B6"/>
    <w:rsid w:val="6DB91B96"/>
    <w:rsid w:val="6DCD214C"/>
    <w:rsid w:val="6E3C3302"/>
    <w:rsid w:val="6E7E0482"/>
    <w:rsid w:val="6E7F1593"/>
    <w:rsid w:val="6EC3F98A"/>
    <w:rsid w:val="6EFE7E0F"/>
    <w:rsid w:val="6F5F3DDC"/>
    <w:rsid w:val="6F60051B"/>
    <w:rsid w:val="6FBF4705"/>
    <w:rsid w:val="6FC06BC3"/>
    <w:rsid w:val="6FC24E02"/>
    <w:rsid w:val="6FCD2B35"/>
    <w:rsid w:val="6FEFDAF3"/>
    <w:rsid w:val="6FF658FB"/>
    <w:rsid w:val="6FFB1FF0"/>
    <w:rsid w:val="6FFEF6BD"/>
    <w:rsid w:val="70756248"/>
    <w:rsid w:val="70DC5A71"/>
    <w:rsid w:val="70E817A2"/>
    <w:rsid w:val="70EF71B7"/>
    <w:rsid w:val="70FAFB2A"/>
    <w:rsid w:val="71165205"/>
    <w:rsid w:val="716138A0"/>
    <w:rsid w:val="71753151"/>
    <w:rsid w:val="71A73D3E"/>
    <w:rsid w:val="71D4087A"/>
    <w:rsid w:val="71D523B3"/>
    <w:rsid w:val="71E34413"/>
    <w:rsid w:val="71FE401B"/>
    <w:rsid w:val="727D4F24"/>
    <w:rsid w:val="72822E9E"/>
    <w:rsid w:val="72A146DD"/>
    <w:rsid w:val="72A70FAA"/>
    <w:rsid w:val="72DD1E82"/>
    <w:rsid w:val="73113F43"/>
    <w:rsid w:val="734944D8"/>
    <w:rsid w:val="7357511D"/>
    <w:rsid w:val="737446DD"/>
    <w:rsid w:val="737A3B75"/>
    <w:rsid w:val="737C1264"/>
    <w:rsid w:val="739B12EB"/>
    <w:rsid w:val="74D774D1"/>
    <w:rsid w:val="74E42203"/>
    <w:rsid w:val="751F197F"/>
    <w:rsid w:val="75297601"/>
    <w:rsid w:val="752C5839"/>
    <w:rsid w:val="758650B4"/>
    <w:rsid w:val="759E9462"/>
    <w:rsid w:val="75AB7F59"/>
    <w:rsid w:val="75D9457B"/>
    <w:rsid w:val="7613520C"/>
    <w:rsid w:val="76937428"/>
    <w:rsid w:val="76EEE66D"/>
    <w:rsid w:val="76EF82A2"/>
    <w:rsid w:val="76FBFBCD"/>
    <w:rsid w:val="77245415"/>
    <w:rsid w:val="77503BA8"/>
    <w:rsid w:val="779B60FF"/>
    <w:rsid w:val="77BDFB3C"/>
    <w:rsid w:val="77BF2551"/>
    <w:rsid w:val="77CB4ADD"/>
    <w:rsid w:val="77F50D0E"/>
    <w:rsid w:val="77FCCDF3"/>
    <w:rsid w:val="782E0A91"/>
    <w:rsid w:val="788E7EA5"/>
    <w:rsid w:val="78F74A7F"/>
    <w:rsid w:val="7922343B"/>
    <w:rsid w:val="7926388B"/>
    <w:rsid w:val="79521C10"/>
    <w:rsid w:val="795E17F1"/>
    <w:rsid w:val="795FF9E4"/>
    <w:rsid w:val="79D42C0A"/>
    <w:rsid w:val="79FFF26D"/>
    <w:rsid w:val="7A24483B"/>
    <w:rsid w:val="7A267238"/>
    <w:rsid w:val="7A30225F"/>
    <w:rsid w:val="7AB64BAF"/>
    <w:rsid w:val="7AD5E80B"/>
    <w:rsid w:val="7AE7FD2B"/>
    <w:rsid w:val="7AF3D7EA"/>
    <w:rsid w:val="7AFE98C0"/>
    <w:rsid w:val="7B0A37F3"/>
    <w:rsid w:val="7B2EC99E"/>
    <w:rsid w:val="7B3E4BF5"/>
    <w:rsid w:val="7B676EB1"/>
    <w:rsid w:val="7B93031C"/>
    <w:rsid w:val="7B9531DE"/>
    <w:rsid w:val="7BB3345A"/>
    <w:rsid w:val="7BBE09F0"/>
    <w:rsid w:val="7BCF7C7E"/>
    <w:rsid w:val="7BD61AD5"/>
    <w:rsid w:val="7BF9C739"/>
    <w:rsid w:val="7BFB259B"/>
    <w:rsid w:val="7BFF440A"/>
    <w:rsid w:val="7BFF8FB5"/>
    <w:rsid w:val="7C2D3E7B"/>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Indent"/>
    <w:basedOn w:val="1"/>
    <w:link w:val="40"/>
    <w:semiHidden/>
    <w:unhideWhenUsed/>
    <w:qFormat/>
    <w:uiPriority w:val="99"/>
    <w:pPr>
      <w:ind w:firstLine="640"/>
    </w:pPr>
    <w:rPr>
      <w:rFonts w:ascii="Calibri" w:hAnsi="Calibri" w:eastAsia="宋体" w:cs="Times New Roman"/>
      <w:sz w:val="32"/>
      <w:szCs w:val="24"/>
    </w:rPr>
  </w:style>
  <w:style w:type="paragraph" w:styleId="8">
    <w:name w:val="toc 3"/>
    <w:basedOn w:val="1"/>
    <w:next w:val="1"/>
    <w:semiHidden/>
    <w:unhideWhenUsed/>
    <w:qFormat/>
    <w:uiPriority w:val="39"/>
    <w:pPr>
      <w:ind w:left="840" w:leftChars="400"/>
    </w:pPr>
  </w:style>
  <w:style w:type="paragraph" w:styleId="9">
    <w:name w:val="Body Text Indent 2"/>
    <w:basedOn w:val="1"/>
    <w:qFormat/>
    <w:uiPriority w:val="0"/>
    <w:pPr>
      <w:ind w:firstLine="645"/>
      <w:outlineLvl w:val="0"/>
    </w:pPr>
    <w:rPr>
      <w:rFonts w:ascii="仿宋_GB2312"/>
      <w:spacing w:val="-4"/>
      <w:sz w:val="32"/>
    </w:rPr>
  </w:style>
  <w:style w:type="paragraph" w:styleId="10">
    <w:name w:val="footer"/>
    <w:basedOn w:val="1"/>
    <w:link w:val="26"/>
    <w:unhideWhenUsed/>
    <w:qFormat/>
    <w:uiPriority w:val="99"/>
    <w:pPr>
      <w:tabs>
        <w:tab w:val="center" w:pos="4153"/>
        <w:tab w:val="right" w:pos="8306"/>
      </w:tabs>
      <w:snapToGrid w:val="0"/>
      <w:jc w:val="left"/>
    </w:pPr>
    <w:rPr>
      <w:sz w:val="18"/>
      <w:szCs w:val="18"/>
    </w:rPr>
  </w:style>
  <w:style w:type="paragraph" w:styleId="11">
    <w:name w:val="header"/>
    <w:basedOn w:val="1"/>
    <w:next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tabs>
        <w:tab w:val="left" w:pos="709"/>
        <w:tab w:val="right" w:leader="dot" w:pos="8296"/>
      </w:tabs>
    </w:pPr>
  </w:style>
  <w:style w:type="paragraph" w:styleId="13">
    <w:name w:val="toc 2"/>
    <w:basedOn w:val="1"/>
    <w:next w:val="1"/>
    <w:unhideWhenUsed/>
    <w:qFormat/>
    <w:uiPriority w:val="39"/>
    <w:pPr>
      <w:ind w:left="420" w:leftChars="200"/>
    </w:pPr>
  </w:style>
  <w:style w:type="paragraph" w:styleId="14">
    <w:name w:val="Normal (Web)"/>
    <w:basedOn w:val="1"/>
    <w:unhideWhenUsed/>
    <w:qFormat/>
    <w:uiPriority w:val="99"/>
    <w:pPr>
      <w:spacing w:before="100" w:beforeAutospacing="1" w:after="100" w:afterAutospacing="1"/>
      <w:jc w:val="left"/>
    </w:pPr>
    <w:rPr>
      <w:rFonts w:cs="Times New Roman"/>
      <w:kern w:val="0"/>
      <w:sz w:val="24"/>
    </w:rPr>
  </w:style>
  <w:style w:type="paragraph" w:styleId="15">
    <w:name w:val="Title"/>
    <w:basedOn w:val="1"/>
    <w:link w:val="39"/>
    <w:qFormat/>
    <w:uiPriority w:val="10"/>
    <w:pPr>
      <w:spacing w:before="240" w:after="60"/>
      <w:jc w:val="center"/>
      <w:outlineLvl w:val="0"/>
    </w:pPr>
    <w:rPr>
      <w:rFonts w:ascii="Arial" w:hAnsi="Arial"/>
      <w:b/>
      <w:sz w:val="32"/>
    </w:rPr>
  </w:style>
  <w:style w:type="paragraph" w:styleId="16">
    <w:name w:val="Body Text First Indent 2"/>
    <w:basedOn w:val="7"/>
    <w:qFormat/>
    <w:uiPriority w:val="0"/>
    <w:pPr>
      <w:ind w:firstLine="420"/>
    </w:pPr>
  </w:style>
  <w:style w:type="table" w:styleId="18">
    <w:name w:val="Table Grid"/>
    <w:basedOn w:val="1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Emphasis"/>
    <w:basedOn w:val="19"/>
    <w:qFormat/>
    <w:uiPriority w:val="20"/>
    <w:rPr>
      <w:i/>
    </w:rPr>
  </w:style>
  <w:style w:type="character" w:styleId="21">
    <w:name w:val="Hyperlink"/>
    <w:unhideWhenUsed/>
    <w:qFormat/>
    <w:uiPriority w:val="99"/>
    <w:rPr>
      <w:color w:val="4D4D4D"/>
      <w:u w:val="none"/>
    </w:rPr>
  </w:style>
  <w:style w:type="character" w:styleId="22">
    <w:name w:val="annotation reference"/>
    <w:basedOn w:val="19"/>
    <w:semiHidden/>
    <w:unhideWhenUsed/>
    <w:qFormat/>
    <w:uiPriority w:val="99"/>
    <w:rPr>
      <w:sz w:val="21"/>
      <w:szCs w:val="21"/>
    </w:rPr>
  </w:style>
  <w:style w:type="paragraph" w:customStyle="1" w:styleId="23">
    <w:name w:val="Default"/>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4">
    <w:name w:val="常用样式（方正仿宋简）"/>
    <w:basedOn w:val="1"/>
    <w:qFormat/>
    <w:uiPriority w:val="0"/>
    <w:pPr>
      <w:spacing w:line="560" w:lineRule="exact"/>
      <w:ind w:firstLine="640"/>
    </w:pPr>
    <w:rPr>
      <w:rFonts w:eastAsia="方正仿宋简体"/>
      <w:sz w:val="32"/>
    </w:rPr>
  </w:style>
  <w:style w:type="character" w:customStyle="1" w:styleId="25">
    <w:name w:val="页眉 字符"/>
    <w:basedOn w:val="19"/>
    <w:link w:val="11"/>
    <w:qFormat/>
    <w:uiPriority w:val="99"/>
    <w:rPr>
      <w:sz w:val="18"/>
      <w:szCs w:val="18"/>
    </w:rPr>
  </w:style>
  <w:style w:type="character" w:customStyle="1" w:styleId="26">
    <w:name w:val="页脚 字符"/>
    <w:basedOn w:val="19"/>
    <w:link w:val="10"/>
    <w:qFormat/>
    <w:uiPriority w:val="99"/>
    <w:rPr>
      <w:sz w:val="18"/>
      <w:szCs w:val="18"/>
    </w:rPr>
  </w:style>
  <w:style w:type="character" w:customStyle="1" w:styleId="27">
    <w:name w:val="font11"/>
    <w:basedOn w:val="19"/>
    <w:qFormat/>
    <w:uiPriority w:val="0"/>
    <w:rPr>
      <w:rFonts w:hint="eastAsia" w:ascii="宋体" w:hAnsi="宋体" w:eastAsia="宋体" w:cs="宋体"/>
      <w:color w:val="000000"/>
      <w:sz w:val="21"/>
      <w:szCs w:val="21"/>
      <w:u w:val="none"/>
    </w:rPr>
  </w:style>
  <w:style w:type="character" w:customStyle="1" w:styleId="28">
    <w:name w:val="font01"/>
    <w:basedOn w:val="19"/>
    <w:qFormat/>
    <w:uiPriority w:val="0"/>
    <w:rPr>
      <w:rFonts w:hint="default" w:ascii="Calibri" w:hAnsi="Calibri" w:cs="Calibri"/>
      <w:color w:val="000000"/>
      <w:sz w:val="21"/>
      <w:szCs w:val="21"/>
      <w:u w:val="none"/>
    </w:rPr>
  </w:style>
  <w:style w:type="character" w:customStyle="1" w:styleId="29">
    <w:name w:val="font71"/>
    <w:basedOn w:val="19"/>
    <w:qFormat/>
    <w:uiPriority w:val="0"/>
    <w:rPr>
      <w:rFonts w:hint="eastAsia" w:ascii="仿宋" w:hAnsi="仿宋" w:eastAsia="仿宋" w:cs="仿宋"/>
      <w:b/>
      <w:color w:val="000000"/>
      <w:sz w:val="24"/>
      <w:szCs w:val="24"/>
      <w:u w:val="none"/>
    </w:rPr>
  </w:style>
  <w:style w:type="character" w:customStyle="1" w:styleId="30">
    <w:name w:val="font51"/>
    <w:basedOn w:val="19"/>
    <w:qFormat/>
    <w:uiPriority w:val="0"/>
    <w:rPr>
      <w:rFonts w:hint="eastAsia" w:ascii="仿宋" w:hAnsi="仿宋" w:eastAsia="仿宋" w:cs="仿宋"/>
      <w:color w:val="000000"/>
      <w:sz w:val="24"/>
      <w:szCs w:val="24"/>
      <w:u w:val="none"/>
    </w:rPr>
  </w:style>
  <w:style w:type="character" w:customStyle="1" w:styleId="31">
    <w:name w:val="font31"/>
    <w:basedOn w:val="19"/>
    <w:qFormat/>
    <w:uiPriority w:val="0"/>
    <w:rPr>
      <w:rFonts w:hint="eastAsia" w:ascii="宋体" w:hAnsi="宋体" w:eastAsia="宋体" w:cs="宋体"/>
      <w:b/>
      <w:color w:val="000000"/>
      <w:sz w:val="22"/>
      <w:szCs w:val="22"/>
      <w:u w:val="none"/>
    </w:rPr>
  </w:style>
  <w:style w:type="character" w:customStyle="1" w:styleId="32">
    <w:name w:val="font21"/>
    <w:basedOn w:val="19"/>
    <w:qFormat/>
    <w:uiPriority w:val="0"/>
    <w:rPr>
      <w:rFonts w:hint="eastAsia" w:ascii="宋体" w:hAnsi="宋体" w:eastAsia="宋体" w:cs="宋体"/>
      <w:color w:val="000000"/>
      <w:sz w:val="20"/>
      <w:szCs w:val="20"/>
      <w:u w:val="none"/>
    </w:rPr>
  </w:style>
  <w:style w:type="character" w:customStyle="1" w:styleId="33">
    <w:name w:val="font41"/>
    <w:basedOn w:val="19"/>
    <w:qFormat/>
    <w:uiPriority w:val="0"/>
    <w:rPr>
      <w:rFonts w:hint="default" w:ascii="Times New Roman" w:hAnsi="Times New Roman" w:cs="Times New Roman"/>
      <w:b/>
      <w:color w:val="000000"/>
      <w:sz w:val="20"/>
      <w:szCs w:val="20"/>
      <w:u w:val="none"/>
    </w:rPr>
  </w:style>
  <w:style w:type="paragraph" w:customStyle="1" w:styleId="34">
    <w:name w:val="WPSOffice手动目录 1"/>
    <w:qFormat/>
    <w:uiPriority w:val="0"/>
    <w:rPr>
      <w:rFonts w:ascii="Times New Roman" w:hAnsi="Times New Roman" w:eastAsia="宋体" w:cs="Times New Roman"/>
      <w:lang w:val="en-US" w:eastAsia="zh-CN" w:bidi="ar-SA"/>
    </w:rPr>
  </w:style>
  <w:style w:type="paragraph" w:customStyle="1" w:styleId="3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6">
    <w:name w:val="表格"/>
    <w:basedOn w:val="1"/>
    <w:qFormat/>
    <w:uiPriority w:val="0"/>
    <w:rPr>
      <w:rFonts w:hint="eastAsia"/>
      <w:kern w:val="0"/>
      <w:sz w:val="24"/>
      <w:szCs w:val="20"/>
    </w:rPr>
  </w:style>
  <w:style w:type="paragraph" w:customStyle="1" w:styleId="37">
    <w:name w:val="正文文本1"/>
    <w:basedOn w:val="1"/>
    <w:qFormat/>
    <w:uiPriority w:val="0"/>
    <w:pPr>
      <w:spacing w:line="386" w:lineRule="auto"/>
    </w:pPr>
    <w:rPr>
      <w:rFonts w:ascii="楷体" w:hAnsi="楷体" w:eastAsia="楷体" w:cs="楷体"/>
      <w:sz w:val="19"/>
      <w:szCs w:val="19"/>
      <w:lang w:val="zh-CN" w:bidi="zh-CN"/>
    </w:rPr>
  </w:style>
  <w:style w:type="paragraph" w:customStyle="1" w:styleId="38">
    <w:name w:val="页眉或页脚 (2)"/>
    <w:basedOn w:val="1"/>
    <w:qFormat/>
    <w:uiPriority w:val="0"/>
    <w:rPr>
      <w:rFonts w:eastAsia="Times New Roman" w:cs="Times New Roman"/>
      <w:sz w:val="20"/>
      <w:szCs w:val="20"/>
      <w:lang w:val="zh-CN" w:bidi="zh-CN"/>
    </w:rPr>
  </w:style>
  <w:style w:type="character" w:customStyle="1" w:styleId="39">
    <w:name w:val="标题 字符"/>
    <w:basedOn w:val="19"/>
    <w:link w:val="15"/>
    <w:qFormat/>
    <w:uiPriority w:val="0"/>
    <w:rPr>
      <w:rFonts w:ascii="等线 Light" w:hAnsi="等线 Light" w:eastAsia="等线 Light" w:cs="Times New Roman"/>
      <w:b/>
      <w:bCs/>
      <w:kern w:val="2"/>
      <w:sz w:val="32"/>
      <w:szCs w:val="32"/>
    </w:rPr>
  </w:style>
  <w:style w:type="character" w:customStyle="1" w:styleId="40">
    <w:name w:val="正文文本缩进 字符"/>
    <w:basedOn w:val="19"/>
    <w:link w:val="7"/>
    <w:qFormat/>
    <w:uiPriority w:val="0"/>
    <w:rPr>
      <w:kern w:val="2"/>
      <w:sz w:val="32"/>
      <w:szCs w:val="24"/>
    </w:rPr>
  </w:style>
  <w:style w:type="paragraph" w:customStyle="1" w:styleId="41">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2">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3">
    <w:name w:val="15"/>
    <w:basedOn w:val="1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16</Pages>
  <Words>483</Words>
  <Characters>530</Characters>
  <Lines>1</Lines>
  <Paragraphs>1</Paragraphs>
  <TotalTime>0</TotalTime>
  <ScaleCrop>false</ScaleCrop>
  <LinksUpToDate>false</LinksUpToDate>
  <CharactersWithSpaces>533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李国宝</cp:lastModifiedBy>
  <cp:lastPrinted>2024-11-08T07:36:00Z</cp:lastPrinted>
  <dcterms:modified xsi:type="dcterms:W3CDTF">2025-01-07T08:41:35Z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