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20527E2B">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被评价单位名称：泸定县行政审批局</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646998A9">
      <w:pPr>
        <w:pStyle w:val="2"/>
        <w:rPr>
          <w:rFonts w:hint="eastAsia" w:ascii="方正仿宋简体" w:hAnsi="方正仿宋简体" w:eastAsia="方正仿宋简体" w:cs="方正仿宋简体"/>
          <w:color w:val="333333"/>
          <w:kern w:val="0"/>
          <w:sz w:val="32"/>
          <w:szCs w:val="32"/>
          <w:highlight w:val="none"/>
        </w:rPr>
      </w:pPr>
    </w:p>
    <w:p w14:paraId="7EF12540">
      <w:pPr>
        <w:rPr>
          <w:rFonts w:hint="eastAsia" w:ascii="方正仿宋简体" w:hAnsi="方正仿宋简体" w:eastAsia="方正仿宋简体" w:cs="方正仿宋简体"/>
          <w:color w:val="333333"/>
          <w:kern w:val="0"/>
          <w:sz w:val="32"/>
          <w:szCs w:val="32"/>
          <w:highlight w:val="none"/>
        </w:rPr>
      </w:pPr>
    </w:p>
    <w:p w14:paraId="70761655">
      <w:pPr>
        <w:pStyle w:val="2"/>
        <w:rPr>
          <w:rFonts w:hint="eastAsia" w:ascii="方正仿宋简体" w:hAnsi="方正仿宋简体" w:eastAsia="方正仿宋简体" w:cs="方正仿宋简体"/>
          <w:color w:val="333333"/>
          <w:kern w:val="0"/>
          <w:sz w:val="32"/>
          <w:szCs w:val="32"/>
          <w:highlight w:val="none"/>
        </w:rPr>
      </w:pPr>
    </w:p>
    <w:p w14:paraId="0E5A3D42">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7A2873D">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泸定县行政审批局</w:t>
      </w:r>
    </w:p>
    <w:p w14:paraId="412AFDE9">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bookmarkStart w:id="3" w:name="_Toc27398"/>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bookmarkEnd w:id="1"/>
      <w:bookmarkEnd w:id="3"/>
    </w:p>
    <w:p w14:paraId="11248194">
      <w:pPr>
        <w:keepNext w:val="0"/>
        <w:keepLines w:val="0"/>
        <w:pageBreakBefore w:val="0"/>
        <w:widowControl/>
        <w:kinsoku/>
        <w:wordWrap/>
        <w:overflowPunct/>
        <w:topLinePunct w:val="0"/>
        <w:autoSpaceDE/>
        <w:autoSpaceDN/>
        <w:bidi w:val="0"/>
        <w:adjustRightInd w:val="0"/>
        <w:snapToGrid w:val="0"/>
        <w:spacing w:line="600" w:lineRule="exact"/>
        <w:ind w:left="0" w:firstLine="0" w:firstLineChars="0"/>
        <w:jc w:val="center"/>
        <w:rPr>
          <w:rFonts w:hint="eastAsia" w:ascii="方正仿宋简体" w:hAnsi="方正仿宋简体" w:eastAsia="方正仿宋简体" w:cs="方正仿宋简体"/>
          <w:sz w:val="32"/>
          <w:szCs w:val="32"/>
          <w:highlight w:val="none"/>
          <w:lang w:val="fr-FR"/>
        </w:rPr>
      </w:pPr>
    </w:p>
    <w:p w14:paraId="687DC97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4" w:name="_Toc8938"/>
      <w:bookmarkStart w:id="5" w:name="_Toc26210"/>
      <w:bookmarkStart w:id="6" w:name="_Toc6252"/>
    </w:p>
    <w:p w14:paraId="7019251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4"/>
      <w:bookmarkEnd w:id="5"/>
      <w:bookmarkEnd w:id="6"/>
      <w:bookmarkStart w:id="7" w:name="_Toc8555"/>
      <w:bookmarkStart w:id="8" w:name="_Toc12185"/>
      <w:bookmarkStart w:id="9" w:name="_Toc109483833"/>
    </w:p>
    <w:p w14:paraId="0FB09BDB">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0" w:name="_Toc26009"/>
      <w:bookmarkStart w:id="11" w:name="_Toc799907804"/>
      <w:bookmarkStart w:id="12" w:name="_Toc176605397"/>
      <w:bookmarkStart w:id="13" w:name="_Toc10409"/>
      <w:bookmarkStart w:id="14" w:name="_Toc10147"/>
      <w:bookmarkStart w:id="15" w:name="_Toc12546"/>
      <w:bookmarkStart w:id="16" w:name="_Toc17286"/>
      <w:bookmarkStart w:id="17" w:name="_Toc18579"/>
      <w:r>
        <w:rPr>
          <w:rFonts w:hint="eastAsia" w:ascii="方正黑体简体" w:hAnsi="方正黑体简体" w:eastAsia="方正黑体简体" w:cs="方正黑体简体"/>
          <w:color w:val="000000"/>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000000"/>
          <w:kern w:val="0"/>
          <w:sz w:val="32"/>
          <w:szCs w:val="32"/>
          <w:highlight w:val="none"/>
          <w:shd w:val="clear" w:color="auto" w:fill="FFFFFF"/>
        </w:rPr>
        <w:t>部门</w:t>
      </w:r>
      <w:bookmarkEnd w:id="9"/>
      <w:bookmarkEnd w:id="10"/>
      <w:bookmarkEnd w:id="11"/>
      <w:bookmarkStart w:id="18" w:name="_Toc16549"/>
      <w:bookmarkStart w:id="19" w:name="_Toc30550"/>
      <w:bookmarkStart w:id="20" w:name="_Toc109483834"/>
      <w:r>
        <w:rPr>
          <w:rFonts w:hint="eastAsia" w:ascii="方正黑体简体" w:hAnsi="方正黑体简体" w:eastAsia="方正黑体简体" w:cs="方正黑体简体"/>
          <w:color w:val="000000"/>
          <w:kern w:val="0"/>
          <w:sz w:val="32"/>
          <w:szCs w:val="32"/>
          <w:highlight w:val="none"/>
          <w:shd w:val="clear" w:color="auto" w:fill="FFFFFF"/>
        </w:rPr>
        <w:t>概况</w:t>
      </w:r>
      <w:bookmarkEnd w:id="12"/>
      <w:bookmarkEnd w:id="13"/>
      <w:bookmarkEnd w:id="14"/>
      <w:bookmarkEnd w:id="15"/>
      <w:bookmarkEnd w:id="16"/>
      <w:bookmarkEnd w:id="17"/>
    </w:p>
    <w:p w14:paraId="0557D28A">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21" w:name="_Toc7513"/>
      <w:bookmarkStart w:id="22" w:name="_Toc419097264"/>
      <w:bookmarkStart w:id="23" w:name="_Toc176605398"/>
      <w:bookmarkStart w:id="24" w:name="_Toc20865"/>
      <w:bookmarkStart w:id="25" w:name="_Toc15299"/>
      <w:bookmarkStart w:id="26" w:name="_Toc24161"/>
      <w:bookmarkStart w:id="27" w:name="_Toc2337"/>
      <w:bookmarkStart w:id="28" w:name="_Toc22342"/>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8"/>
      <w:bookmarkEnd w:id="19"/>
      <w:bookmarkEnd w:id="20"/>
      <w:bookmarkEnd w:id="21"/>
      <w:bookmarkEnd w:id="22"/>
      <w:r>
        <w:rPr>
          <w:rFonts w:hint="eastAsia" w:ascii="方正楷体简体" w:hAnsi="方正楷体简体" w:eastAsia="方正楷体简体" w:cs="方正楷体简体"/>
          <w:color w:val="000000"/>
          <w:kern w:val="0"/>
          <w:sz w:val="32"/>
          <w:szCs w:val="32"/>
          <w:highlight w:val="none"/>
          <w:shd w:val="clear" w:color="auto" w:fill="FFFFFF"/>
        </w:rPr>
        <w:t>）</w:t>
      </w:r>
      <w:r>
        <w:rPr>
          <w:rFonts w:hint="eastAsia" w:ascii="方正楷体简体" w:hAnsi="方正楷体简体" w:eastAsia="方正楷体简体" w:cs="方正楷体简体"/>
          <w:color w:val="000000"/>
          <w:kern w:val="0"/>
          <w:sz w:val="32"/>
          <w:szCs w:val="32"/>
          <w:highlight w:val="none"/>
          <w:shd w:val="clear" w:color="auto" w:fill="FFFFFF"/>
          <w:lang w:val="zh-CN"/>
        </w:rPr>
        <w:t>部门基本情况</w:t>
      </w:r>
      <w:bookmarkEnd w:id="23"/>
      <w:bookmarkEnd w:id="24"/>
      <w:bookmarkEnd w:id="25"/>
      <w:bookmarkEnd w:id="26"/>
      <w:bookmarkEnd w:id="27"/>
      <w:bookmarkEnd w:id="28"/>
    </w:p>
    <w:p w14:paraId="1534B18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9" w:name="_Toc109483835"/>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泸定县行政审批局，属财政资金全额保障的一级预算单位，单位性质：机关；单位负责人：余浪；统一社会信用代码：</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11513322MB1584204W</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；单位所在地：泸定县泸桥镇田坝村</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组</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号。 </w:t>
      </w:r>
    </w:p>
    <w:p w14:paraId="218B6721">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30" w:name="_Toc17750"/>
      <w:bookmarkStart w:id="31" w:name="_Toc31223"/>
      <w:bookmarkStart w:id="32" w:name="_Toc1278"/>
      <w:bookmarkStart w:id="33" w:name="_Toc30216"/>
      <w:bookmarkStart w:id="34" w:name="_Toc26415"/>
      <w:bookmarkStart w:id="35" w:name="_Toc176605399"/>
      <w:r>
        <w:rPr>
          <w:rFonts w:hint="eastAsia" w:ascii="方正楷体简体" w:hAnsi="方正楷体简体" w:eastAsia="方正楷体简体" w:cs="方正楷体简体"/>
          <w:color w:val="000000"/>
          <w:kern w:val="0"/>
          <w:sz w:val="32"/>
          <w:szCs w:val="32"/>
          <w:highlight w:val="none"/>
          <w:shd w:val="clear" w:color="auto" w:fill="FFFFFF"/>
          <w:lang w:val="zh-CN"/>
        </w:rPr>
        <w:t>（二）部门</w:t>
      </w:r>
      <w:bookmarkEnd w:id="30"/>
      <w:bookmarkEnd w:id="31"/>
      <w:bookmarkEnd w:id="32"/>
      <w:r>
        <w:rPr>
          <w:rFonts w:hint="eastAsia" w:ascii="方正楷体简体" w:hAnsi="方正楷体简体" w:eastAsia="方正楷体简体" w:cs="方正楷体简体"/>
          <w:color w:val="000000"/>
          <w:kern w:val="0"/>
          <w:sz w:val="32"/>
          <w:szCs w:val="32"/>
          <w:highlight w:val="none"/>
          <w:shd w:val="clear" w:color="auto" w:fill="FFFFFF"/>
          <w:lang w:val="zh-CN" w:eastAsia="zh"/>
        </w:rPr>
        <w:t>内设机构及人员概况</w:t>
      </w:r>
      <w:bookmarkEnd w:id="33"/>
      <w:bookmarkEnd w:id="34"/>
      <w:bookmarkEnd w:id="35"/>
    </w:p>
    <w:p w14:paraId="7C0023B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泸定县行政审批局内设办公室、政务服务管理股（政策法规股）、公共资源交易管理股、综合审批股</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日，泸定县行政审批局实有行政在职人员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名，事业在职人员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名，工勤人员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w:t>
      </w:r>
    </w:p>
    <w:p w14:paraId="2C6735A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36" w:name="_Toc568184988"/>
      <w:bookmarkStart w:id="37" w:name="_Toc16978"/>
      <w:bookmarkStart w:id="38" w:name="_Toc485"/>
      <w:bookmarkStart w:id="39" w:name="_Toc22604"/>
      <w:bookmarkStart w:id="40" w:name="_Toc176605400"/>
      <w:bookmarkStart w:id="41" w:name="_Toc6391"/>
      <w:r>
        <w:rPr>
          <w:rFonts w:hint="eastAsia" w:ascii="方正楷体简体" w:hAnsi="方正楷体简体" w:eastAsia="方正楷体简体" w:cs="方正楷体简体"/>
          <w:color w:val="000000"/>
          <w:kern w:val="0"/>
          <w:sz w:val="32"/>
          <w:szCs w:val="32"/>
          <w:highlight w:val="none"/>
          <w:shd w:val="clear" w:color="auto" w:fill="FFFFFF"/>
          <w:lang w:val="zh-CN"/>
        </w:rPr>
        <w:t>（三</w:t>
      </w:r>
      <w:bookmarkEnd w:id="29"/>
      <w:bookmarkEnd w:id="36"/>
      <w:bookmarkEnd w:id="37"/>
      <w:r>
        <w:rPr>
          <w:rFonts w:hint="eastAsia" w:ascii="方正楷体简体" w:hAnsi="方正楷体简体" w:eastAsia="方正楷体简体" w:cs="方正楷体简体"/>
          <w:color w:val="000000"/>
          <w:kern w:val="0"/>
          <w:sz w:val="32"/>
          <w:szCs w:val="32"/>
          <w:highlight w:val="none"/>
          <w:shd w:val="clear" w:color="auto" w:fill="FFFFFF"/>
          <w:lang w:val="zh-CN"/>
        </w:rPr>
        <w:t>）部门职能职责</w:t>
      </w:r>
      <w:bookmarkEnd w:id="38"/>
      <w:bookmarkEnd w:id="39"/>
      <w:bookmarkEnd w:id="40"/>
      <w:bookmarkEnd w:id="41"/>
    </w:p>
    <w:p w14:paraId="59F37AF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42" w:name="_Toc33"/>
      <w:bookmarkStart w:id="43" w:name="_Toc109483836"/>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贯彻执行国家、省、州、县有关行政审批、政务服务、公共资源交易工作的方针政策、法律法规和决策部署。</w:t>
      </w:r>
    </w:p>
    <w:p w14:paraId="29CE988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承接国务院、省、州人民政府下放的行政许可事项，落实国务院和省、州、县人民政府取消、暂停实施、下放的行政许可事项。</w:t>
      </w:r>
    </w:p>
    <w:p w14:paraId="05E31EC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负责监督管理政务服务、公共资源交易和政府采购工作；负责规范行政审批、政务服务、公共资源交易服务行为，建立相关规章制度和管理办法并组织实施，推进标准化、规范化建设。</w:t>
      </w:r>
    </w:p>
    <w:p w14:paraId="1573037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负责对涉及行政审批的中介机构和中介行业业务管理部门进行监督管理。</w:t>
      </w:r>
    </w:p>
    <w:p w14:paraId="58A7D24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负责全县政务服务体系和公共资源交易平台的信息化建设、网上审批和信息公开工作。</w:t>
      </w:r>
    </w:p>
    <w:p w14:paraId="3764795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根据县政府批准的行政许可划转目录，承担划转事项的现场勘查、技术论证和社会听证等工作。</w:t>
      </w:r>
    </w:p>
    <w:p w14:paraId="2055D49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负责对职能部门未划转的行政许可事项进行统筹协调、组织推进、监督管理。</w:t>
      </w:r>
    </w:p>
    <w:p w14:paraId="04798DE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负责对垂直管理部门、双重管理部门办理的行政许可事项和公共服务事项进行统筹协调、组织推进、监督管理；负责对行政审批工作人员进行教育、培训、管理和考核。</w:t>
      </w:r>
    </w:p>
    <w:p w14:paraId="29597D6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组织开展并联审批工作，落实行政审批工作“三级联审”。</w:t>
      </w:r>
    </w:p>
    <w:p w14:paraId="27DE487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贯彻执行公共资源交易管理办法和规范性制度；负责全县公共资源交易平台建设工作。</w:t>
      </w:r>
    </w:p>
    <w:p w14:paraId="73C4E80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负责承办、转办和督办政务服务平台的投诉举报，配合有关部门查处违法、违规、违纪问题。</w:t>
      </w:r>
    </w:p>
    <w:p w14:paraId="3461CCA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负责组织、指导、协调、督促乡（镇）政务服务平台建设和便民服务体系建设。</w:t>
      </w:r>
    </w:p>
    <w:p w14:paraId="1E9E779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负责对政务服务和公共资源交易服务中心的领导、管理和工作指导。</w:t>
      </w:r>
    </w:p>
    <w:p w14:paraId="0E82A34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完成县委、县政府交办的其他任务。</w:t>
      </w:r>
    </w:p>
    <w:p w14:paraId="44BEE9E8">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44" w:name="_Toc22594"/>
      <w:bookmarkStart w:id="45" w:name="_Toc16871"/>
      <w:bookmarkStart w:id="46" w:name="_Toc11792"/>
      <w:bookmarkStart w:id="47" w:name="_Toc1218480988"/>
      <w:bookmarkStart w:id="48" w:name="_Toc22058"/>
      <w:bookmarkStart w:id="49" w:name="_Toc13707"/>
      <w:bookmarkStart w:id="50" w:name="_Toc14896"/>
      <w:bookmarkStart w:id="51" w:name="_Toc176605401"/>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42"/>
      <w:bookmarkEnd w:id="43"/>
      <w:bookmarkEnd w:id="44"/>
      <w:bookmarkEnd w:id="45"/>
      <w:bookmarkEnd w:id="46"/>
      <w:bookmarkEnd w:id="47"/>
      <w:bookmarkEnd w:id="48"/>
      <w:bookmarkEnd w:id="49"/>
      <w:bookmarkEnd w:id="50"/>
      <w:bookmarkEnd w:id="51"/>
      <w:bookmarkStart w:id="52" w:name="_Toc2659"/>
      <w:bookmarkStart w:id="53" w:name="_Toc109483837"/>
    </w:p>
    <w:bookmarkEnd w:id="52"/>
    <w:bookmarkEnd w:id="53"/>
    <w:p w14:paraId="6B204092">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54" w:name="_Toc25015"/>
      <w:bookmarkStart w:id="55" w:name="_Toc1949541301"/>
      <w:bookmarkStart w:id="56" w:name="_Toc29180"/>
      <w:bookmarkStart w:id="57" w:name="_Toc6876"/>
      <w:bookmarkStart w:id="58" w:name="_Toc2374"/>
      <w:bookmarkStart w:id="59" w:name="_Toc176605402"/>
      <w:bookmarkStart w:id="60" w:name="_Toc25866"/>
      <w:bookmarkStart w:id="61" w:name="_Toc15898"/>
      <w:r>
        <w:rPr>
          <w:rFonts w:hint="eastAsia" w:ascii="方正楷体简体" w:hAnsi="方正楷体简体" w:eastAsia="方正楷体简体" w:cs="方正楷体简体"/>
          <w:color w:val="000000"/>
          <w:kern w:val="0"/>
          <w:sz w:val="32"/>
          <w:szCs w:val="32"/>
          <w:highlight w:val="none"/>
          <w:shd w:val="clear" w:color="auto" w:fill="FFFFFF"/>
          <w:lang w:val="zh-CN"/>
        </w:rPr>
        <w:t>（一）部门资金收入决算情况</w:t>
      </w:r>
      <w:bookmarkEnd w:id="54"/>
      <w:bookmarkEnd w:id="55"/>
      <w:bookmarkEnd w:id="56"/>
      <w:bookmarkEnd w:id="57"/>
      <w:bookmarkEnd w:id="58"/>
      <w:bookmarkEnd w:id="59"/>
      <w:bookmarkEnd w:id="60"/>
      <w:bookmarkEnd w:id="61"/>
      <w:bookmarkStart w:id="62" w:name="_Toc19132"/>
    </w:p>
    <w:bookmarkEnd w:id="62"/>
    <w:p w14:paraId="4F5A125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63" w:name="_Toc109483838"/>
      <w:bookmarkStart w:id="64" w:name="_Toc27073"/>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年泸定县行政审批局收入总计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288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元，其中：一般公共预算财政拨款收入</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288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p>
    <w:p w14:paraId="4D7E12EE">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65" w:name="_Toc21171"/>
      <w:bookmarkStart w:id="66" w:name="_Toc176605403"/>
      <w:bookmarkStart w:id="67" w:name="_Toc27782"/>
      <w:bookmarkStart w:id="68" w:name="_Toc15380"/>
      <w:bookmarkStart w:id="69" w:name="_Toc349786989"/>
      <w:bookmarkStart w:id="70" w:name="_Toc19326"/>
      <w:bookmarkStart w:id="71" w:name="_Toc26622"/>
      <w:bookmarkStart w:id="72" w:name="_Toc17751"/>
      <w:r>
        <w:rPr>
          <w:rFonts w:hint="eastAsia" w:ascii="方正楷体简体" w:hAnsi="方正楷体简体" w:eastAsia="方正楷体简体" w:cs="方正楷体简体"/>
          <w:color w:val="000000"/>
          <w:kern w:val="0"/>
          <w:sz w:val="32"/>
          <w:szCs w:val="32"/>
          <w:highlight w:val="none"/>
          <w:shd w:val="clear" w:color="auto" w:fill="FFFFFF"/>
          <w:lang w:val="zh-CN"/>
        </w:rPr>
        <w:t>（二）部门资金支出决算情况</w:t>
      </w:r>
      <w:bookmarkEnd w:id="63"/>
      <w:bookmarkEnd w:id="64"/>
      <w:bookmarkEnd w:id="65"/>
      <w:bookmarkEnd w:id="66"/>
      <w:bookmarkEnd w:id="67"/>
      <w:bookmarkEnd w:id="68"/>
      <w:bookmarkEnd w:id="69"/>
      <w:bookmarkEnd w:id="70"/>
      <w:bookmarkEnd w:id="71"/>
      <w:bookmarkEnd w:id="72"/>
    </w:p>
    <w:p w14:paraId="78A91C4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73" w:name="_Toc10837"/>
      <w:bookmarkStart w:id="74" w:name="_Toc24721"/>
      <w:bookmarkStart w:id="75" w:name="_Toc18390"/>
      <w:bookmarkStart w:id="76" w:name="_Toc1457008154"/>
      <w:bookmarkStart w:id="77" w:name="_Toc109483839"/>
      <w:bookmarkStart w:id="78" w:name="_Toc809"/>
      <w:bookmarkStart w:id="79" w:name="_Toc13841"/>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年泸定县行政审批局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总计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288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元，其中：基本支出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227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万元（人员经费</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万元、日常公用经费</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万元。年末结转结余</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p>
    <w:p w14:paraId="0AAFF977">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0" w:name="_Toc176605404"/>
      <w:bookmarkStart w:id="81" w:name="_Toc21604"/>
      <w:bookmarkStart w:id="82" w:name="_Toc7665"/>
      <w:r>
        <w:rPr>
          <w:rFonts w:hint="eastAsia" w:ascii="方正黑体简体" w:hAnsi="方正黑体简体" w:eastAsia="方正黑体简体" w:cs="方正黑体简体"/>
          <w:color w:val="000000"/>
          <w:kern w:val="0"/>
          <w:sz w:val="32"/>
          <w:szCs w:val="32"/>
          <w:highlight w:val="none"/>
          <w:shd w:val="clear" w:color="auto" w:fill="FFFFFF"/>
        </w:rPr>
        <w:t>三、部门目标实现情况</w:t>
      </w:r>
      <w:bookmarkEnd w:id="73"/>
      <w:bookmarkEnd w:id="74"/>
      <w:bookmarkEnd w:id="75"/>
      <w:bookmarkEnd w:id="80"/>
      <w:bookmarkEnd w:id="81"/>
      <w:bookmarkEnd w:id="82"/>
    </w:p>
    <w:p w14:paraId="1C01F9F6">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83" w:name="_Toc28011"/>
      <w:bookmarkStart w:id="84" w:name="_Toc11643"/>
      <w:bookmarkStart w:id="85" w:name="_Toc1418"/>
      <w:bookmarkStart w:id="86" w:name="_Toc3573"/>
      <w:bookmarkStart w:id="87" w:name="_Toc10416"/>
      <w:bookmarkStart w:id="88" w:name="_Toc176605405"/>
      <w:r>
        <w:rPr>
          <w:rFonts w:hint="eastAsia" w:ascii="方正楷体简体" w:hAnsi="方正楷体简体" w:eastAsia="方正楷体简体" w:cs="方正楷体简体"/>
          <w:color w:val="000000"/>
          <w:kern w:val="0"/>
          <w:sz w:val="32"/>
          <w:szCs w:val="32"/>
          <w:highlight w:val="none"/>
          <w:shd w:val="clear" w:color="auto" w:fill="FFFFFF"/>
          <w:lang w:val="zh-CN"/>
        </w:rPr>
        <w:t>（一）总体目标</w:t>
      </w:r>
      <w:bookmarkEnd w:id="83"/>
      <w:bookmarkEnd w:id="84"/>
      <w:bookmarkEnd w:id="85"/>
      <w:bookmarkEnd w:id="86"/>
      <w:bookmarkEnd w:id="87"/>
      <w:bookmarkEnd w:id="88"/>
    </w:p>
    <w:p w14:paraId="12DF20E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年深入贯彻落实党中央关于行政审批、政务服务、公共资源交易工作的方针政策和省、州、县委的决策部署，在履行职责过程中坚持和加强党对行政审批、政务服务、公共资源交易工作的集中统一领导工作。</w:t>
      </w:r>
    </w:p>
    <w:p w14:paraId="14FDB275">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89" w:name="_Toc11959"/>
      <w:bookmarkStart w:id="90" w:name="_Toc3696"/>
      <w:bookmarkStart w:id="91" w:name="_Toc22983"/>
      <w:bookmarkStart w:id="92" w:name="_Toc176605406"/>
      <w:bookmarkStart w:id="93" w:name="_Toc132"/>
      <w:bookmarkStart w:id="94" w:name="_Toc24652"/>
      <w:r>
        <w:rPr>
          <w:rFonts w:hint="eastAsia" w:ascii="方正楷体简体" w:hAnsi="方正楷体简体" w:eastAsia="方正楷体简体" w:cs="方正楷体简体"/>
          <w:color w:val="000000"/>
          <w:kern w:val="0"/>
          <w:sz w:val="32"/>
          <w:szCs w:val="32"/>
          <w:highlight w:val="none"/>
          <w:shd w:val="clear" w:color="auto" w:fill="FFFFFF"/>
          <w:lang w:val="zh-CN"/>
        </w:rPr>
        <w:t>（二）具体目标</w:t>
      </w:r>
      <w:bookmarkEnd w:id="89"/>
      <w:bookmarkEnd w:id="90"/>
      <w:bookmarkEnd w:id="91"/>
      <w:bookmarkEnd w:id="92"/>
      <w:bookmarkEnd w:id="93"/>
      <w:bookmarkEnd w:id="94"/>
    </w:p>
    <w:p w14:paraId="63B3EDFF">
      <w:pPr>
        <w:keepNext w:val="0"/>
        <w:keepLines w:val="0"/>
        <w:pageBreakBefore w:val="0"/>
        <w:kinsoku/>
        <w:wordWrap/>
        <w:overflowPunct/>
        <w:topLinePunct w:val="0"/>
        <w:autoSpaceDE/>
        <w:autoSpaceDN/>
        <w:bidi w:val="0"/>
        <w:spacing w:line="600" w:lineRule="exact"/>
        <w:ind w:left="0" w:firstLine="602"/>
        <w:rPr>
          <w:rFonts w:hint="eastAsia" w:ascii="方正仿宋简体" w:hAnsi="方正仿宋简体" w:eastAsia="方正仿宋简体" w:cs="方正仿宋简体"/>
          <w:sz w:val="32"/>
          <w:szCs w:val="32"/>
          <w:highlight w:val="none"/>
        </w:rPr>
      </w:pPr>
      <w:bookmarkStart w:id="95" w:name="_Toc20594"/>
      <w:bookmarkStart w:id="96" w:name="_Toc31124"/>
      <w:bookmarkStart w:id="97" w:name="_Toc22727"/>
      <w:bookmarkStart w:id="98" w:name="_Toc626"/>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一是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以党建工作为统领，持续深入抓好党建、党风廉政建设等各项工作；</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抓督查，落实</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两个责任”，强化清单管理工作；</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紧盯改革“重点”，健全组织保障体系服务；</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聚焦办事“难点”，走深走实“高效办成一件事”；</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紧抓政务工作，提升政务服务水平；</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六是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持续推进政府采购全流程电子化交易，所有政府集中采购活动均在四川省政府采购一体化平台上进行受理、公告、随机抽取；</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七是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将一件事一次办、省内通办、川渝通办、跨区域通办等事项纳入无差别综合窗口；</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八是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落实党委（党组）意识形态工作责任制，做好每季度意识形态学习材料的收集，研判报告材料的撰写、打印、信息上报等工作；</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九是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紧盯文明城市创建目标任务，严格对标创建指标，在政务大厅全方位展示社会主义核心价值观、文明用语等宣传内容；</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十是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通过电子屏发放宣传页、开展宣传活动、设置宣传标语、开展新文明实践活动做好习近平文化思想宣传工作；</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十一是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紧紧围绕“提高办事效率、最大限度方便群众”为目标，创新服务模式，挖掘服务亮点，推行“全程保姆式”“店小二式”服务。</w:t>
      </w:r>
      <w:bookmarkEnd w:id="95"/>
      <w:bookmarkEnd w:id="96"/>
      <w:bookmarkEnd w:id="97"/>
      <w:bookmarkEnd w:id="98"/>
    </w:p>
    <w:p w14:paraId="08BE3205">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99" w:name="_Toc6491"/>
      <w:bookmarkStart w:id="100" w:name="_Toc176605407"/>
      <w:bookmarkStart w:id="101" w:name="_Toc3390"/>
      <w:bookmarkStart w:id="102" w:name="_Toc24081"/>
      <w:bookmarkStart w:id="103" w:name="_Toc28678"/>
      <w:bookmarkStart w:id="104" w:name="_Toc17536"/>
      <w:r>
        <w:rPr>
          <w:rFonts w:hint="eastAsia" w:ascii="方正黑体简体" w:hAnsi="方正黑体简体" w:eastAsia="方正黑体简体" w:cs="方正黑体简体"/>
          <w:color w:val="000000"/>
          <w:kern w:val="0"/>
          <w:sz w:val="32"/>
          <w:szCs w:val="32"/>
          <w:highlight w:val="none"/>
          <w:shd w:val="clear" w:color="auto" w:fill="FFFFFF"/>
        </w:rPr>
        <w:t>四、部门整体支出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76"/>
      <w:bookmarkEnd w:id="77"/>
      <w:bookmarkEnd w:id="78"/>
      <w:bookmarkEnd w:id="79"/>
      <w:bookmarkEnd w:id="99"/>
      <w:bookmarkEnd w:id="100"/>
      <w:bookmarkEnd w:id="101"/>
      <w:bookmarkEnd w:id="102"/>
      <w:bookmarkEnd w:id="103"/>
      <w:bookmarkEnd w:id="104"/>
    </w:p>
    <w:p w14:paraId="0391B041">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05" w:name="_Toc25679"/>
      <w:bookmarkStart w:id="106" w:name="_Toc27801"/>
      <w:bookmarkStart w:id="107" w:name="_Toc24977"/>
      <w:bookmarkStart w:id="108" w:name="_Toc11694"/>
      <w:bookmarkStart w:id="109" w:name="_Toc176605408"/>
      <w:bookmarkStart w:id="110" w:name="_Toc29571"/>
      <w:bookmarkStart w:id="111" w:name="_Toc8903"/>
      <w:bookmarkStart w:id="112" w:name="_Toc428273082"/>
      <w:bookmarkStart w:id="113" w:name="_Toc4199"/>
      <w:bookmarkStart w:id="114" w:name="_Toc27305"/>
      <w:bookmarkStart w:id="115" w:name="_Toc109483840"/>
      <w:r>
        <w:rPr>
          <w:rFonts w:hint="eastAsia" w:ascii="方正楷体简体" w:hAnsi="方正楷体简体" w:eastAsia="方正楷体简体" w:cs="方正楷体简体"/>
          <w:color w:val="000000"/>
          <w:kern w:val="0"/>
          <w:sz w:val="32"/>
          <w:szCs w:val="32"/>
          <w:highlight w:val="none"/>
          <w:shd w:val="clear" w:color="auto" w:fill="FFFFFF"/>
          <w:lang w:val="zh-CN"/>
        </w:rPr>
        <w:t>（一）绩效评价实施过程</w:t>
      </w:r>
      <w:bookmarkEnd w:id="105"/>
      <w:bookmarkEnd w:id="106"/>
      <w:bookmarkEnd w:id="107"/>
      <w:bookmarkEnd w:id="108"/>
      <w:bookmarkEnd w:id="109"/>
      <w:bookmarkEnd w:id="110"/>
    </w:p>
    <w:p w14:paraId="07235734">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eastAsia" w:ascii="方正仿宋简体" w:hAnsi="方正仿宋简体" w:eastAsia="方正仿宋简体" w:cs="方正仿宋简体"/>
          <w:kern w:val="0"/>
          <w:sz w:val="32"/>
          <w:szCs w:val="32"/>
          <w:highlight w:val="none"/>
          <w:lang w:val="zh-CN" w:bidi="ar"/>
        </w:rPr>
        <w:t>评价小组按照评价日程安排，对</w:t>
      </w:r>
      <w:r>
        <w:rPr>
          <w:rFonts w:hint="eastAsia" w:ascii="方正仿宋简体" w:hAnsi="方正仿宋简体" w:eastAsia="方正仿宋简体" w:cs="方正仿宋简体"/>
          <w:kern w:val="0"/>
          <w:sz w:val="32"/>
          <w:szCs w:val="32"/>
          <w:highlight w:val="none"/>
          <w:lang w:eastAsia="zh" w:bidi="ar"/>
        </w:rPr>
        <w:t>泸定县行政审批局</w:t>
      </w:r>
      <w:r>
        <w:rPr>
          <w:rFonts w:hint="eastAsia" w:ascii="方正仿宋简体" w:hAnsi="方正仿宋简体" w:eastAsia="方正仿宋简体" w:cs="方正仿宋简体"/>
          <w:kern w:val="0"/>
          <w:sz w:val="32"/>
          <w:szCs w:val="32"/>
          <w:highlight w:val="none"/>
          <w:lang w:val="zh-CN" w:bidi="ar"/>
        </w:rPr>
        <w:t>提交的评价资料进行认真梳理，测算分析各项指标，汇总评分并形成评价报告。</w:t>
      </w:r>
    </w:p>
    <w:p w14:paraId="71D51218">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1</w:t>
      </w:r>
      <w:r>
        <w:rPr>
          <w:rFonts w:hint="eastAsia" w:ascii="方正仿宋简体" w:hAnsi="方正仿宋简体" w:eastAsia="方正仿宋简体" w:cs="方正仿宋简体"/>
          <w:kern w:val="0"/>
          <w:sz w:val="32"/>
          <w:szCs w:val="32"/>
          <w:highlight w:val="none"/>
          <w:lang w:val="zh-CN" w:bidi="ar"/>
        </w:rPr>
        <w:t>.对相关资料进行研读，对整体评价有基本的把握和了解，归纳出进一步评价所需的信息供下一步取数参考。</w:t>
      </w:r>
    </w:p>
    <w:p w14:paraId="1624295E">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w:t>
      </w:r>
      <w:r>
        <w:rPr>
          <w:rFonts w:hint="eastAsia" w:ascii="方正仿宋简体" w:hAnsi="方正仿宋简体" w:eastAsia="方正仿宋简体" w:cs="方正仿宋简体"/>
          <w:kern w:val="0"/>
          <w:sz w:val="32"/>
          <w:szCs w:val="32"/>
          <w:highlight w:val="none"/>
          <w:lang w:val="zh-CN" w:bidi="ar"/>
        </w:rPr>
        <w:t>.集中对各个评价指标逐一进行分析，以保证取数的准确性。</w:t>
      </w:r>
    </w:p>
    <w:p w14:paraId="0453BE5D">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3</w:t>
      </w:r>
      <w:r>
        <w:rPr>
          <w:rFonts w:hint="eastAsia" w:ascii="方正仿宋简体" w:hAnsi="方正仿宋简体" w:eastAsia="方正仿宋简体" w:cs="方正仿宋简体"/>
          <w:kern w:val="0"/>
          <w:sz w:val="32"/>
          <w:szCs w:val="32"/>
          <w:highlight w:val="none"/>
          <w:lang w:val="zh-CN" w:bidi="ar"/>
        </w:rPr>
        <w:t>.评价小组汇总分析评价过程中发现的问题并对存在问题进行讨论，根据取得的数据分别计算各评价指标所得分数，形成评价结果。</w:t>
      </w:r>
    </w:p>
    <w:p w14:paraId="1BBAA6A4">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4</w:t>
      </w:r>
      <w:r>
        <w:rPr>
          <w:rFonts w:hint="eastAsia" w:ascii="方正仿宋简体" w:hAnsi="方正仿宋简体" w:eastAsia="方正仿宋简体" w:cs="方正仿宋简体"/>
          <w:kern w:val="0"/>
          <w:sz w:val="32"/>
          <w:szCs w:val="32"/>
          <w:highlight w:val="none"/>
          <w:lang w:val="zh-CN" w:bidi="ar"/>
        </w:rPr>
        <w:t>.根据评价结果，撰写评价报告。</w:t>
      </w:r>
    </w:p>
    <w:p w14:paraId="6297A589">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5</w:t>
      </w:r>
      <w:r>
        <w:rPr>
          <w:rFonts w:hint="eastAsia" w:ascii="方正仿宋简体" w:hAnsi="方正仿宋简体" w:eastAsia="方正仿宋简体" w:cs="方正仿宋简体"/>
          <w:kern w:val="0"/>
          <w:sz w:val="32"/>
          <w:szCs w:val="32"/>
          <w:highlight w:val="none"/>
          <w:lang w:val="zh-CN" w:bidi="ar"/>
        </w:rPr>
        <w:t>.与绩效评价相关者沟通，完善并形成绩效评价报告终稿。</w:t>
      </w:r>
    </w:p>
    <w:p w14:paraId="6EB66F4E">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16" w:name="_Toc14200"/>
      <w:bookmarkStart w:id="117" w:name="_Toc30977"/>
      <w:bookmarkStart w:id="118" w:name="_Toc16416"/>
      <w:bookmarkStart w:id="119" w:name="_Toc2306"/>
      <w:bookmarkStart w:id="120" w:name="_Toc23900"/>
      <w:bookmarkStart w:id="121" w:name="_Toc176605409"/>
      <w:r>
        <w:rPr>
          <w:rFonts w:hint="eastAsia" w:ascii="方正楷体简体" w:hAnsi="方正楷体简体" w:eastAsia="方正楷体简体" w:cs="方正楷体简体"/>
          <w:color w:val="000000"/>
          <w:kern w:val="0"/>
          <w:sz w:val="32"/>
          <w:szCs w:val="32"/>
          <w:highlight w:val="none"/>
          <w:shd w:val="clear" w:color="auto" w:fill="FFFFFF"/>
          <w:lang w:val="zh-CN"/>
        </w:rPr>
        <w:t>（二</w:t>
      </w:r>
      <w:bookmarkEnd w:id="111"/>
      <w:bookmarkEnd w:id="112"/>
      <w:r>
        <w:rPr>
          <w:rFonts w:hint="eastAsia" w:ascii="方正楷体简体" w:hAnsi="方正楷体简体" w:eastAsia="方正楷体简体" w:cs="方正楷体简体"/>
          <w:color w:val="000000"/>
          <w:kern w:val="0"/>
          <w:sz w:val="32"/>
          <w:szCs w:val="32"/>
          <w:highlight w:val="none"/>
          <w:shd w:val="clear" w:color="auto" w:fill="FFFFFF"/>
          <w:lang w:val="zh-CN"/>
        </w:rPr>
        <w:t>）评价结论</w:t>
      </w:r>
      <w:bookmarkEnd w:id="116"/>
      <w:bookmarkEnd w:id="117"/>
      <w:bookmarkEnd w:id="118"/>
      <w:bookmarkEnd w:id="119"/>
      <w:bookmarkEnd w:id="120"/>
      <w:bookmarkEnd w:id="121"/>
    </w:p>
    <w:bookmarkEnd w:id="113"/>
    <w:bookmarkEnd w:id="114"/>
    <w:bookmarkEnd w:id="115"/>
    <w:p w14:paraId="67D8EAC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泸定县行政审批局</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根据单位</w:t>
      </w:r>
      <w:r>
        <w:rPr>
          <w:rFonts w:hint="eastAsia" w:ascii="方正仿宋简体" w:hAnsi="方正仿宋简体" w:eastAsia="方正仿宋简体" w:cs="方正仿宋简体"/>
          <w:sz w:val="32"/>
          <w:szCs w:val="32"/>
          <w:highlight w:val="none"/>
        </w:rPr>
        <w:t>职能职责和年度工作任务目标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在县委县政府的坚强领导下，在州行政审批局的业务指导下，紧紧围绕县委</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工作思路，贯彻落实中央、省、州深化“放管服”改革优化营商环境各项工作要求，进一步解放思想、创新政务服务模式，融入新发展格局；坚持以人民为中心的发展思想，坚持目标导向、需求导向、问题导向，扎实推进政务服务“标准化规范化便利化”提升行动，推进“一网通办”前提下“最多跑一次”改革，加快施行全省“综合窗口”改革攻坚行动。</w:t>
      </w:r>
    </w:p>
    <w:p w14:paraId="638A8EA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bidi="ar"/>
        </w:rPr>
        <w:t>综上所述，</w:t>
      </w:r>
      <w:r>
        <w:rPr>
          <w:rFonts w:hint="eastAsia" w:ascii="方正仿宋简体" w:hAnsi="方正仿宋简体" w:eastAsia="方正仿宋简体" w:cs="方正仿宋简体"/>
          <w:kern w:val="0"/>
          <w:sz w:val="32"/>
          <w:szCs w:val="32"/>
          <w:highlight w:val="none"/>
          <w:lang w:eastAsia="zh" w:bidi="ar"/>
        </w:rPr>
        <w:t>泸定县行政审批局</w:t>
      </w:r>
      <w:r>
        <w:rPr>
          <w:rFonts w:hint="eastAsia" w:ascii="方正仿宋简体" w:hAnsi="方正仿宋简体" w:eastAsia="方正仿宋简体" w:cs="方正仿宋简体"/>
          <w:kern w:val="0"/>
          <w:sz w:val="32"/>
          <w:szCs w:val="32"/>
          <w:highlight w:val="none"/>
          <w:lang w:bidi="ar"/>
        </w:rPr>
        <w:t>在维持部门运转的基础上，完成了部门职责范围内的各项工作，部门履职情况较好。</w:t>
      </w:r>
    </w:p>
    <w:p w14:paraId="4609962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kern w:val="0"/>
          <w:sz w:val="32"/>
          <w:szCs w:val="32"/>
          <w:highlight w:val="none"/>
          <w:lang w:bidi="ar"/>
        </w:rPr>
        <w:t>按照设定的评价指标体系，通过对</w:t>
      </w:r>
      <w:r>
        <w:rPr>
          <w:rFonts w:hint="eastAsia" w:ascii="方正仿宋简体" w:hAnsi="方正仿宋简体" w:eastAsia="方正仿宋简体" w:cs="方正仿宋简体"/>
          <w:kern w:val="0"/>
          <w:sz w:val="32"/>
          <w:szCs w:val="32"/>
          <w:highlight w:val="none"/>
          <w:lang w:eastAsia="zh" w:bidi="ar"/>
        </w:rPr>
        <w:t>泸定县行政审批局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年度部门整体支出情况在预算编制、预算执行、完成结果、信息公开、整改反馈、自评质量方面进行综合评价，</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w:t>
      </w:r>
      <w:r>
        <w:rPr>
          <w:rFonts w:hint="eastAsia" w:ascii="方正仿宋简体" w:hAnsi="方正仿宋简体" w:eastAsia="方正仿宋简体" w:cs="方正仿宋简体"/>
          <w:kern w:val="0"/>
          <w:sz w:val="32"/>
          <w:szCs w:val="32"/>
          <w:highlight w:val="none"/>
          <w:lang w:eastAsia="zh" w:bidi="ar"/>
        </w:rPr>
        <w:t>泸定县行政审批局</w:t>
      </w:r>
      <w:r>
        <w:rPr>
          <w:rFonts w:hint="eastAsia" w:ascii="方正仿宋简体" w:hAnsi="方正仿宋简体" w:eastAsia="方正仿宋简体" w:cs="方正仿宋简体"/>
          <w:kern w:val="0"/>
          <w:sz w:val="32"/>
          <w:szCs w:val="32"/>
          <w:highlight w:val="none"/>
          <w:lang w:bidi="ar"/>
        </w:rPr>
        <w:t>部门整体支出</w:t>
      </w:r>
      <w:r>
        <w:rPr>
          <w:rFonts w:hint="eastAsia" w:ascii="方正仿宋简体" w:hAnsi="方正仿宋简体" w:eastAsia="方正仿宋简体" w:cs="方正仿宋简体"/>
          <w:sz w:val="32"/>
          <w:szCs w:val="32"/>
          <w:highlight w:val="none"/>
        </w:rPr>
        <w:t>绩效评价指标分</w:t>
      </w:r>
      <w:r>
        <w:rPr>
          <w:rFonts w:hint="default" w:ascii="Times New Roman" w:hAnsi="Times New Roman" w:eastAsia="方正仿宋简体" w:cs="Times New Roman"/>
          <w:sz w:val="32"/>
          <w:szCs w:val="32"/>
          <w:highlight w:val="none"/>
          <w:lang w:eastAsia="zh"/>
        </w:rPr>
        <w:t>100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分，得分</w:t>
      </w:r>
      <w:r>
        <w:rPr>
          <w:rFonts w:hint="default" w:ascii="Times New Roman" w:hAnsi="Times New Roman" w:eastAsia="方正仿宋简体" w:cs="Times New Roman"/>
          <w:sz w:val="32"/>
          <w:szCs w:val="32"/>
          <w:highlight w:val="none"/>
          <w:lang w:eastAsia="zh"/>
        </w:rPr>
        <w:t>88</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分。详见下表：</w:t>
      </w:r>
    </w:p>
    <w:p w14:paraId="78D32445">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
        </w:rPr>
        <w:t>泸定县行政审批局</w:t>
      </w:r>
      <w:r>
        <w:rPr>
          <w:rFonts w:hint="default" w:ascii="Times New Roman" w:hAnsi="Times New Roman" w:eastAsia="方正仿宋简体" w:cs="Times New Roman"/>
          <w:sz w:val="32"/>
          <w:szCs w:val="32"/>
          <w:highlight w:val="none"/>
          <w:lang w:eastAsia="zh"/>
        </w:rPr>
        <w:t>2023</w:t>
      </w:r>
      <w:r>
        <w:rPr>
          <w:rFonts w:hint="eastAsia" w:ascii="方正仿宋简体" w:hAnsi="方正仿宋简体" w:eastAsia="方正仿宋简体" w:cs="方正仿宋简体"/>
          <w:sz w:val="32"/>
          <w:szCs w:val="32"/>
          <w:highlight w:val="none"/>
        </w:rPr>
        <w:t>年部门整体支出绩效评价评分表</w:t>
      </w:r>
    </w:p>
    <w:tbl>
      <w:tblPr>
        <w:tblStyle w:val="18"/>
        <w:tblW w:w="4998" w:type="pct"/>
        <w:jc w:val="center"/>
        <w:tblLayout w:type="autofit"/>
        <w:tblCellMar>
          <w:top w:w="0" w:type="dxa"/>
          <w:left w:w="108" w:type="dxa"/>
          <w:bottom w:w="0" w:type="dxa"/>
          <w:right w:w="108" w:type="dxa"/>
        </w:tblCellMar>
      </w:tblPr>
      <w:tblGrid>
        <w:gridCol w:w="1633"/>
        <w:gridCol w:w="1576"/>
        <w:gridCol w:w="2151"/>
        <w:gridCol w:w="1111"/>
        <w:gridCol w:w="1350"/>
        <w:gridCol w:w="7"/>
        <w:gridCol w:w="1228"/>
      </w:tblGrid>
      <w:tr w14:paraId="5F6952B3">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368C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2C2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D06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1B90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824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5FEB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得分</w:t>
            </w:r>
          </w:p>
        </w:tc>
      </w:tr>
      <w:tr w14:paraId="738E3339">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67AE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部门预算管理（</w:t>
            </w:r>
            <w:r>
              <w:rPr>
                <w:rFonts w:hint="default" w:ascii="Times New Roman" w:hAnsi="Times New Roman" w:eastAsia="方正仿宋简体" w:cs="Times New Roman"/>
                <w:kern w:val="0"/>
                <w:sz w:val="32"/>
                <w:szCs w:val="32"/>
                <w:highlight w:val="none"/>
                <w:lang w:eastAsia="zh"/>
              </w:rPr>
              <w:t>8</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62D5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预算编制</w:t>
            </w:r>
          </w:p>
          <w:p w14:paraId="40361D4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eastAsia="zh"/>
              </w:rPr>
              <w:t>30</w:t>
            </w:r>
            <w:r>
              <w:rPr>
                <w:rFonts w:hint="eastAsia" w:ascii="方正仿宋简体" w:hAnsi="方正仿宋简体" w:eastAsia="方正仿宋简体" w:cs="方正仿宋简体"/>
                <w:kern w:val="0"/>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DE8E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19D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9258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26C3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083E48FE">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0093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E786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D865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8AF8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665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2BE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2B3A9A0B">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2F19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B2C5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0AA1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462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2A53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27</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987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1</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73</w:t>
            </w:r>
          </w:p>
        </w:tc>
      </w:tr>
      <w:tr w14:paraId="3D3671C8">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4743D">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BEC4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预算执行</w:t>
            </w:r>
          </w:p>
          <w:p w14:paraId="2E84286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eastAsia="zh"/>
              </w:rPr>
              <w:t>3</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EC24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BC8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D98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eastAsia="zh"/>
              </w:rPr>
              <w:t>2</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val="en-US" w:eastAsia="zh-CN"/>
              </w:rPr>
              <w:t>73</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A395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7</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val="en-US" w:eastAsia="zh-CN"/>
              </w:rPr>
              <w:t>27</w:t>
            </w:r>
            <w:r>
              <w:rPr>
                <w:rFonts w:hint="eastAsia" w:ascii="方正仿宋简体" w:hAnsi="方正仿宋简体" w:eastAsia="方正仿宋简体" w:cs="方正仿宋简体"/>
                <w:kern w:val="0"/>
                <w:sz w:val="32"/>
                <w:szCs w:val="32"/>
                <w:highlight w:val="none"/>
              </w:rPr>
              <w:t xml:space="preserve"> </w:t>
            </w:r>
          </w:p>
        </w:tc>
      </w:tr>
      <w:tr w14:paraId="3A7F8CB7">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7E1D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F0FCD">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E158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B83C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C211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D81F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4CAC0B9D">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613DC">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lang w:eastAsia="zh"/>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4AE6B">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345D">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801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2F36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1905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700F2C2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658FA">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lang w:eastAsia="zh"/>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71F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完成结果</w:t>
            </w:r>
          </w:p>
          <w:p w14:paraId="7FB025F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D081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228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98C2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D96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2A4485BB">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11D89D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lang w:eastAsia="zh"/>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F2DD">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DDD40">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DFB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D52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E28E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73E14BF2">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CB1FE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绩效结果应用（</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942AB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信息公开</w:t>
            </w:r>
          </w:p>
          <w:p w14:paraId="3736F4F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525F61D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3039805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CB65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CC8D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174855FC">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2B8871">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21E157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整改反馈</w:t>
            </w:r>
          </w:p>
          <w:p w14:paraId="272A5BD6">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1F11DFE9">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C7A5D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20BC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B005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239754F7">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175254">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BE39AF">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26B7A7E5">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6EB0D44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DA58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1</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FDB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3</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74615AFF">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7FA353A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自评质量</w:t>
            </w:r>
          </w:p>
          <w:p w14:paraId="37CC47C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32EA02D8">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自评质量</w:t>
            </w:r>
          </w:p>
          <w:p w14:paraId="567BEDB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6B5C3A42">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3E49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92C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F98A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14915AE7">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D847">
            <w:pPr>
              <w:pStyle w:val="36"/>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20E8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36E9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1</w:t>
            </w:r>
            <w:r>
              <w:rPr>
                <w:rFonts w:hint="default" w:ascii="Times New Roman" w:hAnsi="Times New Roman" w:eastAsia="方正仿宋简体" w:cs="Times New Roman"/>
                <w:kern w:val="0"/>
                <w:sz w:val="32"/>
                <w:szCs w:val="32"/>
                <w:highlight w:val="none"/>
                <w:lang w:val="en-US" w:eastAsia="zh-CN"/>
              </w:rPr>
              <w:t>2</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656E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eastAsia="zh"/>
              </w:rPr>
              <w:t>88</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val="en-US" w:eastAsia="zh-CN"/>
              </w:rPr>
              <w:t>00</w:t>
            </w:r>
          </w:p>
        </w:tc>
      </w:tr>
    </w:tbl>
    <w:p w14:paraId="43CBED9D">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22" w:name="_Toc16394"/>
      <w:bookmarkStart w:id="123" w:name="_Toc1687911260"/>
      <w:bookmarkStart w:id="124" w:name="_Toc109483841"/>
      <w:bookmarkStart w:id="125" w:name="_Toc26985"/>
      <w:bookmarkStart w:id="126" w:name="_Toc28722"/>
      <w:bookmarkStart w:id="127" w:name="_Toc176605410"/>
      <w:bookmarkStart w:id="128" w:name="_Toc22903"/>
      <w:bookmarkStart w:id="129" w:name="_Toc24818"/>
      <w:bookmarkStart w:id="130" w:name="_Toc28266"/>
      <w:bookmarkStart w:id="131" w:name="_Toc31945"/>
      <w:r>
        <w:rPr>
          <w:rFonts w:hint="eastAsia" w:ascii="方正楷体简体" w:hAnsi="方正楷体简体" w:eastAsia="方正楷体简体" w:cs="方正楷体简体"/>
          <w:color w:val="000000"/>
          <w:kern w:val="0"/>
          <w:sz w:val="32"/>
          <w:szCs w:val="32"/>
          <w:highlight w:val="none"/>
          <w:shd w:val="clear" w:color="auto" w:fill="FFFFFF"/>
          <w:lang w:val="zh-CN"/>
        </w:rPr>
        <w:t>（三</w:t>
      </w:r>
      <w:bookmarkEnd w:id="122"/>
      <w:bookmarkEnd w:id="123"/>
      <w:bookmarkEnd w:id="124"/>
      <w:bookmarkEnd w:id="125"/>
      <w:r>
        <w:rPr>
          <w:rFonts w:hint="eastAsia" w:ascii="方正楷体简体" w:hAnsi="方正楷体简体" w:eastAsia="方正楷体简体" w:cs="方正楷体简体"/>
          <w:color w:val="000000"/>
          <w:kern w:val="0"/>
          <w:sz w:val="32"/>
          <w:szCs w:val="32"/>
          <w:highlight w:val="none"/>
          <w:shd w:val="clear" w:color="auto" w:fill="FFFFFF"/>
          <w:lang w:val="zh-CN"/>
        </w:rPr>
        <w:t>）绩效结果运用</w:t>
      </w:r>
      <w:bookmarkEnd w:id="126"/>
      <w:bookmarkEnd w:id="127"/>
      <w:bookmarkEnd w:id="128"/>
    </w:p>
    <w:p w14:paraId="77AD4FB6">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泸定县行政审批局</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根据单位</w:t>
      </w:r>
      <w:r>
        <w:rPr>
          <w:rFonts w:hint="eastAsia" w:ascii="方正仿宋简体" w:hAnsi="方正仿宋简体" w:eastAsia="方正仿宋简体" w:cs="方正仿宋简体"/>
          <w:sz w:val="32"/>
          <w:szCs w:val="32"/>
          <w:highlight w:val="none"/>
        </w:rPr>
        <w:t>职能职责和年度工作任务目标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在县委县政</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府的</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坚持</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领导下，在州行政审批局的业务指导下，紧紧围绕县委</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工</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作思路，贯彻落实中央、省、州深化“放管服”改革优化营商环境各项工作要求，进一步解放思想、创新政务服务模式，融入新发展格局，</w:t>
      </w:r>
      <w:r>
        <w:rPr>
          <w:rFonts w:hint="eastAsia" w:ascii="方正仿宋简体" w:hAnsi="方正仿宋简体" w:eastAsia="方正仿宋简体" w:cs="方正仿宋简体"/>
          <w:sz w:val="32"/>
          <w:szCs w:val="32"/>
          <w:highlight w:val="none"/>
          <w:lang w:bidi="ar"/>
        </w:rPr>
        <w:t>在维持部门运转的基础上，完成了部门职责范围内的各项工作</w:t>
      </w:r>
      <w:r>
        <w:rPr>
          <w:rFonts w:hint="eastAsia" w:ascii="方正仿宋简体" w:hAnsi="方正仿宋简体" w:eastAsia="方正仿宋简体" w:cs="方正仿宋简体"/>
          <w:sz w:val="32"/>
          <w:szCs w:val="32"/>
          <w:highlight w:val="none"/>
        </w:rPr>
        <w:t>。通过评价组对</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泸定县行政审批局</w:t>
      </w:r>
      <w:r>
        <w:rPr>
          <w:rFonts w:hint="eastAsia" w:ascii="方正仿宋简体" w:hAnsi="方正仿宋简体" w:eastAsia="方正仿宋简体" w:cs="方正仿宋简体"/>
          <w:sz w:val="32"/>
          <w:szCs w:val="32"/>
          <w:highlight w:val="none"/>
        </w:rPr>
        <w:t>进行事后评价，最终</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泸定县行政审批局</w:t>
      </w:r>
      <w:r>
        <w:rPr>
          <w:rFonts w:hint="eastAsia" w:ascii="方正仿宋简体" w:hAnsi="方正仿宋简体" w:eastAsia="方正仿宋简体" w:cs="方正仿宋简体"/>
          <w:sz w:val="32"/>
          <w:szCs w:val="32"/>
          <w:highlight w:val="none"/>
        </w:rPr>
        <w:t>绩效等级为“良”。秉承科学公正、统筹兼顾、激励约束和公开透明财政绩效原则。</w:t>
      </w:r>
      <w:r>
        <w:rPr>
          <w:rFonts w:hint="eastAsia" w:ascii="方正仿宋简体" w:hAnsi="方正仿宋简体" w:eastAsia="方正仿宋简体" w:cs="方正仿宋简体"/>
          <w:sz w:val="32"/>
          <w:szCs w:val="32"/>
          <w:highlight w:val="none"/>
          <w:lang w:eastAsia="zh-CN"/>
        </w:rPr>
        <w:t>我单位</w:t>
      </w:r>
      <w:r>
        <w:rPr>
          <w:rFonts w:hint="eastAsia" w:ascii="方正仿宋简体" w:hAnsi="方正仿宋简体" w:eastAsia="方正仿宋简体" w:cs="方正仿宋简体"/>
          <w:sz w:val="32"/>
          <w:szCs w:val="32"/>
          <w:highlight w:val="none"/>
        </w:rPr>
        <w:t>建议泸定县财政局针对部门预算绩效管理，进一步要求</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泸定县行政审批局</w:t>
      </w:r>
      <w:r>
        <w:rPr>
          <w:rFonts w:hint="eastAsia" w:ascii="方正仿宋简体" w:hAnsi="方正仿宋简体" w:eastAsia="方正仿宋简体" w:cs="方正仿宋简体"/>
          <w:sz w:val="32"/>
          <w:szCs w:val="32"/>
          <w:highlight w:val="none"/>
        </w:rPr>
        <w:t>提高绩效自评质量、加强年初预算编制准确性、及时编制绩效结果运用并向财政报告。</w:t>
      </w:r>
    </w:p>
    <w:p w14:paraId="2759081E">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32" w:name="_Toc176605411"/>
      <w:bookmarkStart w:id="133" w:name="_Toc27901"/>
      <w:bookmarkStart w:id="134" w:name="_Toc29521"/>
      <w:r>
        <w:rPr>
          <w:rFonts w:hint="eastAsia" w:ascii="方正楷体简体" w:hAnsi="方正楷体简体" w:eastAsia="方正楷体简体" w:cs="方正楷体简体"/>
          <w:color w:val="000000"/>
          <w:kern w:val="0"/>
          <w:sz w:val="32"/>
          <w:szCs w:val="32"/>
          <w:highlight w:val="none"/>
          <w:shd w:val="clear" w:color="auto" w:fill="FFFFFF"/>
          <w:lang w:val="zh-CN"/>
        </w:rPr>
        <w:t>（四）评价分析</w:t>
      </w:r>
      <w:bookmarkEnd w:id="129"/>
      <w:bookmarkEnd w:id="130"/>
      <w:bookmarkEnd w:id="131"/>
      <w:bookmarkEnd w:id="132"/>
      <w:bookmarkEnd w:id="133"/>
      <w:bookmarkEnd w:id="134"/>
    </w:p>
    <w:p w14:paraId="1D992338">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p>
    <w:p w14:paraId="16E8D74A">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二级指标“预算编制”下设三个三级指标分别为：</w:t>
      </w:r>
      <w:r>
        <w:rPr>
          <w:rFonts w:hint="eastAsia" w:ascii="方正仿宋简体" w:hAnsi="方正仿宋简体" w:eastAsia="方正仿宋简体" w:cs="方正仿宋简体"/>
          <w:sz w:val="32"/>
          <w:szCs w:val="32"/>
          <w:highlight w:val="none"/>
        </w:rPr>
        <w:t>目标制定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目标实现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编制准确</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7D97F15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kern w:val="2"/>
          <w:sz w:val="32"/>
          <w:szCs w:val="32"/>
          <w:highlight w:val="none"/>
          <w:lang w:val="en-US" w:eastAsia="zh-CN" w:bidi="ar-SA"/>
        </w:rPr>
        <w:t>（1）</w:t>
      </w:r>
      <w:r>
        <w:rPr>
          <w:rFonts w:hint="eastAsia" w:ascii="方正仿宋简体" w:hAnsi="方正仿宋简体" w:eastAsia="方正仿宋简体" w:cs="方正仿宋简体"/>
          <w:sz w:val="32"/>
          <w:szCs w:val="32"/>
          <w:highlight w:val="none"/>
        </w:rPr>
        <w:t>目标制定</w:t>
      </w:r>
    </w:p>
    <w:p w14:paraId="4912B76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 w:bidi="ar"/>
        </w:rPr>
        <w:t>根据泸定县行政审批局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年政务大厅人员伙食补助经费、采购办工作经费、网租费、政务大厅办公费、泸定“一网通办”及天府通办APP运行维护项目</w:t>
      </w:r>
      <w:r>
        <w:rPr>
          <w:rFonts w:hint="default" w:ascii="Times New Roman" w:hAnsi="Times New Roman" w:eastAsia="方正仿宋简体" w:cs="Times New Roman"/>
          <w:kern w:val="0"/>
          <w:sz w:val="32"/>
          <w:szCs w:val="32"/>
          <w:highlight w:val="none"/>
          <w:lang w:eastAsia="zh" w:bidi="ar"/>
        </w:rPr>
        <w:t>5</w:t>
      </w:r>
      <w:r>
        <w:rPr>
          <w:rFonts w:hint="eastAsia" w:ascii="方正仿宋简体" w:hAnsi="方正仿宋简体" w:eastAsia="方正仿宋简体" w:cs="方正仿宋简体"/>
          <w:kern w:val="0"/>
          <w:sz w:val="32"/>
          <w:szCs w:val="32"/>
          <w:highlight w:val="none"/>
          <w:lang w:eastAsia="zh" w:bidi="ar"/>
        </w:rPr>
        <w:t>个部门预算项目绩效目标申报表显示：其</w:t>
      </w:r>
      <w:r>
        <w:rPr>
          <w:rFonts w:hint="eastAsia" w:ascii="方正仿宋简体" w:hAnsi="方正仿宋简体" w:eastAsia="方正仿宋简体" w:cs="方正仿宋简体"/>
          <w:kern w:val="0"/>
          <w:sz w:val="32"/>
          <w:szCs w:val="32"/>
          <w:highlight w:val="none"/>
          <w:lang w:bidi="ar"/>
        </w:rPr>
        <w:t>下设</w:t>
      </w:r>
      <w:r>
        <w:rPr>
          <w:rFonts w:hint="eastAsia" w:ascii="方正仿宋简体" w:hAnsi="方正仿宋简体" w:eastAsia="方正仿宋简体" w:cs="方正仿宋简体"/>
          <w:kern w:val="0"/>
          <w:sz w:val="32"/>
          <w:szCs w:val="32"/>
          <w:highlight w:val="none"/>
          <w:lang w:eastAsia="zh" w:bidi="ar"/>
        </w:rPr>
        <w:t>数量、质量、时效、成本、效益和满意度等</w:t>
      </w:r>
      <w:r>
        <w:rPr>
          <w:rFonts w:hint="eastAsia" w:ascii="方正仿宋简体" w:hAnsi="方正仿宋简体" w:eastAsia="方正仿宋简体" w:cs="方正仿宋简体"/>
          <w:kern w:val="0"/>
          <w:sz w:val="32"/>
          <w:szCs w:val="32"/>
          <w:highlight w:val="none"/>
          <w:lang w:bidi="ar"/>
        </w:rPr>
        <w:t>三级指标和指标值，绩效目标要素完整，指标明确、细致且量化。</w:t>
      </w:r>
    </w:p>
    <w:p w14:paraId="6E12BCC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5FE0769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）目标实现</w:t>
      </w:r>
    </w:p>
    <w:p w14:paraId="413201C7">
      <w:pPr>
        <w:keepNext w:val="0"/>
        <w:keepLines w:val="0"/>
        <w:pageBreakBefore w:val="0"/>
        <w:kinsoku/>
        <w:wordWrap/>
        <w:overflowPunct/>
        <w:topLinePunct w:val="0"/>
        <w:autoSpaceDE/>
        <w:autoSpaceDN/>
        <w:bidi w:val="0"/>
        <w:spacing w:line="600" w:lineRule="exact"/>
        <w:ind w:left="0" w:firstLine="567"/>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w w:val="95"/>
          <w:kern w:val="0"/>
          <w:sz w:val="32"/>
          <w:szCs w:val="32"/>
          <w:highlight w:val="none"/>
          <w:lang w:bidi="ar"/>
        </w:rPr>
        <w:t>评价组</w:t>
      </w:r>
      <w:r>
        <w:rPr>
          <w:rFonts w:hint="eastAsia" w:ascii="方正仿宋简体" w:hAnsi="方正仿宋简体" w:eastAsia="方正仿宋简体" w:cs="方正仿宋简体"/>
          <w:w w:val="95"/>
          <w:kern w:val="0"/>
          <w:sz w:val="32"/>
          <w:szCs w:val="32"/>
          <w:highlight w:val="none"/>
          <w:lang w:eastAsia="zh" w:bidi="ar"/>
        </w:rPr>
        <w:t>检查</w:t>
      </w:r>
      <w:r>
        <w:rPr>
          <w:rFonts w:hint="eastAsia" w:ascii="方正仿宋简体" w:hAnsi="方正仿宋简体" w:eastAsia="方正仿宋简体" w:cs="方正仿宋简体"/>
          <w:w w:val="95"/>
          <w:kern w:val="0"/>
          <w:sz w:val="32"/>
          <w:szCs w:val="32"/>
          <w:highlight w:val="none"/>
          <w:lang w:bidi="ar"/>
        </w:rPr>
        <w:t>了</w:t>
      </w:r>
      <w:r>
        <w:rPr>
          <w:rFonts w:hint="default" w:ascii="Times New Roman" w:hAnsi="Times New Roman" w:eastAsia="方正仿宋简体" w:cs="Times New Roman"/>
          <w:w w:val="95"/>
          <w:kern w:val="0"/>
          <w:sz w:val="32"/>
          <w:szCs w:val="32"/>
          <w:highlight w:val="none"/>
          <w:lang w:bidi="ar"/>
        </w:rPr>
        <w:t>5</w:t>
      </w:r>
      <w:r>
        <w:rPr>
          <w:rFonts w:hint="eastAsia" w:ascii="方正仿宋简体" w:hAnsi="方正仿宋简体" w:eastAsia="方正仿宋简体" w:cs="方正仿宋简体"/>
          <w:w w:val="95"/>
          <w:kern w:val="0"/>
          <w:sz w:val="32"/>
          <w:szCs w:val="32"/>
          <w:highlight w:val="none"/>
          <w:lang w:bidi="ar"/>
        </w:rPr>
        <w:t>个部门预算项目</w:t>
      </w:r>
      <w:r>
        <w:rPr>
          <w:rFonts w:hint="eastAsia" w:ascii="方正仿宋简体" w:hAnsi="方正仿宋简体" w:eastAsia="方正仿宋简体" w:cs="方正仿宋简体"/>
          <w:w w:val="95"/>
          <w:kern w:val="0"/>
          <w:sz w:val="32"/>
          <w:szCs w:val="32"/>
          <w:highlight w:val="none"/>
          <w:lang w:eastAsia="zh" w:bidi="ar"/>
        </w:rPr>
        <w:t>完成情况</w:t>
      </w:r>
      <w:r>
        <w:rPr>
          <w:rFonts w:hint="eastAsia" w:ascii="方正仿宋简体" w:hAnsi="方正仿宋简体" w:eastAsia="方正仿宋简体" w:cs="方正仿宋简体"/>
          <w:w w:val="95"/>
          <w:kern w:val="0"/>
          <w:sz w:val="32"/>
          <w:szCs w:val="32"/>
          <w:highlight w:val="none"/>
          <w:lang w:bidi="ar"/>
        </w:rPr>
        <w:t>，一共设定</w:t>
      </w:r>
      <w:r>
        <w:rPr>
          <w:rFonts w:hint="default" w:ascii="Times New Roman" w:hAnsi="Times New Roman" w:eastAsia="方正仿宋简体" w:cs="Times New Roman"/>
          <w:w w:val="95"/>
          <w:kern w:val="0"/>
          <w:sz w:val="32"/>
          <w:szCs w:val="32"/>
          <w:highlight w:val="none"/>
          <w:lang w:bidi="ar"/>
        </w:rPr>
        <w:t>8</w:t>
      </w:r>
      <w:r>
        <w:rPr>
          <w:rFonts w:hint="eastAsia" w:ascii="方正仿宋简体" w:hAnsi="方正仿宋简体" w:eastAsia="方正仿宋简体" w:cs="方正仿宋简体"/>
          <w:w w:val="95"/>
          <w:kern w:val="0"/>
          <w:sz w:val="32"/>
          <w:szCs w:val="32"/>
          <w:highlight w:val="none"/>
          <w:lang w:bidi="ar"/>
        </w:rPr>
        <w:t>个数量指标，已全部完成。</w:t>
      </w:r>
    </w:p>
    <w:p w14:paraId="367B0C5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2995C97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）编制准确</w:t>
      </w:r>
    </w:p>
    <w:p w14:paraId="725E9BD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bidi="ar"/>
        </w:rPr>
        <w:t>泸定县行政审批局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年部门全年预算调剂金额为</w:t>
      </w:r>
      <w:r>
        <w:rPr>
          <w:rFonts w:hint="default" w:ascii="Times New Roman" w:hAnsi="Times New Roman" w:eastAsia="方正仿宋简体" w:cs="Times New Roman"/>
          <w:kern w:val="0"/>
          <w:sz w:val="32"/>
          <w:szCs w:val="32"/>
          <w:highlight w:val="none"/>
          <w:lang w:bidi="ar"/>
        </w:rPr>
        <w:t>25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57</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bidi="ar"/>
        </w:rPr>
        <w:t>309</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34</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27%</w:t>
      </w:r>
      <w:r>
        <w:rPr>
          <w:rFonts w:hint="eastAsia" w:ascii="方正仿宋简体" w:hAnsi="方正仿宋简体" w:eastAsia="方正仿宋简体" w:cs="方正仿宋简体"/>
          <w:kern w:val="0"/>
          <w:sz w:val="32"/>
          <w:szCs w:val="32"/>
          <w:highlight w:val="none"/>
          <w:lang w:bidi="ar"/>
        </w:rPr>
        <w:t>。指标得分=</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bidi="ar"/>
        </w:rPr>
        <w:t>1</w:t>
      </w:r>
      <w:r>
        <w:rPr>
          <w:rFonts w:hint="eastAsia" w:ascii="方正仿宋简体" w:hAnsi="方正仿宋简体" w:eastAsia="方正仿宋简体" w:cs="方正仿宋简体"/>
          <w:kern w:val="0"/>
          <w:sz w:val="32"/>
          <w:szCs w:val="32"/>
          <w:highlight w:val="none"/>
          <w:lang w:bidi="ar"/>
        </w:rPr>
        <w:t>-</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27%</w:t>
      </w:r>
      <w:r>
        <w:rPr>
          <w:rFonts w:hint="eastAsia" w:ascii="方正仿宋简体" w:hAnsi="方正仿宋简体" w:eastAsia="方正仿宋简体" w:cs="方正仿宋简体"/>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1</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73</w:t>
      </w:r>
      <w:r>
        <w:rPr>
          <w:rFonts w:hint="eastAsia" w:ascii="方正仿宋简体" w:hAnsi="方正仿宋简体" w:eastAsia="方正仿宋简体" w:cs="方正仿宋简体"/>
          <w:kern w:val="0"/>
          <w:sz w:val="32"/>
          <w:szCs w:val="32"/>
          <w:highlight w:val="none"/>
          <w:lang w:bidi="ar"/>
        </w:rPr>
        <w:t>分</w:t>
      </w:r>
      <w:r>
        <w:rPr>
          <w:rFonts w:hint="eastAsia" w:ascii="方正仿宋简体" w:hAnsi="方正仿宋简体" w:eastAsia="方正仿宋简体" w:cs="方正仿宋简体"/>
          <w:kern w:val="0"/>
          <w:sz w:val="32"/>
          <w:szCs w:val="32"/>
          <w:highlight w:val="none"/>
          <w:lang w:eastAsia="zh" w:bidi="ar"/>
        </w:rPr>
        <w:t>。</w:t>
      </w:r>
    </w:p>
    <w:p w14:paraId="328E71F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27</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73</w:t>
      </w:r>
      <w:r>
        <w:rPr>
          <w:rFonts w:hint="eastAsia" w:ascii="方正仿宋简体" w:hAnsi="方正仿宋简体" w:eastAsia="方正仿宋简体" w:cs="方正仿宋简体"/>
          <w:kern w:val="0"/>
          <w:sz w:val="32"/>
          <w:szCs w:val="32"/>
          <w:highlight w:val="none"/>
          <w:lang w:bidi="ar"/>
        </w:rPr>
        <w:t>分。</w:t>
      </w:r>
    </w:p>
    <w:p w14:paraId="1DB79E66">
      <w:pPr>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二级指标“预算编制”</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eastAsia="zh"/>
        </w:rPr>
        <w:t>30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8</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27</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28447E5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p>
    <w:p w14:paraId="66AF3D1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二级指标“预算执行”下设三个三级指标分别为：支出控制、动态调整和执行进度。</w:t>
      </w:r>
    </w:p>
    <w:p w14:paraId="6BC7C71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）支出控制</w:t>
      </w:r>
    </w:p>
    <w:p w14:paraId="6A2DA37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泸定县行政审批局</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门公用经费和非定额公用支出中办公费、印刷费等一共</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个科目，其中</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个科目年初预算数与决算数偏差率低于</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个科目年初预算数与决算数偏差率位于</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之间，指标得分=（</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50%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分。</w:t>
      </w:r>
    </w:p>
    <w:p w14:paraId="73E595B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eastAsia="zh" w:bidi="ar"/>
        </w:rPr>
        <w:t>2</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val="en-US" w:eastAsia="zh-CN" w:bidi="ar"/>
        </w:rPr>
        <w:t>73</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val="en-US" w:eastAsia="zh-CN" w:bidi="ar"/>
        </w:rPr>
        <w:t>27</w:t>
      </w:r>
      <w:r>
        <w:rPr>
          <w:rFonts w:hint="eastAsia" w:ascii="方正仿宋简体" w:hAnsi="方正仿宋简体" w:eastAsia="方正仿宋简体" w:cs="方正仿宋简体"/>
          <w:kern w:val="0"/>
          <w:sz w:val="32"/>
          <w:szCs w:val="32"/>
          <w:highlight w:val="none"/>
          <w:lang w:bidi="ar"/>
        </w:rPr>
        <w:t>分。</w:t>
      </w:r>
    </w:p>
    <w:p w14:paraId="49ACE31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）动态调整</w:t>
      </w:r>
    </w:p>
    <w:p w14:paraId="08900AE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283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万元，年末未使用完指标结余注销金额（县级预算）为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万元。指标得分=</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283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79</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18FDE4F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5F462E1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）执行进度</w:t>
      </w:r>
    </w:p>
    <w:p w14:paraId="76BB2D1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eastAsia="zh" w:bidi="ar"/>
        </w:rPr>
        <w:t>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143</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20</w:t>
      </w:r>
      <w:r>
        <w:rPr>
          <w:rFonts w:hint="eastAsia" w:ascii="方正仿宋简体" w:hAnsi="方正仿宋简体" w:eastAsia="方正仿宋简体" w:cs="方正仿宋简体"/>
          <w:kern w:val="0"/>
          <w:sz w:val="32"/>
          <w:szCs w:val="32"/>
          <w:highlight w:val="none"/>
          <w:lang w:eastAsia="zh" w:bidi="ar"/>
        </w:rPr>
        <w:t>万元，根据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195</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51</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277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24</w:t>
      </w:r>
      <w:r>
        <w:rPr>
          <w:rFonts w:hint="eastAsia" w:ascii="方正仿宋简体" w:hAnsi="方正仿宋简体" w:eastAsia="方正仿宋简体" w:cs="方正仿宋简体"/>
          <w:kern w:val="0"/>
          <w:sz w:val="32"/>
          <w:szCs w:val="32"/>
          <w:highlight w:val="none"/>
          <w:lang w:eastAsia="zh" w:bidi="ar"/>
        </w:rPr>
        <w:t>万元，年度预算总额为</w:t>
      </w:r>
      <w:r>
        <w:rPr>
          <w:rFonts w:hint="default" w:ascii="Times New Roman" w:hAnsi="Times New Roman" w:eastAsia="方正仿宋简体" w:cs="Times New Roman"/>
          <w:kern w:val="0"/>
          <w:sz w:val="32"/>
          <w:szCs w:val="32"/>
          <w:highlight w:val="none"/>
          <w:lang w:eastAsia="zh" w:bidi="ar"/>
        </w:rPr>
        <w:t>283</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79</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月实际执行进度为</w:t>
      </w:r>
      <w:r>
        <w:rPr>
          <w:rFonts w:hint="default" w:ascii="Times New Roman" w:hAnsi="Times New Roman" w:eastAsia="方正仿宋简体" w:cs="Times New Roman"/>
          <w:kern w:val="0"/>
          <w:sz w:val="32"/>
          <w:szCs w:val="32"/>
          <w:highlight w:val="none"/>
          <w:lang w:eastAsia="zh" w:bidi="ar"/>
        </w:rPr>
        <w:t>50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46%</w:t>
      </w:r>
      <w:r>
        <w:rPr>
          <w:rFonts w:hint="eastAsia" w:ascii="方正仿宋简体" w:hAnsi="方正仿宋简体" w:eastAsia="方正仿宋简体" w:cs="方正仿宋简体"/>
          <w:kern w:val="0"/>
          <w:sz w:val="32"/>
          <w:szCs w:val="32"/>
          <w:highlight w:val="none"/>
          <w:lang w:eastAsia="zh" w:bidi="ar"/>
        </w:rPr>
        <w:t>（大于</w:t>
      </w:r>
      <w:r>
        <w:rPr>
          <w:rFonts w:hint="default" w:ascii="Times New Roman" w:hAnsi="Times New Roman" w:eastAsia="方正仿宋简体" w:cs="Times New Roman"/>
          <w:kern w:val="0"/>
          <w:sz w:val="32"/>
          <w:szCs w:val="32"/>
          <w:highlight w:val="none"/>
          <w:lang w:eastAsia="zh" w:bidi="ar"/>
        </w:rPr>
        <w:t>40%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月实际执行金额为</w:t>
      </w:r>
      <w:r>
        <w:rPr>
          <w:rFonts w:hint="default" w:ascii="Times New Roman" w:hAnsi="Times New Roman" w:eastAsia="方正仿宋简体" w:cs="Times New Roman"/>
          <w:kern w:val="0"/>
          <w:sz w:val="32"/>
          <w:szCs w:val="32"/>
          <w:highlight w:val="none"/>
          <w:lang w:eastAsia="zh" w:bidi="ar"/>
        </w:rPr>
        <w:t>68</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89%</w:t>
      </w:r>
      <w:r>
        <w:rPr>
          <w:rFonts w:hint="eastAsia" w:ascii="方正仿宋简体" w:hAnsi="方正仿宋简体" w:eastAsia="方正仿宋简体" w:cs="方正仿宋简体"/>
          <w:kern w:val="0"/>
          <w:sz w:val="32"/>
          <w:szCs w:val="32"/>
          <w:highlight w:val="none"/>
          <w:lang w:eastAsia="zh" w:bidi="ar"/>
        </w:rPr>
        <w:t>（大于</w:t>
      </w:r>
      <w:r>
        <w:rPr>
          <w:rFonts w:hint="default" w:ascii="Times New Roman" w:hAnsi="Times New Roman" w:eastAsia="方正仿宋简体" w:cs="Times New Roman"/>
          <w:kern w:val="0"/>
          <w:sz w:val="32"/>
          <w:szCs w:val="32"/>
          <w:highlight w:val="none"/>
          <w:lang w:eastAsia="zh" w:bidi="ar"/>
        </w:rPr>
        <w:t>67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月实际执行进度为</w:t>
      </w:r>
      <w:r>
        <w:rPr>
          <w:rFonts w:hint="default" w:ascii="Times New Roman" w:hAnsi="Times New Roman" w:eastAsia="方正仿宋简体" w:cs="Times New Roman"/>
          <w:kern w:val="0"/>
          <w:sz w:val="32"/>
          <w:szCs w:val="32"/>
          <w:highlight w:val="none"/>
          <w:lang w:eastAsia="zh" w:bidi="ar"/>
        </w:rPr>
        <w:t>97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69%</w:t>
      </w:r>
      <w:r>
        <w:rPr>
          <w:rFonts w:hint="eastAsia" w:ascii="方正仿宋简体" w:hAnsi="方正仿宋简体" w:eastAsia="方正仿宋简体" w:cs="方正仿宋简体"/>
          <w:kern w:val="0"/>
          <w:sz w:val="32"/>
          <w:szCs w:val="32"/>
          <w:highlight w:val="none"/>
          <w:lang w:eastAsia="zh" w:bidi="ar"/>
        </w:rPr>
        <w:t>（大于</w:t>
      </w:r>
      <w:r>
        <w:rPr>
          <w:rFonts w:hint="default" w:ascii="Times New Roman" w:hAnsi="Times New Roman" w:eastAsia="方正仿宋简体" w:cs="Times New Roman"/>
          <w:kern w:val="0"/>
          <w:sz w:val="32"/>
          <w:szCs w:val="32"/>
          <w:highlight w:val="none"/>
          <w:lang w:eastAsia="zh-CN" w:bidi="ar"/>
        </w:rPr>
        <w:t>8</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eastAsia="zh" w:bidi="ar"/>
        </w:rPr>
        <w:t>）。</w:t>
      </w:r>
    </w:p>
    <w:p w14:paraId="226368C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val="en-US" w:eastAsia="zh-CN" w:bidi="ar"/>
        </w:rPr>
        <w:t>综上，以上三个阶段均已达到目标进度。</w:t>
      </w:r>
      <w:r>
        <w:rPr>
          <w:rFonts w:hint="eastAsia" w:ascii="方正仿宋简体" w:hAnsi="方正仿宋简体" w:eastAsia="方正仿宋简体" w:cs="方正仿宋简体"/>
          <w:kern w:val="0"/>
          <w:sz w:val="32"/>
          <w:szCs w:val="32"/>
          <w:highlight w:val="none"/>
          <w:lang w:bidi="ar"/>
        </w:rPr>
        <w:t xml:space="preserve">                                    </w:t>
      </w:r>
    </w:p>
    <w:p w14:paraId="5AB738C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420A747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eastAsia="zh"/>
        </w:rPr>
        <w:t>3</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2</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CN"/>
        </w:rPr>
        <w:t>7</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26223C2A">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p>
    <w:p w14:paraId="0A6AEFAD">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二级指标“完成结果”下设两个三级指标分别为：预算完成和违规记录。</w:t>
      </w:r>
    </w:p>
    <w:p w14:paraId="43798036">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）预算完成</w:t>
      </w:r>
    </w:p>
    <w:p w14:paraId="2738729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泸定县行政审批局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年存在</w:t>
      </w:r>
      <w:r>
        <w:rPr>
          <w:rFonts w:hint="default" w:ascii="Times New Roman" w:hAnsi="Times New Roman" w:eastAsia="方正仿宋简体" w:cs="Times New Roman"/>
          <w:kern w:val="0"/>
          <w:sz w:val="32"/>
          <w:szCs w:val="32"/>
          <w:highlight w:val="none"/>
          <w:lang w:eastAsia="zh" w:bidi="ar"/>
        </w:rPr>
        <w:t>5</w:t>
      </w:r>
      <w:r>
        <w:rPr>
          <w:rFonts w:hint="eastAsia" w:ascii="方正仿宋简体" w:hAnsi="方正仿宋简体" w:eastAsia="方正仿宋简体" w:cs="方正仿宋简体"/>
          <w:kern w:val="0"/>
          <w:sz w:val="32"/>
          <w:szCs w:val="32"/>
          <w:highlight w:val="none"/>
          <w:lang w:bidi="ar"/>
        </w:rPr>
        <w:t>个部门预算项目，年度预算总额为</w:t>
      </w:r>
      <w:r>
        <w:rPr>
          <w:rFonts w:hint="default" w:ascii="Times New Roman" w:hAnsi="Times New Roman" w:eastAsia="方正仿宋简体" w:cs="Times New Roman"/>
          <w:kern w:val="0"/>
          <w:sz w:val="32"/>
          <w:szCs w:val="32"/>
          <w:highlight w:val="none"/>
          <w:lang w:eastAsia="zh" w:bidi="ar"/>
        </w:rPr>
        <w:t>61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78</w:t>
      </w:r>
      <w:r>
        <w:rPr>
          <w:rFonts w:hint="eastAsia" w:ascii="方正仿宋简体" w:hAnsi="方正仿宋简体" w:eastAsia="方正仿宋简体" w:cs="方正仿宋简体"/>
          <w:kern w:val="0"/>
          <w:sz w:val="32"/>
          <w:szCs w:val="32"/>
          <w:highlight w:val="none"/>
          <w:lang w:bidi="ar"/>
        </w:rPr>
        <w:t>万元，已全部支出，年度预算执行进度为</w:t>
      </w:r>
      <w:r>
        <w:rPr>
          <w:rFonts w:hint="default" w:ascii="Times New Roman" w:hAnsi="Times New Roman" w:eastAsia="方正仿宋简体" w:cs="Times New Roman"/>
          <w:kern w:val="0"/>
          <w:sz w:val="32"/>
          <w:szCs w:val="32"/>
          <w:highlight w:val="none"/>
          <w:lang w:bidi="ar"/>
        </w:rPr>
        <w:t>100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w:t>
      </w:r>
    </w:p>
    <w:p w14:paraId="3B90853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32543719">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）违规记录</w:t>
      </w:r>
    </w:p>
    <w:p w14:paraId="63D28DE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bidi="ar"/>
        </w:rPr>
        <w:t>泸定县行政审批局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年无审计监督、财政检查等事项</w:t>
      </w:r>
      <w:r>
        <w:rPr>
          <w:rFonts w:hint="eastAsia" w:ascii="方正仿宋简体" w:hAnsi="方正仿宋简体" w:eastAsia="方正仿宋简体" w:cs="方正仿宋简体"/>
          <w:kern w:val="0"/>
          <w:sz w:val="32"/>
          <w:szCs w:val="32"/>
          <w:highlight w:val="none"/>
          <w:lang w:eastAsia="zh" w:bidi="ar"/>
        </w:rPr>
        <w:t>。</w:t>
      </w:r>
    </w:p>
    <w:p w14:paraId="1F9BA0C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3072D5E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二级指标“完成结果”</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分，此处得分为</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w:t>
      </w:r>
    </w:p>
    <w:p w14:paraId="40856EFD">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p>
    <w:p w14:paraId="59FFB8D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二级指标“信息公开”下设一个三级指标为自评公开。</w:t>
      </w:r>
    </w:p>
    <w:p w14:paraId="42634DF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泸定县行政审批局已自行组织编制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年部门整体支出绩效自评报告，</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年决算尚未批复，待决算批复公开时随决算报告一并公开。</w:t>
      </w:r>
    </w:p>
    <w:p w14:paraId="76B32DE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二级指标“信息公开”</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52F619EB">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p>
    <w:p w14:paraId="464D1C0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二级指标“整改反馈”下设两个三级指标为：结果整改和应用反馈。</w:t>
      </w:r>
    </w:p>
    <w:p w14:paraId="7F413853">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kern w:val="0"/>
          <w:sz w:val="32"/>
          <w:szCs w:val="32"/>
          <w:highlight w:val="none"/>
          <w:lang w:val="en-US" w:eastAsia="zh-CN" w:bidi="ar"/>
        </w:rPr>
      </w:pP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结果整改。</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年度，泸定县行政审批局未收到绩效目标核查、绩效重点监控和重点绩效评价等方面整改意见，无需整改。</w:t>
      </w:r>
    </w:p>
    <w:p w14:paraId="1738C8E1">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kern w:val="0"/>
          <w:sz w:val="32"/>
          <w:szCs w:val="32"/>
          <w:highlight w:val="none"/>
          <w:lang w:bidi="ar"/>
        </w:rPr>
      </w:pP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val="en-US" w:eastAsia="zh-CN" w:bidi="ar"/>
        </w:rPr>
        <w:t>应用反馈。</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年泸定县行政审批局开展了部门整体绩效监控分析（含结果运用）、部门整体绩效自评（含结果运用），并将部门整体绩效自评结果运用情况向财政部门进行了报送，</w:t>
      </w:r>
      <w:r>
        <w:rPr>
          <w:rFonts w:hint="eastAsia" w:ascii="方正仿宋简体" w:hAnsi="方正仿宋简体" w:eastAsia="方正仿宋简体" w:cs="方正仿宋简体"/>
          <w:kern w:val="0"/>
          <w:sz w:val="32"/>
          <w:szCs w:val="32"/>
          <w:highlight w:val="none"/>
          <w:lang w:val="en-US" w:eastAsia="zh-CN" w:bidi="ar"/>
        </w:rPr>
        <w:t>但</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年部门绩效监控分析结果运用情况未向财政部门进行报送。</w:t>
      </w:r>
    </w:p>
    <w:p w14:paraId="787F2A24">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二级指标“整改反馈”指标分共计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1808F14">
      <w:pPr>
        <w:keepNext w:val="0"/>
        <w:keepLines w:val="0"/>
        <w:pageBreakBefore w:val="0"/>
        <w:numPr>
          <w:ilvl w:val="0"/>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p>
    <w:p w14:paraId="7BFDD09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二级指标“自评质量”下设一个三级指标为：自评准确。</w:t>
      </w:r>
    </w:p>
    <w:p w14:paraId="533871B8">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泸定县行政审批局</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分（不含自评准确分数），与评价组评价得分差异率为（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42</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sz w:val="32"/>
          <w:szCs w:val="32"/>
          <w:highlight w:val="none"/>
          <w:lang w:bidi="ar"/>
        </w:rPr>
        <w:t>。</w:t>
      </w:r>
    </w:p>
    <w:p w14:paraId="376F8EA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二级指标“自评质量”</w:t>
      </w:r>
      <w:r>
        <w:rPr>
          <w:rFonts w:hint="eastAsia" w:ascii="方正仿宋简体" w:hAnsi="方正仿宋简体" w:eastAsia="方正仿宋简体" w:cs="方正仿宋简体"/>
          <w:kern w:val="0"/>
          <w:sz w:val="32"/>
          <w:szCs w:val="32"/>
          <w:highlight w:val="none"/>
          <w:lang w:bidi="ar"/>
        </w:rPr>
        <w:t>指标</w:t>
      </w:r>
      <w:r>
        <w:rPr>
          <w:rFonts w:hint="eastAsia" w:ascii="方正仿宋简体" w:hAnsi="方正仿宋简体" w:eastAsia="方正仿宋简体" w:cs="方正仿宋简体"/>
          <w:sz w:val="32"/>
          <w:szCs w:val="32"/>
          <w:highlight w:val="none"/>
        </w:rPr>
        <w:t>分共计</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bookmarkEnd w:id="2"/>
    <w:p w14:paraId="4DC0DC09">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35" w:name="_Toc4350"/>
      <w:bookmarkStart w:id="136" w:name="_Toc30515"/>
      <w:bookmarkStart w:id="137" w:name="_Toc20275"/>
      <w:bookmarkStart w:id="138" w:name="_Toc2298"/>
      <w:bookmarkStart w:id="139" w:name="_Toc14032"/>
      <w:bookmarkStart w:id="140" w:name="_Toc5060"/>
      <w:bookmarkStart w:id="141" w:name="_Toc21218"/>
      <w:bookmarkStart w:id="142" w:name="_Toc248033833"/>
      <w:bookmarkStart w:id="143" w:name="_Toc823448808"/>
      <w:bookmarkStart w:id="144" w:name="_Toc176605412"/>
      <w:bookmarkStart w:id="145" w:name="_Toc19973"/>
      <w:bookmarkStart w:id="146" w:name="_Toc8336"/>
      <w:r>
        <w:rPr>
          <w:rFonts w:hint="eastAsia" w:ascii="方正黑体简体" w:hAnsi="方正黑体简体" w:eastAsia="方正黑体简体" w:cs="方正黑体简体"/>
          <w:color w:val="000000"/>
          <w:kern w:val="0"/>
          <w:sz w:val="32"/>
          <w:szCs w:val="32"/>
          <w:highlight w:val="none"/>
          <w:shd w:val="clear" w:color="auto" w:fill="FFFFFF"/>
        </w:rPr>
        <w:t>五、存在的主要问题</w:t>
      </w:r>
      <w:bookmarkEnd w:id="135"/>
      <w:bookmarkEnd w:id="136"/>
      <w:bookmarkEnd w:id="137"/>
      <w:bookmarkEnd w:id="138"/>
      <w:bookmarkEnd w:id="139"/>
      <w:bookmarkEnd w:id="140"/>
      <w:bookmarkEnd w:id="141"/>
      <w:bookmarkEnd w:id="142"/>
      <w:bookmarkEnd w:id="143"/>
      <w:bookmarkEnd w:id="144"/>
    </w:p>
    <w:p w14:paraId="45F31092">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47" w:name="_Toc16795"/>
      <w:bookmarkStart w:id="148" w:name="_Toc8389"/>
      <w:bookmarkStart w:id="149" w:name="_Toc8770"/>
      <w:bookmarkStart w:id="150" w:name="_Toc3386"/>
      <w:bookmarkStart w:id="151" w:name="_Toc29510"/>
      <w:bookmarkStart w:id="152" w:name="_Toc9656"/>
      <w:bookmarkStart w:id="153" w:name="_Toc1133"/>
      <w:bookmarkStart w:id="154" w:name="_Toc176605413"/>
      <w:bookmarkStart w:id="155" w:name="_Toc35279584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预算编制不合理</w:t>
      </w:r>
      <w:bookmarkEnd w:id="147"/>
    </w:p>
    <w:p w14:paraId="490E1C0D">
      <w:pPr>
        <w:keepNext w:val="0"/>
        <w:keepLines w:val="0"/>
        <w:pageBreakBefore w:val="0"/>
        <w:kinsoku/>
        <w:wordWrap/>
        <w:overflowPunct/>
        <w:topLinePunct w:val="0"/>
        <w:autoSpaceDE/>
        <w:autoSpaceDN/>
        <w:bidi w:val="0"/>
        <w:spacing w:line="600" w:lineRule="exact"/>
        <w:ind w:left="0" w:firstLine="600"/>
        <w:outlineLvl w:val="1"/>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bookmarkStart w:id="156" w:name="_Toc26333"/>
      <w:r>
        <w:rPr>
          <w:rFonts w:hint="eastAsia" w:ascii="方正仿宋简体" w:hAnsi="方正仿宋简体" w:eastAsia="方正仿宋简体" w:cs="方正仿宋简体"/>
          <w:kern w:val="0"/>
          <w:sz w:val="32"/>
          <w:szCs w:val="32"/>
          <w:highlight w:val="none"/>
          <w:lang w:bidi="ar"/>
        </w:rPr>
        <w:t>泸定县行政审批局</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年部门全年预算调剂金额为</w:t>
      </w:r>
      <w:r>
        <w:rPr>
          <w:rFonts w:hint="default" w:ascii="Times New Roman" w:hAnsi="Times New Roman" w:eastAsia="方正仿宋简体" w:cs="Times New Roman"/>
          <w:kern w:val="0"/>
          <w:sz w:val="32"/>
          <w:szCs w:val="32"/>
          <w:highlight w:val="none"/>
          <w:lang w:bidi="ar"/>
        </w:rPr>
        <w:t>25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57</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bidi="ar"/>
        </w:rPr>
        <w:t>309</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34</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27%</w:t>
      </w:r>
      <w:r>
        <w:rPr>
          <w:rFonts w:hint="eastAsia" w:ascii="方正仿宋简体" w:hAnsi="方正仿宋简体" w:eastAsia="方正仿宋简体" w:cs="方正仿宋简体"/>
          <w:kern w:val="0"/>
          <w:sz w:val="32"/>
          <w:szCs w:val="32"/>
          <w:highlight w:val="none"/>
          <w:lang w:bidi="ar"/>
        </w:rPr>
        <w:t>。</w:t>
      </w:r>
      <w:bookmarkEnd w:id="156"/>
    </w:p>
    <w:p w14:paraId="7AC61BA9">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157" w:name="_Toc27348"/>
      <w:r>
        <w:rPr>
          <w:rFonts w:hint="eastAsia" w:ascii="方正楷体简体" w:hAnsi="方正楷体简体" w:eastAsia="方正楷体简体" w:cs="方正楷体简体"/>
          <w:color w:val="000000"/>
          <w:kern w:val="0"/>
          <w:sz w:val="32"/>
          <w:szCs w:val="32"/>
          <w:highlight w:val="none"/>
          <w:shd w:val="clear" w:color="auto" w:fill="FFFFFF"/>
          <w:lang w:val="zh-CN"/>
        </w:rPr>
        <w:t>（</w:t>
      </w:r>
      <w:bookmarkEnd w:id="148"/>
      <w:bookmarkEnd w:id="149"/>
      <w:bookmarkEnd w:id="150"/>
      <w:bookmarkEnd w:id="151"/>
      <w:bookmarkEnd w:id="152"/>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
        </w:rPr>
        <w:t>结果应用未及时向财政部门报送</w:t>
      </w:r>
      <w:bookmarkEnd w:id="153"/>
      <w:bookmarkEnd w:id="154"/>
      <w:bookmarkEnd w:id="157"/>
    </w:p>
    <w:p w14:paraId="1D200CC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bookmarkStart w:id="158" w:name="_Toc4357"/>
      <w:bookmarkStart w:id="159" w:name="_Toc8925"/>
      <w:bookmarkStart w:id="160" w:name="_Toc14250"/>
      <w:bookmarkStart w:id="161" w:name="_Toc1753"/>
      <w:bookmarkStart w:id="162" w:name="_Toc23023"/>
      <w:bookmarkStart w:id="163" w:name="_Toc19309"/>
      <w:bookmarkStart w:id="164" w:name="_Toc31967"/>
      <w:bookmarkStart w:id="165" w:name="_Toc28216"/>
      <w:r>
        <w:rPr>
          <w:rFonts w:hint="eastAsia" w:ascii="方正仿宋简体" w:hAnsi="方正仿宋简体" w:eastAsia="方正仿宋简体" w:cs="方正仿宋简体"/>
          <w:kern w:val="0"/>
          <w:sz w:val="32"/>
          <w:szCs w:val="32"/>
          <w:highlight w:val="none"/>
          <w:lang w:eastAsia="zh" w:bidi="ar"/>
        </w:rPr>
        <w:t>泸定县行政审批局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w:t>
      </w:r>
      <w:bookmarkEnd w:id="158"/>
      <w:bookmarkEnd w:id="159"/>
      <w:bookmarkEnd w:id="160"/>
      <w:bookmarkEnd w:id="161"/>
      <w:bookmarkEnd w:id="162"/>
      <w:bookmarkEnd w:id="163"/>
      <w:bookmarkEnd w:id="164"/>
      <w:bookmarkEnd w:id="165"/>
      <w:r>
        <w:rPr>
          <w:rFonts w:hint="eastAsia" w:ascii="方正仿宋简体" w:hAnsi="方正仿宋简体" w:eastAsia="方正仿宋简体" w:cs="方正仿宋简体"/>
          <w:kern w:val="0"/>
          <w:sz w:val="32"/>
          <w:szCs w:val="32"/>
          <w:highlight w:val="none"/>
          <w:lang w:eastAsia="zh" w:bidi="ar"/>
        </w:rPr>
        <w:t>开展了部门整体绩效运行监控分析（含结果应用），但结果应用情况未及时向财政部门报送。</w:t>
      </w:r>
    </w:p>
    <w:bookmarkEnd w:id="155"/>
    <w:p w14:paraId="71979EE3">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166" w:name="_Toc31373"/>
      <w:bookmarkStart w:id="167" w:name="_Toc176605414"/>
      <w:bookmarkStart w:id="168" w:name="_Toc8233"/>
      <w:bookmarkStart w:id="169" w:name="_Toc464104487"/>
      <w:bookmarkStart w:id="170" w:name="_Toc771997543"/>
      <w:r>
        <w:rPr>
          <w:rFonts w:hint="eastAsia" w:ascii="方正楷体简体" w:hAnsi="方正楷体简体" w:eastAsia="方正楷体简体" w:cs="方正楷体简体"/>
          <w:color w:val="000000"/>
          <w:kern w:val="0"/>
          <w:sz w:val="32"/>
          <w:szCs w:val="32"/>
          <w:highlight w:val="none"/>
          <w:shd w:val="clear" w:color="auto" w:fill="FFFFFF"/>
          <w:lang w:val="en-US" w:eastAsia="zh"/>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r>
        <w:rPr>
          <w:rFonts w:hint="eastAsia" w:ascii="方正楷体简体" w:hAnsi="方正楷体简体" w:eastAsia="方正楷体简体" w:cs="方正楷体简体"/>
          <w:color w:val="000000"/>
          <w:kern w:val="0"/>
          <w:sz w:val="32"/>
          <w:szCs w:val="32"/>
          <w:highlight w:val="none"/>
          <w:shd w:val="clear" w:color="auto" w:fill="FFFFFF"/>
          <w:lang w:val="en-US" w:eastAsia="zh"/>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
        </w:rPr>
        <w:t>未按照一体化中申报的部门整体指标进行自评</w:t>
      </w:r>
      <w:bookmarkEnd w:id="166"/>
      <w:bookmarkEnd w:id="167"/>
      <w:bookmarkEnd w:id="168"/>
    </w:p>
    <w:p w14:paraId="60B74DD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eastAsia="zh" w:bidi="ar"/>
        </w:rPr>
        <w:t>泸定县行政审批局一体化系统中申报的</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年部门整体绩效目标申报表中数量指标设置为“政务大厅入驻单位≥</w:t>
      </w:r>
      <w:r>
        <w:rPr>
          <w:rFonts w:hint="default" w:ascii="Times New Roman" w:hAnsi="Times New Roman" w:eastAsia="方正仿宋简体" w:cs="Times New Roman"/>
          <w:kern w:val="0"/>
          <w:sz w:val="32"/>
          <w:szCs w:val="32"/>
          <w:highlight w:val="none"/>
          <w:lang w:eastAsia="zh" w:bidi="ar"/>
        </w:rPr>
        <w:t>17</w:t>
      </w:r>
      <w:r>
        <w:rPr>
          <w:rFonts w:hint="eastAsia" w:ascii="方正仿宋简体" w:hAnsi="方正仿宋简体" w:eastAsia="方正仿宋简体" w:cs="方正仿宋简体"/>
          <w:kern w:val="0"/>
          <w:sz w:val="32"/>
          <w:szCs w:val="32"/>
          <w:highlight w:val="none"/>
          <w:lang w:eastAsia="zh" w:bidi="ar"/>
        </w:rPr>
        <w:t>个、政务大厅通过线上线下共办理审批、备案、企业登记注册、业务咨询等≥</w:t>
      </w:r>
      <w:r>
        <w:rPr>
          <w:rFonts w:hint="default" w:ascii="Times New Roman" w:hAnsi="Times New Roman" w:eastAsia="方正仿宋简体" w:cs="Times New Roman"/>
          <w:kern w:val="0"/>
          <w:sz w:val="32"/>
          <w:szCs w:val="32"/>
          <w:highlight w:val="none"/>
          <w:lang w:eastAsia="zh" w:bidi="ar"/>
        </w:rPr>
        <w:t>300000</w:t>
      </w:r>
      <w:r>
        <w:rPr>
          <w:rFonts w:hint="eastAsia" w:ascii="方正仿宋简体" w:hAnsi="方正仿宋简体" w:eastAsia="方正仿宋简体" w:cs="方正仿宋简体"/>
          <w:kern w:val="0"/>
          <w:sz w:val="32"/>
          <w:szCs w:val="32"/>
          <w:highlight w:val="none"/>
          <w:lang w:eastAsia="zh" w:bidi="ar"/>
        </w:rPr>
        <w:t>件……”，提供</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年整体绩效自评表未按照一体化中申报的部门整体指标进行自评。</w:t>
      </w:r>
    </w:p>
    <w:p w14:paraId="733145B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171" w:name="_Toc17785"/>
      <w:bookmarkStart w:id="172" w:name="_Toc176605415"/>
      <w:bookmarkStart w:id="173" w:name="_Toc10026"/>
      <w:r>
        <w:rPr>
          <w:rFonts w:hint="eastAsia" w:ascii="方正楷体简体" w:hAnsi="方正楷体简体" w:eastAsia="方正楷体简体" w:cs="方正楷体简体"/>
          <w:color w:val="000000"/>
          <w:kern w:val="0"/>
          <w:sz w:val="32"/>
          <w:szCs w:val="32"/>
          <w:highlight w:val="none"/>
          <w:shd w:val="clear" w:color="auto" w:fill="FFFFFF"/>
          <w:lang w:val="en-US" w:eastAsia="zh"/>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w:t>
      </w:r>
      <w:r>
        <w:rPr>
          <w:rFonts w:hint="eastAsia" w:ascii="方正楷体简体" w:hAnsi="方正楷体简体" w:eastAsia="方正楷体简体" w:cs="方正楷体简体"/>
          <w:color w:val="000000"/>
          <w:kern w:val="0"/>
          <w:sz w:val="32"/>
          <w:szCs w:val="32"/>
          <w:highlight w:val="none"/>
          <w:shd w:val="clear" w:color="auto" w:fill="FFFFFF"/>
          <w:lang w:val="en-US" w:eastAsia="zh"/>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
        </w:rPr>
        <w:t>部门公用经费和非定额公用支出偏差率较高</w:t>
      </w:r>
      <w:bookmarkEnd w:id="171"/>
      <w:bookmarkEnd w:id="172"/>
      <w:bookmarkEnd w:id="173"/>
    </w:p>
    <w:p w14:paraId="444D0BF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eastAsia="zh" w:bidi="ar"/>
        </w:rPr>
        <w:t>泸定县行政审批局</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eastAsia" w:ascii="方正仿宋简体" w:hAnsi="方正仿宋简体" w:eastAsia="方正仿宋简体" w:cs="方正仿宋简体"/>
          <w:kern w:val="0"/>
          <w:sz w:val="32"/>
          <w:szCs w:val="32"/>
          <w:highlight w:val="none"/>
          <w:lang w:bidi="ar"/>
        </w:rPr>
        <w:t>部门公用经费</w:t>
      </w:r>
      <w:r>
        <w:rPr>
          <w:rFonts w:hint="eastAsia" w:ascii="方正仿宋简体" w:hAnsi="方正仿宋简体" w:eastAsia="方正仿宋简体" w:cs="方正仿宋简体"/>
          <w:kern w:val="0"/>
          <w:sz w:val="32"/>
          <w:szCs w:val="32"/>
          <w:highlight w:val="none"/>
          <w:lang w:eastAsia="zh" w:bidi="ar"/>
        </w:rPr>
        <w:t>中办公费、取暖费</w:t>
      </w:r>
      <w:r>
        <w:rPr>
          <w:rFonts w:hint="eastAsia" w:ascii="方正仿宋简体" w:hAnsi="方正仿宋简体" w:eastAsia="方正仿宋简体" w:cs="方正仿宋简体"/>
          <w:kern w:val="0"/>
          <w:sz w:val="32"/>
          <w:szCs w:val="32"/>
          <w:highlight w:val="none"/>
          <w:lang w:bidi="ar"/>
        </w:rPr>
        <w:t>和</w:t>
      </w:r>
      <w:r>
        <w:rPr>
          <w:rFonts w:hint="eastAsia" w:ascii="方正仿宋简体" w:hAnsi="方正仿宋简体" w:eastAsia="方正仿宋简体" w:cs="方正仿宋简体"/>
          <w:kern w:val="0"/>
          <w:sz w:val="32"/>
          <w:szCs w:val="32"/>
          <w:highlight w:val="none"/>
          <w:lang w:eastAsia="zh" w:bidi="ar"/>
        </w:rPr>
        <w:t>项目支出中</w:t>
      </w:r>
      <w:r>
        <w:rPr>
          <w:rFonts w:hint="eastAsia" w:ascii="方正仿宋简体" w:hAnsi="方正仿宋简体" w:eastAsia="方正仿宋简体" w:cs="方正仿宋简体"/>
          <w:kern w:val="0"/>
          <w:sz w:val="32"/>
          <w:szCs w:val="32"/>
          <w:highlight w:val="none"/>
          <w:lang w:bidi="ar"/>
        </w:rPr>
        <w:t>非定额公用支出维修（护）费</w:t>
      </w:r>
      <w:r>
        <w:rPr>
          <w:rFonts w:hint="eastAsia" w:ascii="方正仿宋简体" w:hAnsi="方正仿宋简体" w:eastAsia="方正仿宋简体" w:cs="方正仿宋简体"/>
          <w:kern w:val="0"/>
          <w:sz w:val="32"/>
          <w:szCs w:val="32"/>
          <w:highlight w:val="none"/>
          <w:lang w:eastAsia="zh" w:bidi="ar"/>
        </w:rPr>
        <w:t>、劳务费科目预决算偏差率超</w:t>
      </w:r>
      <w:r>
        <w:rPr>
          <w:rFonts w:hint="default" w:ascii="Times New Roman" w:hAnsi="Times New Roman" w:eastAsia="方正仿宋简体" w:cs="Times New Roman"/>
          <w:kern w:val="0"/>
          <w:sz w:val="32"/>
          <w:szCs w:val="32"/>
          <w:highlight w:val="none"/>
          <w:lang w:eastAsia="zh" w:bidi="ar"/>
        </w:rPr>
        <w:t>50%</w:t>
      </w:r>
      <w:r>
        <w:rPr>
          <w:rFonts w:hint="eastAsia" w:ascii="方正仿宋简体" w:hAnsi="方正仿宋简体" w:eastAsia="方正仿宋简体" w:cs="方正仿宋简体"/>
          <w:kern w:val="0"/>
          <w:sz w:val="32"/>
          <w:szCs w:val="32"/>
          <w:highlight w:val="none"/>
          <w:lang w:eastAsia="zh" w:bidi="ar"/>
        </w:rPr>
        <w:t>，存在相应科目年度预算编制不够精准的情况。</w:t>
      </w:r>
    </w:p>
    <w:p w14:paraId="5AD11ECE">
      <w:pPr>
        <w:keepNext w:val="0"/>
        <w:keepLines w:val="0"/>
        <w:pageBreakBefore w:val="0"/>
        <w:widowControl/>
        <w:kinsoku/>
        <w:wordWrap/>
        <w:overflowPunct/>
        <w:topLinePunct w:val="0"/>
        <w:autoSpaceDE/>
        <w:autoSpaceDN/>
        <w:bidi w:val="0"/>
        <w:adjustRightInd w:val="0"/>
        <w:snapToGrid w:val="0"/>
        <w:spacing w:line="600" w:lineRule="exact"/>
        <w:ind w:left="0" w:firstLine="6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74" w:name="_Toc176605416"/>
      <w:bookmarkStart w:id="175" w:name="_Toc10426"/>
      <w:bookmarkStart w:id="176" w:name="_Toc3240"/>
      <w:bookmarkStart w:id="177" w:name="_Toc20672"/>
      <w:bookmarkStart w:id="178" w:name="_Toc22968"/>
      <w:bookmarkStart w:id="179" w:name="_Toc7450"/>
      <w:bookmarkStart w:id="180" w:name="_Toc31629"/>
      <w:bookmarkStart w:id="181" w:name="_Toc15651"/>
      <w:r>
        <w:rPr>
          <w:rFonts w:hint="eastAsia" w:ascii="方正黑体简体" w:hAnsi="方正黑体简体" w:eastAsia="方正黑体简体" w:cs="方正黑体简体"/>
          <w:color w:val="000000"/>
          <w:kern w:val="0"/>
          <w:sz w:val="32"/>
          <w:szCs w:val="32"/>
          <w:highlight w:val="none"/>
          <w:shd w:val="clear" w:color="auto" w:fill="FFFFFF"/>
        </w:rPr>
        <w:t>六、相关措施建议</w:t>
      </w:r>
      <w:bookmarkEnd w:id="169"/>
      <w:bookmarkEnd w:id="170"/>
      <w:bookmarkEnd w:id="174"/>
      <w:bookmarkEnd w:id="175"/>
      <w:bookmarkEnd w:id="176"/>
      <w:bookmarkEnd w:id="177"/>
      <w:bookmarkEnd w:id="178"/>
      <w:bookmarkEnd w:id="179"/>
      <w:bookmarkEnd w:id="180"/>
      <w:bookmarkEnd w:id="181"/>
    </w:p>
    <w:p w14:paraId="7676A9A0">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82" w:name="_Toc23202"/>
      <w:bookmarkStart w:id="183" w:name="_Toc10383"/>
      <w:bookmarkStart w:id="184" w:name="_Toc19941"/>
      <w:bookmarkStart w:id="185" w:name="_Toc10202"/>
      <w:bookmarkStart w:id="186" w:name="_Toc25014"/>
      <w:bookmarkStart w:id="187" w:name="_Toc19759"/>
      <w:bookmarkStart w:id="188" w:name="_Toc176605417"/>
      <w:bookmarkStart w:id="189" w:name="_Toc20217"/>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针对“预算编制不合理”的建议</w:t>
      </w:r>
      <w:bookmarkEnd w:id="182"/>
    </w:p>
    <w:p w14:paraId="53641756">
      <w:pPr>
        <w:keepNext w:val="0"/>
        <w:keepLines w:val="0"/>
        <w:pageBreakBefore w:val="0"/>
        <w:kinsoku/>
        <w:wordWrap/>
        <w:overflowPunct/>
        <w:topLinePunct w:val="0"/>
        <w:autoSpaceDE/>
        <w:autoSpaceDN/>
        <w:bidi w:val="0"/>
        <w:spacing w:line="600" w:lineRule="exact"/>
        <w:ind w:left="0" w:firstLine="600"/>
        <w:outlineLvl w:val="9"/>
        <w:rPr>
          <w:rFonts w:hint="eastAsia" w:ascii="方正仿宋简体" w:hAnsi="方正仿宋简体" w:eastAsia="方正仿宋简体" w:cs="方正仿宋简体"/>
          <w:color w:val="auto"/>
          <w:kern w:val="0"/>
          <w:sz w:val="32"/>
          <w:szCs w:val="32"/>
          <w:highlight w:val="none"/>
          <w:shd w:val="clear" w:color="auto" w:fill="auto"/>
          <w:lang w:val="en-US" w:eastAsia="zh" w:bidi="ar"/>
        </w:rPr>
      </w:pPr>
      <w:r>
        <w:rPr>
          <w:rFonts w:hint="eastAsia" w:ascii="方正仿宋简体" w:hAnsi="方正仿宋简体" w:eastAsia="方正仿宋简体" w:cs="方正仿宋简体"/>
          <w:kern w:val="0"/>
          <w:sz w:val="32"/>
          <w:szCs w:val="32"/>
          <w:highlight w:val="none"/>
          <w:lang w:eastAsia="zh" w:bidi="ar"/>
        </w:rPr>
        <w:t>泸定县行政审批局</w:t>
      </w:r>
      <w:r>
        <w:rPr>
          <w:rFonts w:hint="eastAsia" w:ascii="方正仿宋简体" w:hAnsi="方正仿宋简体" w:eastAsia="方正仿宋简体" w:cs="方正仿宋简体"/>
          <w:kern w:val="0"/>
          <w:sz w:val="32"/>
          <w:szCs w:val="32"/>
          <w:highlight w:val="none"/>
          <w:lang w:val="en-US" w:eastAsia="zh-CN" w:bidi="ar"/>
        </w:rPr>
        <w:t>应在</w:t>
      </w:r>
      <w:r>
        <w:rPr>
          <w:rFonts w:hint="eastAsia" w:ascii="方正仿宋简体" w:hAnsi="方正仿宋简体" w:eastAsia="方正仿宋简体" w:cs="方正仿宋简体"/>
          <w:b w:val="0"/>
          <w:bCs w:val="0"/>
          <w:kern w:val="0"/>
          <w:sz w:val="32"/>
          <w:szCs w:val="32"/>
          <w:highlight w:val="none"/>
          <w:lang w:val="en-US" w:eastAsia="zh" w:bidi="ar"/>
        </w:rPr>
        <w:t>预算编制环节强化审核，做“优”绩效目标；执行环节加强跟踪分析，做“实”绩效监控；决算环节完善抽查复核，做“真”绩效自评；监督环节加强质量管控，做“深”评价配合。对实施方案不合理，投入不经济的主动调整，对执行率偏低和低效无效的主动取消，切实优化支出结构。</w:t>
      </w:r>
    </w:p>
    <w:p w14:paraId="2397AC64">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90" w:name="_Toc17263"/>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r>
        <w:rPr>
          <w:rFonts w:hint="eastAsia" w:ascii="方正楷体简体" w:hAnsi="方正楷体简体" w:eastAsia="方正楷体简体" w:cs="方正楷体简体"/>
          <w:color w:val="000000"/>
          <w:kern w:val="0"/>
          <w:sz w:val="32"/>
          <w:szCs w:val="32"/>
          <w:highlight w:val="none"/>
          <w:shd w:val="clear" w:color="auto" w:fill="FFFFFF"/>
          <w:lang w:val="zh-CN"/>
        </w:rPr>
        <w:t>）针对“</w:t>
      </w:r>
      <w:r>
        <w:rPr>
          <w:rFonts w:hint="eastAsia" w:ascii="方正楷体简体" w:hAnsi="方正楷体简体" w:eastAsia="方正楷体简体" w:cs="方正楷体简体"/>
          <w:color w:val="000000"/>
          <w:kern w:val="0"/>
          <w:sz w:val="32"/>
          <w:szCs w:val="32"/>
          <w:highlight w:val="none"/>
          <w:shd w:val="clear" w:color="auto" w:fill="FFFFFF"/>
          <w:lang w:val="zh-CN" w:eastAsia="zh"/>
        </w:rPr>
        <w:t>结果应用未及时向财政部门报送</w:t>
      </w:r>
      <w:r>
        <w:rPr>
          <w:rFonts w:hint="eastAsia" w:ascii="方正楷体简体" w:hAnsi="方正楷体简体" w:eastAsia="方正楷体简体" w:cs="方正楷体简体"/>
          <w:color w:val="000000"/>
          <w:kern w:val="0"/>
          <w:sz w:val="32"/>
          <w:szCs w:val="32"/>
          <w:highlight w:val="none"/>
          <w:shd w:val="clear" w:color="auto" w:fill="FFFFFF"/>
          <w:lang w:val="zh-CN"/>
        </w:rPr>
        <w:t>”的建议</w:t>
      </w:r>
      <w:bookmarkEnd w:id="183"/>
      <w:bookmarkEnd w:id="184"/>
      <w:bookmarkEnd w:id="185"/>
      <w:bookmarkEnd w:id="186"/>
      <w:bookmarkEnd w:id="187"/>
      <w:bookmarkEnd w:id="188"/>
      <w:bookmarkEnd w:id="189"/>
      <w:bookmarkEnd w:id="190"/>
    </w:p>
    <w:p w14:paraId="0CBD2CDB">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sz w:val="32"/>
          <w:szCs w:val="32"/>
          <w:highlight w:val="none"/>
          <w:shd w:val="clear" w:color="auto" w:fill="FFFFFF"/>
        </w:rPr>
      </w:pPr>
      <w:bookmarkStart w:id="191" w:name="_Toc21394"/>
      <w:bookmarkStart w:id="192" w:name="_Toc30849"/>
      <w:bookmarkStart w:id="193" w:name="_Toc26168"/>
      <w:bookmarkStart w:id="194" w:name="_Toc17354"/>
      <w:bookmarkStart w:id="195" w:name="_Toc30495"/>
      <w:bookmarkStart w:id="196" w:name="_Toc2388"/>
      <w:bookmarkStart w:id="197" w:name="_Toc26842"/>
      <w:bookmarkStart w:id="198" w:name="_Toc6076"/>
      <w:bookmarkStart w:id="199" w:name="_Toc7140"/>
      <w:bookmarkStart w:id="200" w:name="_Toc4795"/>
      <w:r>
        <w:rPr>
          <w:rFonts w:hint="eastAsia" w:ascii="方正仿宋简体" w:hAnsi="方正仿宋简体" w:eastAsia="方正仿宋简体" w:cs="方正仿宋简体"/>
          <w:sz w:val="32"/>
          <w:szCs w:val="32"/>
          <w:highlight w:val="none"/>
          <w:lang w:eastAsia="zh"/>
        </w:rPr>
        <w:t>泸定县行政审批局在编制年度部门整体绩效运行监控和自评报告后，应及时向财政部门报送结果应用报告</w:t>
      </w:r>
      <w:r>
        <w:rPr>
          <w:rFonts w:hint="eastAsia" w:ascii="方正仿宋简体" w:hAnsi="方正仿宋简体" w:eastAsia="方正仿宋简体" w:cs="方正仿宋简体"/>
          <w:sz w:val="32"/>
          <w:szCs w:val="32"/>
          <w:highlight w:val="none"/>
        </w:rPr>
        <w:t>。</w:t>
      </w:r>
      <w:bookmarkEnd w:id="191"/>
      <w:bookmarkEnd w:id="192"/>
      <w:bookmarkEnd w:id="193"/>
      <w:bookmarkEnd w:id="194"/>
      <w:bookmarkEnd w:id="195"/>
      <w:bookmarkEnd w:id="196"/>
      <w:bookmarkEnd w:id="197"/>
      <w:bookmarkEnd w:id="198"/>
      <w:bookmarkEnd w:id="199"/>
      <w:bookmarkEnd w:id="200"/>
    </w:p>
    <w:p w14:paraId="506E8DB2">
      <w:pPr>
        <w:keepNext w:val="0"/>
        <w:keepLines w:val="0"/>
        <w:pageBreakBefore w:val="0"/>
        <w:kinsoku/>
        <w:wordWrap/>
        <w:overflowPunct/>
        <w:topLinePunct w:val="0"/>
        <w:autoSpaceDE/>
        <w:autoSpaceDN/>
        <w:bidi w:val="0"/>
        <w:spacing w:line="600" w:lineRule="exact"/>
        <w:ind w:left="0" w:firstLine="600"/>
        <w:outlineLvl w:val="1"/>
        <w:rPr>
          <w:rFonts w:hint="eastAsia" w:ascii="方正仿宋简体" w:hAnsi="方正仿宋简体" w:eastAsia="方正仿宋简体" w:cs="方正仿宋简体"/>
          <w:color w:val="000000"/>
          <w:kern w:val="0"/>
          <w:sz w:val="32"/>
          <w:szCs w:val="32"/>
          <w:highlight w:val="none"/>
          <w:shd w:val="clear" w:color="auto" w:fill="FFFFFF"/>
        </w:rPr>
      </w:pPr>
      <w:bookmarkStart w:id="201" w:name="_Toc26250"/>
      <w:bookmarkStart w:id="202" w:name="_Toc31667"/>
      <w:bookmarkStart w:id="203" w:name="_Toc1940"/>
      <w:bookmarkStart w:id="204" w:name="_Toc22132"/>
      <w:bookmarkStart w:id="205" w:name="_Toc12805"/>
      <w:bookmarkStart w:id="206" w:name="_Toc24455"/>
      <w:bookmarkStart w:id="207" w:name="_Toc176605418"/>
      <w:bookmarkStart w:id="208" w:name="_Toc7397"/>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r>
        <w:rPr>
          <w:rFonts w:hint="eastAsia" w:ascii="方正楷体简体" w:hAnsi="方正楷体简体" w:eastAsia="方正楷体简体" w:cs="方正楷体简体"/>
          <w:color w:val="000000"/>
          <w:kern w:val="0"/>
          <w:sz w:val="32"/>
          <w:szCs w:val="32"/>
          <w:highlight w:val="none"/>
          <w:shd w:val="clear" w:color="auto" w:fill="FFFFFF"/>
          <w:lang w:val="zh-CN"/>
        </w:rPr>
        <w:t>）针对“</w:t>
      </w:r>
      <w:r>
        <w:rPr>
          <w:rFonts w:hint="eastAsia" w:ascii="方正楷体简体" w:hAnsi="方正楷体简体" w:eastAsia="方正楷体简体" w:cs="方正楷体简体"/>
          <w:color w:val="000000"/>
          <w:kern w:val="0"/>
          <w:sz w:val="32"/>
          <w:szCs w:val="32"/>
          <w:highlight w:val="none"/>
          <w:shd w:val="clear" w:color="auto" w:fill="FFFFFF"/>
          <w:lang w:val="zh-CN" w:eastAsia="zh"/>
        </w:rPr>
        <w:t>未按照一体化中申报的部门整体指标进行自评</w:t>
      </w:r>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仿宋简体" w:hAnsi="方正仿宋简体" w:eastAsia="方正仿宋简体" w:cs="方正仿宋简体"/>
          <w:color w:val="000000"/>
          <w:kern w:val="0"/>
          <w:sz w:val="32"/>
          <w:szCs w:val="32"/>
          <w:highlight w:val="none"/>
          <w:shd w:val="clear" w:color="auto" w:fill="FFFFFF"/>
        </w:rPr>
        <w:t>的建议</w:t>
      </w:r>
      <w:bookmarkEnd w:id="201"/>
      <w:bookmarkEnd w:id="202"/>
      <w:bookmarkEnd w:id="203"/>
      <w:bookmarkEnd w:id="204"/>
      <w:bookmarkEnd w:id="205"/>
      <w:bookmarkEnd w:id="206"/>
      <w:bookmarkEnd w:id="207"/>
      <w:bookmarkEnd w:id="208"/>
    </w:p>
    <w:p w14:paraId="3C3ED216">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sz w:val="32"/>
          <w:szCs w:val="32"/>
          <w:highlight w:val="none"/>
          <w:shd w:val="clear" w:color="auto" w:fill="FFFFFF"/>
          <w:lang w:eastAsia="zh"/>
        </w:rPr>
      </w:pPr>
      <w:r>
        <w:rPr>
          <w:rFonts w:hint="eastAsia" w:ascii="方正仿宋简体" w:hAnsi="方正仿宋简体" w:eastAsia="方正仿宋简体" w:cs="方正仿宋简体"/>
          <w:sz w:val="32"/>
          <w:szCs w:val="32"/>
          <w:highlight w:val="none"/>
          <w:lang w:eastAsia="zh"/>
        </w:rPr>
        <w:t>泸定县行政审批局</w:t>
      </w:r>
      <w:r>
        <w:rPr>
          <w:rFonts w:hint="eastAsia" w:ascii="方正仿宋简体" w:hAnsi="方正仿宋简体" w:eastAsia="方正仿宋简体" w:cs="方正仿宋简体"/>
          <w:sz w:val="32"/>
          <w:szCs w:val="32"/>
          <w:highlight w:val="none"/>
        </w:rPr>
        <w:t>应</w:t>
      </w:r>
      <w:r>
        <w:rPr>
          <w:rFonts w:hint="eastAsia" w:ascii="方正仿宋简体" w:hAnsi="方正仿宋简体" w:eastAsia="方正仿宋简体" w:cs="方正仿宋简体"/>
          <w:sz w:val="32"/>
          <w:szCs w:val="32"/>
          <w:highlight w:val="none"/>
          <w:lang w:eastAsia="zh"/>
        </w:rPr>
        <w:t>按照一体化系统中经审核后的绩效目标申报表编制并提供部门整体绩效自评表，确保相关内容保持一致。</w:t>
      </w:r>
    </w:p>
    <w:p w14:paraId="510E6976">
      <w:pPr>
        <w:keepNext w:val="0"/>
        <w:keepLines w:val="0"/>
        <w:pageBreakBefore w:val="0"/>
        <w:kinsoku/>
        <w:wordWrap/>
        <w:overflowPunct/>
        <w:topLinePunct w:val="0"/>
        <w:autoSpaceDE/>
        <w:autoSpaceDN/>
        <w:bidi w:val="0"/>
        <w:spacing w:line="600" w:lineRule="exact"/>
        <w:ind w:left="0" w:firstLine="600"/>
        <w:outlineLvl w:val="1"/>
        <w:rPr>
          <w:rFonts w:hint="eastAsia" w:ascii="方正仿宋简体" w:hAnsi="方正仿宋简体" w:eastAsia="方正仿宋简体" w:cs="方正仿宋简体"/>
          <w:color w:val="000000"/>
          <w:kern w:val="0"/>
          <w:sz w:val="32"/>
          <w:szCs w:val="32"/>
          <w:highlight w:val="none"/>
          <w:shd w:val="clear" w:color="auto" w:fill="FFFFFF"/>
          <w:lang w:eastAsia="zh"/>
        </w:rPr>
      </w:pPr>
      <w:bookmarkStart w:id="209" w:name="_Toc24484"/>
      <w:bookmarkStart w:id="210" w:name="_Toc176605419"/>
      <w:bookmarkStart w:id="211" w:name="_Toc18850"/>
      <w:r>
        <w:rPr>
          <w:rFonts w:hint="eastAsia" w:ascii="方正楷体简体" w:hAnsi="方正楷体简体" w:eastAsia="方正楷体简体" w:cs="方正楷体简体"/>
          <w:color w:val="000000"/>
          <w:kern w:val="0"/>
          <w:sz w:val="32"/>
          <w:szCs w:val="32"/>
          <w:highlight w:val="none"/>
          <w:shd w:val="clear" w:color="auto" w:fill="FFFFFF"/>
          <w:lang w:val="zh-CN" w:eastAsia="zh"/>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w:t>
      </w:r>
      <w:r>
        <w:rPr>
          <w:rFonts w:hint="eastAsia" w:ascii="方正楷体简体" w:hAnsi="方正楷体简体" w:eastAsia="方正楷体简体" w:cs="方正楷体简体"/>
          <w:color w:val="000000"/>
          <w:kern w:val="0"/>
          <w:sz w:val="32"/>
          <w:szCs w:val="32"/>
          <w:highlight w:val="none"/>
          <w:shd w:val="clear" w:color="auto" w:fill="FFFFFF"/>
          <w:lang w:val="zh-CN" w:eastAsia="zh"/>
        </w:rPr>
        <w:t>）针对“部门公用经费和非定额公用支出偏差率较高”</w:t>
      </w:r>
      <w:r>
        <w:rPr>
          <w:rFonts w:hint="eastAsia" w:ascii="方正仿宋简体" w:hAnsi="方正仿宋简体" w:eastAsia="方正仿宋简体" w:cs="方正仿宋简体"/>
          <w:color w:val="000000"/>
          <w:kern w:val="0"/>
          <w:sz w:val="32"/>
          <w:szCs w:val="32"/>
          <w:highlight w:val="none"/>
          <w:shd w:val="clear" w:color="auto" w:fill="FFFFFF"/>
          <w:lang w:eastAsia="zh"/>
        </w:rPr>
        <w:t>的建议</w:t>
      </w:r>
      <w:bookmarkEnd w:id="209"/>
      <w:bookmarkEnd w:id="210"/>
      <w:bookmarkEnd w:id="211"/>
    </w:p>
    <w:p w14:paraId="30F0BB0B">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
        </w:rPr>
        <w:t>泸定县行政审批局</w:t>
      </w:r>
      <w:r>
        <w:rPr>
          <w:rFonts w:hint="eastAsia" w:ascii="方正仿宋简体" w:hAnsi="方正仿宋简体" w:eastAsia="方正仿宋简体" w:cs="方正仿宋简体"/>
          <w:sz w:val="32"/>
          <w:szCs w:val="32"/>
          <w:highlight w:val="none"/>
        </w:rPr>
        <w:t>应</w:t>
      </w:r>
      <w:r>
        <w:rPr>
          <w:rFonts w:hint="eastAsia" w:ascii="方正仿宋简体" w:hAnsi="方正仿宋简体" w:eastAsia="方正仿宋简体" w:cs="方正仿宋简体"/>
          <w:sz w:val="32"/>
          <w:szCs w:val="32"/>
          <w:highlight w:val="none"/>
          <w:lang w:eastAsia="zh"/>
        </w:rPr>
        <w:t>加强定额与非定额公用支出年初预算编制精准性，确保财政资金得到充分利用。</w:t>
      </w:r>
    </w:p>
    <w:p w14:paraId="1E447368">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sz w:val="32"/>
          <w:szCs w:val="32"/>
          <w:highlight w:val="none"/>
          <w:lang w:eastAsia="zh"/>
        </w:rPr>
      </w:pPr>
    </w:p>
    <w:p w14:paraId="0FABB22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color w:val="000000"/>
          <w:sz w:val="32"/>
          <w:szCs w:val="32"/>
          <w:highlight w:val="none"/>
          <w:shd w:val="clear" w:color="auto" w:fill="FFFFFF"/>
        </w:rPr>
        <w:t>附件</w:t>
      </w:r>
      <w:bookmarkEnd w:id="145"/>
      <w:bookmarkEnd w:id="146"/>
      <w:r>
        <w:rPr>
          <w:rFonts w:hint="eastAsia" w:ascii="方正仿宋简体" w:hAnsi="方正仿宋简体" w:eastAsia="方正仿宋简体" w:cs="方正仿宋简体"/>
          <w:color w:val="000000"/>
          <w:sz w:val="32"/>
          <w:szCs w:val="32"/>
          <w:highlight w:val="none"/>
          <w:shd w:val="clear" w:color="auto" w:fill="FFFFFF"/>
          <w:lang w:eastAsia="zh"/>
        </w:rPr>
        <w:t>：</w:t>
      </w:r>
      <w:r>
        <w:rPr>
          <w:rFonts w:hint="eastAsia" w:ascii="方正仿宋简体" w:hAnsi="方正仿宋简体" w:eastAsia="方正仿宋简体" w:cs="方正仿宋简体"/>
          <w:sz w:val="32"/>
          <w:szCs w:val="32"/>
          <w:highlight w:val="none"/>
          <w:lang w:eastAsia="zh"/>
        </w:rPr>
        <w:t>泸定县行政审批局部门整体支出绩效评价指标评分表</w:t>
      </w:r>
    </w:p>
    <w:p w14:paraId="594EAA26">
      <w:pPr>
        <w:pStyle w:val="2"/>
        <w:rPr>
          <w:rFonts w:hint="eastAsia" w:ascii="方正仿宋简体" w:hAnsi="方正仿宋简体" w:eastAsia="方正仿宋简体" w:cs="方正仿宋简体"/>
          <w:sz w:val="32"/>
          <w:szCs w:val="32"/>
          <w:highlight w:val="none"/>
          <w:lang w:eastAsia="zh"/>
        </w:rPr>
      </w:pPr>
    </w:p>
    <w:p w14:paraId="16600D3C">
      <w:pPr>
        <w:rPr>
          <w:rFonts w:hint="eastAsia" w:ascii="方正仿宋简体" w:hAnsi="方正仿宋简体" w:eastAsia="方正仿宋简体" w:cs="方正仿宋简体"/>
          <w:sz w:val="32"/>
          <w:szCs w:val="32"/>
          <w:highlight w:val="none"/>
          <w:lang w:eastAsia="zh"/>
        </w:rPr>
      </w:pPr>
    </w:p>
    <w:p w14:paraId="2FB5574F">
      <w:pPr>
        <w:pStyle w:val="2"/>
        <w:rPr>
          <w:rFonts w:hint="eastAsia"/>
          <w:highlight w:val="none"/>
          <w:lang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212" w:name="_GoBack"/>
      <w:bookmarkEnd w:id="212"/>
      <w:r>
        <w:rPr>
          <w:rFonts w:hint="eastAsia" w:ascii="方正仿宋简体" w:hAnsi="方正仿宋简体" w:eastAsia="方正仿宋简体" w:cs="方正仿宋简体"/>
          <w:b w:val="0"/>
          <w:bCs w:val="0"/>
          <w:sz w:val="32"/>
          <w:szCs w:val="32"/>
          <w:highlight w:val="none"/>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1217D26E">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sz w:val="32"/>
          <w:szCs w:val="32"/>
          <w:highlight w:val="none"/>
          <w:lang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C30F8415-9234-46B3-BF72-DDD1CD07F95B}"/>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F9EBCC26-E80A-4387-968A-54CD5C76B81B}"/>
  </w:font>
  <w:font w:name="方正小标宋简体">
    <w:panose1 w:val="03000509000000000000"/>
    <w:charset w:val="86"/>
    <w:family w:val="auto"/>
    <w:pitch w:val="default"/>
    <w:sig w:usb0="00000001" w:usb1="080E0000" w:usb2="00000000" w:usb3="00000000" w:csb0="00040000" w:csb1="00000000"/>
    <w:embedRegular r:id="rId3" w:fontKey="{08D1B9D7-418C-4F5A-B910-4967513DC448}"/>
  </w:font>
  <w:font w:name="方正楷体简体">
    <w:panose1 w:val="02000000000000000000"/>
    <w:charset w:val="86"/>
    <w:family w:val="auto"/>
    <w:pitch w:val="default"/>
    <w:sig w:usb0="00000001" w:usb1="080E0000" w:usb2="00000000" w:usb3="00000000" w:csb0="00040000" w:csb1="00000000"/>
    <w:embedRegular r:id="rId4" w:fontKey="{3E23DE3D-BB6E-46A0-A794-C1F17A9E6E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94ECA">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F31121">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F31121">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8E25A">
    <w:pPr>
      <w:pBdr>
        <w:top w:val="none" w:color="auto" w:sz="0" w:space="1"/>
        <w:left w:val="none" w:color="auto" w:sz="0" w:space="4"/>
        <w:bottom w:val="none" w:color="auto" w:sz="0" w:space="1"/>
        <w:right w:val="none" w:color="auto" w:sz="0" w:space="4"/>
      </w:pBdr>
      <w:tabs>
        <w:tab w:val="center" w:pos="4153"/>
      </w:tabs>
      <w:snapToGrid w:val="0"/>
      <w:ind w:firstLine="0" w:firstLineChars="0"/>
      <w:rPr>
        <w:rFonts w:hint="eastAsia" w:ascii="宋体" w:hAnsi="宋体" w:eastAsia="宋体"/>
        <w:sz w:val="18"/>
        <w:szCs w:val="24"/>
      </w:rPr>
    </w:pPr>
    <w:r>
      <w:rPr>
        <w:rFonts w:hint="eastAsia" w:ascii="宋体" w:hAnsi="宋体" w:eastAsia="宋体"/>
        <w:sz w:val="18"/>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4A4C"/>
    <w:rsid w:val="00032118"/>
    <w:rsid w:val="00072D71"/>
    <w:rsid w:val="00097BF8"/>
    <w:rsid w:val="000C45D6"/>
    <w:rsid w:val="000C4830"/>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5F19CE"/>
    <w:rsid w:val="00610FBA"/>
    <w:rsid w:val="00646411"/>
    <w:rsid w:val="0067664F"/>
    <w:rsid w:val="006E2F08"/>
    <w:rsid w:val="007221E5"/>
    <w:rsid w:val="00757BEA"/>
    <w:rsid w:val="007E5CD9"/>
    <w:rsid w:val="00804DDE"/>
    <w:rsid w:val="0085646D"/>
    <w:rsid w:val="00867967"/>
    <w:rsid w:val="00870DA1"/>
    <w:rsid w:val="0088162A"/>
    <w:rsid w:val="008956AD"/>
    <w:rsid w:val="008B2190"/>
    <w:rsid w:val="00934B72"/>
    <w:rsid w:val="00950253"/>
    <w:rsid w:val="0096306C"/>
    <w:rsid w:val="00963AA7"/>
    <w:rsid w:val="00970070"/>
    <w:rsid w:val="009B5855"/>
    <w:rsid w:val="00A1757E"/>
    <w:rsid w:val="00A5399E"/>
    <w:rsid w:val="00A60B13"/>
    <w:rsid w:val="00AD1C0E"/>
    <w:rsid w:val="00AD64C4"/>
    <w:rsid w:val="00AE1EFF"/>
    <w:rsid w:val="00B11E73"/>
    <w:rsid w:val="00B11F2F"/>
    <w:rsid w:val="00BB4B64"/>
    <w:rsid w:val="00BD2A3F"/>
    <w:rsid w:val="00BF1745"/>
    <w:rsid w:val="00BF55A4"/>
    <w:rsid w:val="00C004B7"/>
    <w:rsid w:val="00C239B1"/>
    <w:rsid w:val="00C46DF1"/>
    <w:rsid w:val="00C54B59"/>
    <w:rsid w:val="00CB3663"/>
    <w:rsid w:val="00CF395F"/>
    <w:rsid w:val="00D10437"/>
    <w:rsid w:val="00D33BD1"/>
    <w:rsid w:val="00EA117B"/>
    <w:rsid w:val="00EB673D"/>
    <w:rsid w:val="00EE1A30"/>
    <w:rsid w:val="00EE3529"/>
    <w:rsid w:val="00F80E20"/>
    <w:rsid w:val="00FF076D"/>
    <w:rsid w:val="015B3238"/>
    <w:rsid w:val="0174274A"/>
    <w:rsid w:val="01AE1362"/>
    <w:rsid w:val="01FE5BEA"/>
    <w:rsid w:val="0209008E"/>
    <w:rsid w:val="0221101D"/>
    <w:rsid w:val="028212C5"/>
    <w:rsid w:val="02B56978"/>
    <w:rsid w:val="034B0AC6"/>
    <w:rsid w:val="03BD26AA"/>
    <w:rsid w:val="03C46413"/>
    <w:rsid w:val="03F043C9"/>
    <w:rsid w:val="03F5560D"/>
    <w:rsid w:val="05370DC3"/>
    <w:rsid w:val="05704583"/>
    <w:rsid w:val="05AE5131"/>
    <w:rsid w:val="05B13426"/>
    <w:rsid w:val="06E2185D"/>
    <w:rsid w:val="074574B7"/>
    <w:rsid w:val="077F711D"/>
    <w:rsid w:val="0815093A"/>
    <w:rsid w:val="08280844"/>
    <w:rsid w:val="08321414"/>
    <w:rsid w:val="08607386"/>
    <w:rsid w:val="08CA0DBA"/>
    <w:rsid w:val="0A4E5A5D"/>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8108FD"/>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44B4CE8"/>
    <w:rsid w:val="14827494"/>
    <w:rsid w:val="14DA48CB"/>
    <w:rsid w:val="155B04E5"/>
    <w:rsid w:val="15762967"/>
    <w:rsid w:val="15C0420D"/>
    <w:rsid w:val="16310CFC"/>
    <w:rsid w:val="16521418"/>
    <w:rsid w:val="167B192A"/>
    <w:rsid w:val="16BA737C"/>
    <w:rsid w:val="17404D18"/>
    <w:rsid w:val="178D5376"/>
    <w:rsid w:val="179E79D9"/>
    <w:rsid w:val="17FB2A01"/>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9A1CE4"/>
    <w:rsid w:val="1DD67D6F"/>
    <w:rsid w:val="1E8878B9"/>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125B4F"/>
    <w:rsid w:val="281D2CBC"/>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9574DA"/>
    <w:rsid w:val="2EAE40F8"/>
    <w:rsid w:val="2ED1320F"/>
    <w:rsid w:val="2F040BD9"/>
    <w:rsid w:val="2F3274A5"/>
    <w:rsid w:val="2FBBA5AB"/>
    <w:rsid w:val="2FEF2A5C"/>
    <w:rsid w:val="3052247A"/>
    <w:rsid w:val="3090670D"/>
    <w:rsid w:val="312B48AF"/>
    <w:rsid w:val="32A47AB4"/>
    <w:rsid w:val="32CB27BC"/>
    <w:rsid w:val="33105381"/>
    <w:rsid w:val="336B6A5B"/>
    <w:rsid w:val="337B49B9"/>
    <w:rsid w:val="33EB569F"/>
    <w:rsid w:val="33FA0C54"/>
    <w:rsid w:val="34113BD6"/>
    <w:rsid w:val="34140406"/>
    <w:rsid w:val="342C7375"/>
    <w:rsid w:val="345811DB"/>
    <w:rsid w:val="34B42BB5"/>
    <w:rsid w:val="34C73C1C"/>
    <w:rsid w:val="350D6544"/>
    <w:rsid w:val="36001598"/>
    <w:rsid w:val="360308FA"/>
    <w:rsid w:val="36870F62"/>
    <w:rsid w:val="369B1CB2"/>
    <w:rsid w:val="36BF54EC"/>
    <w:rsid w:val="36C17759"/>
    <w:rsid w:val="36DC449D"/>
    <w:rsid w:val="36F56951"/>
    <w:rsid w:val="3720190B"/>
    <w:rsid w:val="37E36263"/>
    <w:rsid w:val="37EE368E"/>
    <w:rsid w:val="388433D4"/>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72291F"/>
    <w:rsid w:val="477F5E1C"/>
    <w:rsid w:val="47970F04"/>
    <w:rsid w:val="48D56225"/>
    <w:rsid w:val="492B0A57"/>
    <w:rsid w:val="49D23684"/>
    <w:rsid w:val="49F243D5"/>
    <w:rsid w:val="4A3F0AC3"/>
    <w:rsid w:val="4AFA2C7B"/>
    <w:rsid w:val="4B0435C5"/>
    <w:rsid w:val="4B58271A"/>
    <w:rsid w:val="4B6B11A9"/>
    <w:rsid w:val="4B9C6B82"/>
    <w:rsid w:val="4BDE4024"/>
    <w:rsid w:val="4C1635B0"/>
    <w:rsid w:val="4C907F6D"/>
    <w:rsid w:val="4CAE35BE"/>
    <w:rsid w:val="4CFC2039"/>
    <w:rsid w:val="4D6E449B"/>
    <w:rsid w:val="4EBB1F4E"/>
    <w:rsid w:val="4F0A34DF"/>
    <w:rsid w:val="4F49536E"/>
    <w:rsid w:val="4F5764B4"/>
    <w:rsid w:val="4F5F5C7E"/>
    <w:rsid w:val="4F7241B1"/>
    <w:rsid w:val="4FCD04DF"/>
    <w:rsid w:val="4FEE9EF0"/>
    <w:rsid w:val="4FF7181A"/>
    <w:rsid w:val="4FFE309A"/>
    <w:rsid w:val="507D0BBC"/>
    <w:rsid w:val="507E6B2A"/>
    <w:rsid w:val="51290B58"/>
    <w:rsid w:val="51381763"/>
    <w:rsid w:val="51960840"/>
    <w:rsid w:val="51E2208C"/>
    <w:rsid w:val="52265F38"/>
    <w:rsid w:val="52EF2BDF"/>
    <w:rsid w:val="535B753F"/>
    <w:rsid w:val="53FF3156"/>
    <w:rsid w:val="543748C0"/>
    <w:rsid w:val="54B716A8"/>
    <w:rsid w:val="54F96BE1"/>
    <w:rsid w:val="55516FE9"/>
    <w:rsid w:val="55681707"/>
    <w:rsid w:val="55AC2CD2"/>
    <w:rsid w:val="55B812E3"/>
    <w:rsid w:val="55D82153"/>
    <w:rsid w:val="561A2F05"/>
    <w:rsid w:val="56A7003A"/>
    <w:rsid w:val="575D29C4"/>
    <w:rsid w:val="577B4EF8"/>
    <w:rsid w:val="57950BEC"/>
    <w:rsid w:val="579A41D9"/>
    <w:rsid w:val="57B37679"/>
    <w:rsid w:val="57BD01C5"/>
    <w:rsid w:val="57BE73BD"/>
    <w:rsid w:val="57C56C55"/>
    <w:rsid w:val="57E13BCA"/>
    <w:rsid w:val="57EAF5E5"/>
    <w:rsid w:val="58334AD1"/>
    <w:rsid w:val="5864421C"/>
    <w:rsid w:val="586A3302"/>
    <w:rsid w:val="5901172B"/>
    <w:rsid w:val="59561F19"/>
    <w:rsid w:val="596B1981"/>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A0704"/>
    <w:rsid w:val="5D7B4679"/>
    <w:rsid w:val="5D7C3989"/>
    <w:rsid w:val="5DCDBD87"/>
    <w:rsid w:val="5E3B3225"/>
    <w:rsid w:val="5E7C5B9B"/>
    <w:rsid w:val="5EB1D3F4"/>
    <w:rsid w:val="5EDB5F93"/>
    <w:rsid w:val="5F246AEA"/>
    <w:rsid w:val="5F3B183F"/>
    <w:rsid w:val="5F562031"/>
    <w:rsid w:val="5F774ACC"/>
    <w:rsid w:val="5F9C373E"/>
    <w:rsid w:val="5FBB4ACD"/>
    <w:rsid w:val="5FBF7263"/>
    <w:rsid w:val="5FCF84ED"/>
    <w:rsid w:val="5FDFC83C"/>
    <w:rsid w:val="5FF7A0DE"/>
    <w:rsid w:val="60017C7C"/>
    <w:rsid w:val="6020741B"/>
    <w:rsid w:val="608914CC"/>
    <w:rsid w:val="6094289E"/>
    <w:rsid w:val="60F11867"/>
    <w:rsid w:val="615C16D6"/>
    <w:rsid w:val="618A3DC3"/>
    <w:rsid w:val="61C15430"/>
    <w:rsid w:val="61FF4CFE"/>
    <w:rsid w:val="62102CE3"/>
    <w:rsid w:val="62222B09"/>
    <w:rsid w:val="62311D7E"/>
    <w:rsid w:val="62350D51"/>
    <w:rsid w:val="627C5614"/>
    <w:rsid w:val="62BA758E"/>
    <w:rsid w:val="62BB6119"/>
    <w:rsid w:val="62D11B87"/>
    <w:rsid w:val="630D7F41"/>
    <w:rsid w:val="636C18B0"/>
    <w:rsid w:val="63A71F74"/>
    <w:rsid w:val="64FE5F84"/>
    <w:rsid w:val="652F1904"/>
    <w:rsid w:val="65BF660F"/>
    <w:rsid w:val="65C7404D"/>
    <w:rsid w:val="65F17436"/>
    <w:rsid w:val="667D5A64"/>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AEC1C54"/>
    <w:rsid w:val="6B43739A"/>
    <w:rsid w:val="6BFFA4D9"/>
    <w:rsid w:val="6C196A9A"/>
    <w:rsid w:val="6C75429C"/>
    <w:rsid w:val="6C7D23DE"/>
    <w:rsid w:val="6C8572C5"/>
    <w:rsid w:val="6C862912"/>
    <w:rsid w:val="6CFA1652"/>
    <w:rsid w:val="6CFD7E08"/>
    <w:rsid w:val="6D0F4A6A"/>
    <w:rsid w:val="6D3D4391"/>
    <w:rsid w:val="6D7DE018"/>
    <w:rsid w:val="6D8E68B6"/>
    <w:rsid w:val="6DB91B96"/>
    <w:rsid w:val="6DCD214C"/>
    <w:rsid w:val="6E3C3302"/>
    <w:rsid w:val="6E7E0482"/>
    <w:rsid w:val="6E7F1593"/>
    <w:rsid w:val="6EC3F98A"/>
    <w:rsid w:val="6EFE7E0F"/>
    <w:rsid w:val="6F190954"/>
    <w:rsid w:val="6F5F3DDC"/>
    <w:rsid w:val="6FBF2ED5"/>
    <w:rsid w:val="6FBF4705"/>
    <w:rsid w:val="6FC06BC3"/>
    <w:rsid w:val="6FC24E02"/>
    <w:rsid w:val="6FCD2B35"/>
    <w:rsid w:val="6FEFDAF3"/>
    <w:rsid w:val="6FF658FB"/>
    <w:rsid w:val="6FFB1FF0"/>
    <w:rsid w:val="6FFEF6BD"/>
    <w:rsid w:val="70756248"/>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1F5406"/>
    <w:rsid w:val="75297601"/>
    <w:rsid w:val="752C5839"/>
    <w:rsid w:val="758650B4"/>
    <w:rsid w:val="759E9462"/>
    <w:rsid w:val="75AB7F59"/>
    <w:rsid w:val="75D9457B"/>
    <w:rsid w:val="7613520C"/>
    <w:rsid w:val="76937428"/>
    <w:rsid w:val="76EEE66D"/>
    <w:rsid w:val="76EF82A2"/>
    <w:rsid w:val="76FBFBCD"/>
    <w:rsid w:val="77245415"/>
    <w:rsid w:val="77503BA8"/>
    <w:rsid w:val="777EE8E3"/>
    <w:rsid w:val="77BDFB3C"/>
    <w:rsid w:val="77BF2551"/>
    <w:rsid w:val="77CB4ADD"/>
    <w:rsid w:val="77F50D0E"/>
    <w:rsid w:val="77FCCDF3"/>
    <w:rsid w:val="77FF90C3"/>
    <w:rsid w:val="782E0A91"/>
    <w:rsid w:val="788E7EA5"/>
    <w:rsid w:val="78F74A7F"/>
    <w:rsid w:val="7922343B"/>
    <w:rsid w:val="7926388B"/>
    <w:rsid w:val="79521C10"/>
    <w:rsid w:val="795E17F1"/>
    <w:rsid w:val="795FF9E4"/>
    <w:rsid w:val="79D42C0A"/>
    <w:rsid w:val="79EB757B"/>
    <w:rsid w:val="79F0BE7E"/>
    <w:rsid w:val="79FFF26D"/>
    <w:rsid w:val="7A267238"/>
    <w:rsid w:val="7A30225F"/>
    <w:rsid w:val="7A6C6496"/>
    <w:rsid w:val="7AD5E80B"/>
    <w:rsid w:val="7AE7FD2B"/>
    <w:rsid w:val="7AF3D7EA"/>
    <w:rsid w:val="7AFE98C0"/>
    <w:rsid w:val="7B0A37F3"/>
    <w:rsid w:val="7B2EC99E"/>
    <w:rsid w:val="7B3E4BF5"/>
    <w:rsid w:val="7B676EB1"/>
    <w:rsid w:val="7B93031C"/>
    <w:rsid w:val="7BB3345A"/>
    <w:rsid w:val="7BBDDF45"/>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64648"/>
    <w:rsid w:val="7DBBA20B"/>
    <w:rsid w:val="7DC66335"/>
    <w:rsid w:val="7DD32C7C"/>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B722B"/>
    <w:rsid w:val="7EDD74B9"/>
    <w:rsid w:val="7EEB6048"/>
    <w:rsid w:val="7EF62516"/>
    <w:rsid w:val="7EFFE568"/>
    <w:rsid w:val="7F4B6054"/>
    <w:rsid w:val="7F5ABD7A"/>
    <w:rsid w:val="7F5CEBBD"/>
    <w:rsid w:val="7F737C9A"/>
    <w:rsid w:val="7F7D7081"/>
    <w:rsid w:val="7F824F8C"/>
    <w:rsid w:val="7F8D9A96"/>
    <w:rsid w:val="7FB61EE9"/>
    <w:rsid w:val="7FBF1A71"/>
    <w:rsid w:val="7FDFB4E3"/>
    <w:rsid w:val="7FDFE4A1"/>
    <w:rsid w:val="7FEF3380"/>
    <w:rsid w:val="7FF15542"/>
    <w:rsid w:val="7FF76D58"/>
    <w:rsid w:val="7FFD28CD"/>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E478D4"/>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734D44"/>
    <w:rsid w:val="DFF65503"/>
    <w:rsid w:val="DFF70CE7"/>
    <w:rsid w:val="DFFE046B"/>
    <w:rsid w:val="E5B7349A"/>
    <w:rsid w:val="E5FFA019"/>
    <w:rsid w:val="E6DD0BF9"/>
    <w:rsid w:val="E7D6CC62"/>
    <w:rsid w:val="EAEF2BD8"/>
    <w:rsid w:val="EB6F6F65"/>
    <w:rsid w:val="EBDE771E"/>
    <w:rsid w:val="EBF37862"/>
    <w:rsid w:val="EC6F8A7D"/>
    <w:rsid w:val="ED574481"/>
    <w:rsid w:val="EDBD7309"/>
    <w:rsid w:val="EDDFEE17"/>
    <w:rsid w:val="EDFDC52D"/>
    <w:rsid w:val="EEDBFCB9"/>
    <w:rsid w:val="EEDF5C73"/>
    <w:rsid w:val="EFB7FA07"/>
    <w:rsid w:val="EFDD9E34"/>
    <w:rsid w:val="EFEC0D03"/>
    <w:rsid w:val="EFF9121F"/>
    <w:rsid w:val="F1FFAE07"/>
    <w:rsid w:val="F4FEB764"/>
    <w:rsid w:val="F57F0C23"/>
    <w:rsid w:val="F5DCD828"/>
    <w:rsid w:val="F6FFEE89"/>
    <w:rsid w:val="F77F6848"/>
    <w:rsid w:val="F77FB31B"/>
    <w:rsid w:val="F79FF762"/>
    <w:rsid w:val="F7D8FE1B"/>
    <w:rsid w:val="F7F540A6"/>
    <w:rsid w:val="F7F99798"/>
    <w:rsid w:val="F7FC4A44"/>
    <w:rsid w:val="F7FF2F46"/>
    <w:rsid w:val="F7FF624F"/>
    <w:rsid w:val="F8A20F1B"/>
    <w:rsid w:val="F8DF9610"/>
    <w:rsid w:val="F8ED456B"/>
    <w:rsid w:val="F8FC959D"/>
    <w:rsid w:val="F9FE23CE"/>
    <w:rsid w:val="FA997B01"/>
    <w:rsid w:val="FAFF326D"/>
    <w:rsid w:val="FBED27CB"/>
    <w:rsid w:val="FD77E073"/>
    <w:rsid w:val="FDA3C67D"/>
    <w:rsid w:val="FDBFCCB1"/>
    <w:rsid w:val="FDE76F5F"/>
    <w:rsid w:val="FDF70401"/>
    <w:rsid w:val="FDFBBA80"/>
    <w:rsid w:val="FE9A4642"/>
    <w:rsid w:val="FEF71790"/>
    <w:rsid w:val="FEFEEE24"/>
    <w:rsid w:val="FEFF1801"/>
    <w:rsid w:val="FF256A0D"/>
    <w:rsid w:val="FF331568"/>
    <w:rsid w:val="FF825E8E"/>
    <w:rsid w:val="FF9EC63C"/>
    <w:rsid w:val="FF9F7E4F"/>
    <w:rsid w:val="FFAE71A9"/>
    <w:rsid w:val="FFB75A54"/>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next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常用样式（方正仿宋简）"/>
    <w:basedOn w:val="1"/>
    <w:qFormat/>
    <w:uiPriority w:val="0"/>
    <w:pPr>
      <w:spacing w:line="560" w:lineRule="exact"/>
      <w:ind w:firstLine="640"/>
    </w:pPr>
    <w:rPr>
      <w:rFonts w:eastAsia="方正仿宋简体"/>
      <w:sz w:val="32"/>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font11"/>
    <w:basedOn w:val="20"/>
    <w:qFormat/>
    <w:uiPriority w:val="0"/>
    <w:rPr>
      <w:rFonts w:hint="eastAsia" w:ascii="宋体" w:hAnsi="宋体" w:eastAsia="宋体" w:cs="宋体"/>
      <w:color w:val="000000"/>
      <w:sz w:val="21"/>
      <w:szCs w:val="21"/>
      <w:u w:val="none"/>
    </w:rPr>
  </w:style>
  <w:style w:type="character" w:customStyle="1" w:styleId="28">
    <w:name w:val="font01"/>
    <w:basedOn w:val="20"/>
    <w:qFormat/>
    <w:uiPriority w:val="0"/>
    <w:rPr>
      <w:rFonts w:hint="default" w:ascii="Calibri" w:hAnsi="Calibri" w:cs="Calibri"/>
      <w:color w:val="000000"/>
      <w:sz w:val="21"/>
      <w:szCs w:val="21"/>
      <w:u w:val="none"/>
    </w:rPr>
  </w:style>
  <w:style w:type="character" w:customStyle="1" w:styleId="29">
    <w:name w:val="font71"/>
    <w:basedOn w:val="20"/>
    <w:qFormat/>
    <w:uiPriority w:val="0"/>
    <w:rPr>
      <w:rFonts w:hint="eastAsia" w:ascii="仿宋" w:hAnsi="仿宋" w:eastAsia="仿宋" w:cs="仿宋"/>
      <w:b/>
      <w:color w:val="000000"/>
      <w:sz w:val="24"/>
      <w:szCs w:val="24"/>
      <w:u w:val="none"/>
    </w:rPr>
  </w:style>
  <w:style w:type="character" w:customStyle="1" w:styleId="30">
    <w:name w:val="font51"/>
    <w:basedOn w:val="20"/>
    <w:qFormat/>
    <w:uiPriority w:val="0"/>
    <w:rPr>
      <w:rFonts w:hint="eastAsia" w:ascii="仿宋" w:hAnsi="仿宋" w:eastAsia="仿宋" w:cs="仿宋"/>
      <w:color w:val="000000"/>
      <w:sz w:val="24"/>
      <w:szCs w:val="24"/>
      <w:u w:val="none"/>
    </w:rPr>
  </w:style>
  <w:style w:type="character" w:customStyle="1" w:styleId="31">
    <w:name w:val="font31"/>
    <w:basedOn w:val="20"/>
    <w:qFormat/>
    <w:uiPriority w:val="0"/>
    <w:rPr>
      <w:rFonts w:hint="eastAsia" w:ascii="宋体" w:hAnsi="宋体" w:eastAsia="宋体" w:cs="宋体"/>
      <w:b/>
      <w:color w:val="000000"/>
      <w:sz w:val="22"/>
      <w:szCs w:val="22"/>
      <w:u w:val="none"/>
    </w:rPr>
  </w:style>
  <w:style w:type="character" w:customStyle="1" w:styleId="32">
    <w:name w:val="font21"/>
    <w:basedOn w:val="20"/>
    <w:qFormat/>
    <w:uiPriority w:val="0"/>
    <w:rPr>
      <w:rFonts w:hint="eastAsia" w:ascii="宋体" w:hAnsi="宋体" w:eastAsia="宋体" w:cs="宋体"/>
      <w:color w:val="000000"/>
      <w:sz w:val="20"/>
      <w:szCs w:val="20"/>
      <w:u w:val="none"/>
    </w:rPr>
  </w:style>
  <w:style w:type="character" w:customStyle="1" w:styleId="33">
    <w:name w:val="font41"/>
    <w:basedOn w:val="20"/>
    <w:qFormat/>
    <w:uiPriority w:val="0"/>
    <w:rPr>
      <w:rFonts w:hint="default" w:ascii="Times New Roman" w:hAnsi="Times New Roman" w:cs="Times New Roman"/>
      <w:b/>
      <w:color w:val="000000"/>
      <w:sz w:val="20"/>
      <w:szCs w:val="20"/>
      <w:u w:val="none"/>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表格"/>
    <w:basedOn w:val="1"/>
    <w:qFormat/>
    <w:uiPriority w:val="0"/>
    <w:rPr>
      <w:rFonts w:hint="eastAsia"/>
      <w:kern w:val="0"/>
      <w:sz w:val="24"/>
      <w:szCs w:val="20"/>
    </w:rPr>
  </w:style>
  <w:style w:type="paragraph" w:customStyle="1" w:styleId="37">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修订2"/>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2447</Words>
  <Characters>2596</Characters>
  <Lines>57</Lines>
  <Paragraphs>16</Paragraphs>
  <TotalTime>0</TotalTime>
  <ScaleCrop>false</ScaleCrop>
  <LinksUpToDate>false</LinksUpToDate>
  <CharactersWithSpaces>2600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2020-04-12T07:49:00Z</dcterms:created>
  <dc:creator>ZC</dc:creator>
  <cp:lastModifiedBy>李国宝</cp:lastModifiedBy>
  <cp:lastPrinted>2024-11-08T08:23:00Z</cp:lastPrinted>
  <dcterms:modified xsi:type="dcterms:W3CDTF">2025-01-08T01:12:41Z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