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2314"/>
      <w:bookmarkStart w:id="1" w:name="_Toc27398"/>
      <w:bookmarkStart w:id="2" w:name="_Toc29524"/>
      <w:bookmarkStart w:id="3" w:name="_Toc14462_WPSOffice_Level1"/>
      <w:bookmarkStart w:id="192" w:name="_GoBack"/>
      <w:bookmarkEnd w:id="192"/>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92302CB">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被评价单位名称：泸定县财政局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6C15BAF3">
      <w:pPr>
        <w:pStyle w:val="2"/>
        <w:rPr>
          <w:rFonts w:hint="eastAsia" w:ascii="方正仿宋简体" w:hAnsi="方正仿宋简体" w:eastAsia="方正仿宋简体" w:cs="方正仿宋简体"/>
          <w:color w:val="333333"/>
          <w:kern w:val="0"/>
          <w:sz w:val="32"/>
          <w:szCs w:val="32"/>
          <w:highlight w:val="none"/>
        </w:rPr>
      </w:pPr>
    </w:p>
    <w:p w14:paraId="6271A7A7">
      <w:pPr>
        <w:rPr>
          <w:rFonts w:hint="eastAsia" w:ascii="方正仿宋简体" w:hAnsi="方正仿宋简体" w:eastAsia="方正仿宋简体" w:cs="方正仿宋简体"/>
          <w:color w:val="333333"/>
          <w:kern w:val="0"/>
          <w:sz w:val="32"/>
          <w:szCs w:val="32"/>
          <w:highlight w:val="none"/>
        </w:rPr>
      </w:pPr>
    </w:p>
    <w:p w14:paraId="52AB8BD9">
      <w:pPr>
        <w:pStyle w:val="2"/>
        <w:rPr>
          <w:rFonts w:hint="eastAsia" w:ascii="方正仿宋简体" w:hAnsi="方正仿宋简体" w:eastAsia="方正仿宋简体" w:cs="方正仿宋简体"/>
          <w:color w:val="333333"/>
          <w:kern w:val="0"/>
          <w:sz w:val="32"/>
          <w:szCs w:val="32"/>
          <w:highlight w:val="none"/>
        </w:rPr>
      </w:pPr>
    </w:p>
    <w:p w14:paraId="12C87149">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380F1B5F">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泸定县财政局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2"/>
    </w:p>
    <w:p w14:paraId="16675A6E">
      <w:pPr>
        <w:keepNext w:val="0"/>
        <w:keepLines w:val="0"/>
        <w:pageBreakBefore w:val="0"/>
        <w:widowControl/>
        <w:kinsoku/>
        <w:wordWrap/>
        <w:overflowPunct/>
        <w:topLinePunct w:val="0"/>
        <w:autoSpaceDE/>
        <w:autoSpaceDN/>
        <w:bidi w:val="0"/>
        <w:adjustRightInd w:val="0"/>
        <w:snapToGrid w:val="0"/>
        <w:spacing w:line="600" w:lineRule="exact"/>
        <w:ind w:left="0" w:firstLine="0" w:firstLineChars="0"/>
        <w:jc w:val="center"/>
        <w:rPr>
          <w:rFonts w:hint="eastAsia" w:ascii="方正仿宋简体" w:hAnsi="方正仿宋简体" w:eastAsia="方正仿宋简体" w:cs="方正仿宋简体"/>
          <w:color w:val="auto"/>
          <w:sz w:val="32"/>
          <w:szCs w:val="32"/>
          <w:highlight w:val="none"/>
          <w:lang w:val="fr-FR"/>
        </w:rPr>
      </w:pPr>
    </w:p>
    <w:p w14:paraId="069C59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4" w:name="_Toc8938"/>
      <w:bookmarkStart w:id="5" w:name="_Toc6252"/>
      <w:bookmarkStart w:id="6" w:name="_Toc26210"/>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w:t>
      </w:r>
      <w:r>
        <w:rPr>
          <w:rFonts w:hint="eastAsia" w:ascii="方正仿宋简体" w:hAnsi="方正仿宋简体" w:eastAsia="方正仿宋简体" w:cs="方正仿宋简体"/>
          <w:color w:val="auto"/>
          <w:sz w:val="32"/>
          <w:szCs w:val="32"/>
          <w:highlight w:val="none"/>
          <w:lang w:val="fr-FR" w:eastAsia="zh-CN"/>
        </w:rPr>
        <w:t>泸定县财政局</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w:t>
      </w:r>
      <w:r>
        <w:rPr>
          <w:rFonts w:hint="eastAsia" w:ascii="方正仿宋简体" w:hAnsi="方正仿宋简体" w:eastAsia="方正仿宋简体" w:cs="方正仿宋简体"/>
          <w:color w:val="auto"/>
          <w:sz w:val="32"/>
          <w:szCs w:val="32"/>
          <w:highlight w:val="none"/>
          <w:lang w:val="fr-FR" w:eastAsia="zh-CN"/>
        </w:rPr>
        <w:t>泸定县财政局</w:t>
      </w:r>
      <w:r>
        <w:rPr>
          <w:rFonts w:hint="eastAsia" w:ascii="方正仿宋简体" w:hAnsi="方正仿宋简体" w:eastAsia="方正仿宋简体" w:cs="方正仿宋简体"/>
          <w:color w:val="auto"/>
          <w:sz w:val="32"/>
          <w:szCs w:val="32"/>
          <w:highlight w:val="none"/>
          <w:lang w:val="fr-FR"/>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lang w:val="en-US" w:eastAsia="zh-CN"/>
        </w:rPr>
        <w:t>文件的</w:t>
      </w:r>
      <w:r>
        <w:rPr>
          <w:rFonts w:hint="eastAsia" w:ascii="方正仿宋简体" w:hAnsi="方正仿宋简体" w:eastAsia="方正仿宋简体" w:cs="方正仿宋简体"/>
          <w:color w:val="auto"/>
          <w:sz w:val="32"/>
          <w:szCs w:val="32"/>
          <w:highlight w:val="none"/>
          <w:lang w:val="fr-FR"/>
        </w:rPr>
        <w:t>要求，结合</w:t>
      </w:r>
      <w:r>
        <w:rPr>
          <w:rFonts w:hint="eastAsia" w:ascii="方正仿宋简体" w:hAnsi="方正仿宋简体" w:eastAsia="方正仿宋简体" w:cs="方正仿宋简体"/>
          <w:color w:val="auto"/>
          <w:sz w:val="32"/>
          <w:szCs w:val="32"/>
          <w:highlight w:val="none"/>
          <w:lang w:val="fr-FR" w:eastAsia="zh-CN"/>
        </w:rPr>
        <w:t>泸定县财政局</w:t>
      </w:r>
      <w:r>
        <w:rPr>
          <w:rFonts w:hint="eastAsia" w:ascii="方正仿宋简体" w:hAnsi="方正仿宋简体" w:eastAsia="方正仿宋简体" w:cs="方正仿宋简体"/>
          <w:color w:val="auto"/>
          <w:sz w:val="32"/>
          <w:szCs w:val="32"/>
          <w:highlight w:val="none"/>
          <w:lang w:val="fr-FR"/>
        </w:rPr>
        <w:t>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26009"/>
      <w:bookmarkStart w:id="11" w:name="_Toc799907804"/>
      <w:bookmarkStart w:id="12" w:name="_Toc10147"/>
      <w:bookmarkStart w:id="13" w:name="_Toc10025"/>
      <w:bookmarkStart w:id="14" w:name="_Toc10451"/>
      <w:bookmarkStart w:id="15" w:name="_Toc6377"/>
      <w:bookmarkStart w:id="16" w:name="_Toc18579"/>
      <w:bookmarkStart w:id="17" w:name="_Toc15220"/>
      <w:bookmarkStart w:id="18" w:name="_Toc12546"/>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9" w:name="_Toc109483834"/>
      <w:bookmarkStart w:id="20" w:name="_Toc16549"/>
      <w:bookmarkStart w:id="21" w:name="_Toc30550"/>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bookmarkEnd w:id="17"/>
      <w:bookmarkEnd w:id="18"/>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22" w:name="_Toc419097264"/>
      <w:bookmarkStart w:id="23" w:name="_Toc7513"/>
      <w:bookmarkStart w:id="24" w:name="_Toc24161"/>
      <w:bookmarkStart w:id="25" w:name="_Toc2337"/>
      <w:bookmarkStart w:id="26" w:name="_Toc31047"/>
      <w:bookmarkStart w:id="27" w:name="_Toc18535"/>
      <w:bookmarkStart w:id="28" w:name="_Toc20865"/>
      <w:bookmarkStart w:id="29" w:name="_Toc8412"/>
      <w:bookmarkStart w:id="30" w:name="_Toc30803"/>
      <w:r>
        <w:rPr>
          <w:rFonts w:hint="eastAsia" w:ascii="方正楷体简体" w:hAnsi="方正楷体简体" w:eastAsia="方正楷体简体" w:cs="方正楷体简体"/>
          <w:color w:val="auto"/>
          <w:kern w:val="0"/>
          <w:sz w:val="32"/>
          <w:szCs w:val="32"/>
          <w:highlight w:val="none"/>
          <w:shd w:val="clear" w:color="auto" w:fill="FFFFFF"/>
          <w:lang w:val="zh-CN"/>
        </w:rPr>
        <w:t>（一）</w:t>
      </w:r>
      <w:bookmarkEnd w:id="19"/>
      <w:bookmarkEnd w:id="20"/>
      <w:bookmarkEnd w:id="21"/>
      <w:bookmarkEnd w:id="22"/>
      <w:bookmarkEnd w:id="23"/>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部门基本情况</w:t>
      </w:r>
      <w:bookmarkEnd w:id="24"/>
      <w:bookmarkEnd w:id="25"/>
      <w:bookmarkEnd w:id="26"/>
      <w:bookmarkEnd w:id="27"/>
      <w:bookmarkEnd w:id="28"/>
      <w:bookmarkEnd w:id="29"/>
      <w:bookmarkEnd w:id="30"/>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31" w:name="_Toc109483835"/>
      <w:r>
        <w:rPr>
          <w:rFonts w:hint="eastAsia" w:ascii="方正仿宋简体" w:hAnsi="方正仿宋简体" w:eastAsia="方正仿宋简体" w:cs="方正仿宋简体"/>
          <w:color w:val="auto"/>
          <w:sz w:val="32"/>
          <w:szCs w:val="32"/>
          <w:highlight w:val="none"/>
          <w:lang w:val="fr-FR" w:eastAsia="zh-CN"/>
        </w:rPr>
        <w:t>泸定县财政局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以下简称县财政局</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auto"/>
          <w:sz w:val="32"/>
          <w:szCs w:val="32"/>
          <w:highlight w:val="none"/>
          <w:lang w:val="fr-FR"/>
        </w:rPr>
        <w:t>，</w:t>
      </w:r>
      <w:r>
        <w:rPr>
          <w:rFonts w:hint="eastAsia" w:ascii="方正仿宋简体" w:hAnsi="方正仿宋简体" w:eastAsia="方正仿宋简体" w:cs="方正仿宋简体"/>
          <w:color w:val="auto"/>
          <w:sz w:val="32"/>
          <w:szCs w:val="32"/>
          <w:highlight w:val="none"/>
          <w:lang w:val="en-US" w:eastAsia="zh-CN"/>
        </w:rPr>
        <w:t>属泸定县人民政府工作部门</w:t>
      </w:r>
      <w:r>
        <w:rPr>
          <w:rFonts w:hint="eastAsia" w:ascii="方正仿宋简体" w:hAnsi="方正仿宋简体" w:eastAsia="方正仿宋简体" w:cs="方正仿宋简体"/>
          <w:color w:val="auto"/>
          <w:sz w:val="32"/>
          <w:szCs w:val="32"/>
          <w:highlight w:val="none"/>
          <w:lang w:val="fr-FR"/>
        </w:rPr>
        <w:t>，</w:t>
      </w:r>
      <w:r>
        <w:rPr>
          <w:rFonts w:hint="eastAsia" w:ascii="方正仿宋简体" w:hAnsi="方正仿宋简体" w:eastAsia="方正仿宋简体" w:cs="方正仿宋简体"/>
          <w:color w:val="auto"/>
          <w:sz w:val="32"/>
          <w:szCs w:val="32"/>
          <w:highlight w:val="none"/>
          <w:lang w:val="en-US" w:eastAsia="zh-CN"/>
        </w:rPr>
        <w:t>为正科级，</w:t>
      </w:r>
      <w:r>
        <w:rPr>
          <w:rFonts w:hint="eastAsia" w:ascii="方正仿宋简体" w:hAnsi="方正仿宋简体" w:eastAsia="方正仿宋简体" w:cs="方正仿宋简体"/>
          <w:color w:val="auto"/>
          <w:sz w:val="32"/>
          <w:szCs w:val="32"/>
          <w:highlight w:val="none"/>
          <w:lang w:val="fr-FR"/>
        </w:rPr>
        <w:t>机构性质：机关单位；统一社会信用代码：</w:t>
      </w:r>
      <w:r>
        <w:rPr>
          <w:rFonts w:hint="default" w:ascii="Times New Roman" w:hAnsi="Times New Roman" w:eastAsia="方正仿宋简体" w:cs="Times New Roman"/>
          <w:color w:val="auto"/>
          <w:sz w:val="32"/>
          <w:szCs w:val="32"/>
          <w:highlight w:val="none"/>
          <w:lang w:val="fr-FR"/>
        </w:rPr>
        <w:t>115133220089783615</w:t>
      </w:r>
      <w:r>
        <w:rPr>
          <w:rFonts w:hint="eastAsia" w:ascii="方正仿宋简体" w:hAnsi="方正仿宋简体" w:eastAsia="方正仿宋简体" w:cs="方正仿宋简体"/>
          <w:color w:val="auto"/>
          <w:sz w:val="32"/>
          <w:szCs w:val="32"/>
          <w:highlight w:val="none"/>
          <w:lang w:val="fr-FR"/>
        </w:rPr>
        <w:t>；单位所在地：泸定县泸桥镇红军路</w:t>
      </w:r>
      <w:r>
        <w:rPr>
          <w:rFonts w:hint="default" w:ascii="Times New Roman" w:hAnsi="Times New Roman" w:eastAsia="方正仿宋简体" w:cs="Times New Roman"/>
          <w:color w:val="auto"/>
          <w:sz w:val="32"/>
          <w:szCs w:val="32"/>
          <w:highlight w:val="none"/>
          <w:lang w:val="fr-FR"/>
        </w:rPr>
        <w:t>250</w:t>
      </w:r>
      <w:r>
        <w:rPr>
          <w:rFonts w:hint="eastAsia" w:ascii="方正仿宋简体" w:hAnsi="方正仿宋简体" w:eastAsia="方正仿宋简体" w:cs="方正仿宋简体"/>
          <w:color w:val="auto"/>
          <w:sz w:val="32"/>
          <w:szCs w:val="32"/>
          <w:highlight w:val="none"/>
          <w:lang w:val="fr-FR"/>
        </w:rPr>
        <w:t xml:space="preserve">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
        </w:rPr>
      </w:pPr>
      <w:bookmarkStart w:id="32" w:name="_Toc17750"/>
      <w:bookmarkStart w:id="33" w:name="_Toc31223"/>
      <w:bookmarkStart w:id="34" w:name="_Toc1278"/>
      <w:bookmarkStart w:id="35" w:name="_Toc2195"/>
      <w:bookmarkStart w:id="36" w:name="_Toc28538"/>
      <w:bookmarkStart w:id="37" w:name="_Toc28005"/>
      <w:bookmarkStart w:id="38" w:name="_Toc20992"/>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（二）部门</w:t>
      </w:r>
      <w:bookmarkEnd w:id="32"/>
      <w:bookmarkEnd w:id="33"/>
      <w:bookmarkEnd w:id="34"/>
      <w:r>
        <w:rPr>
          <w:rFonts w:hint="eastAsia" w:ascii="方正楷体简体" w:hAnsi="方正楷体简体" w:eastAsia="方正楷体简体" w:cs="方正楷体简体"/>
          <w:color w:val="auto"/>
          <w:kern w:val="0"/>
          <w:sz w:val="32"/>
          <w:szCs w:val="32"/>
          <w:highlight w:val="none"/>
          <w:shd w:val="clear" w:color="auto" w:fill="FFFFFF"/>
          <w:lang w:val="zh-CN" w:eastAsia="zh"/>
        </w:rPr>
        <w:t>内设机构及人员概况</w:t>
      </w:r>
      <w:bookmarkEnd w:id="35"/>
      <w:bookmarkEnd w:id="36"/>
      <w:bookmarkEnd w:id="37"/>
      <w:bookmarkEnd w:id="38"/>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内设机构。办公室、财法与采购监督股、预算股、国库股、经济建设股、行政政法股、科教与文化股、社会保障股、农业农村股、债务金融监督管理股、监督绩效与会计股、综合与资产管理股（国有企业监督管理股）。</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.人员概况。根据</w:t>
      </w:r>
      <w:r>
        <w:rPr>
          <w:rFonts w:hint="default" w:ascii="Times New Roman" w:hAnsi="Times New Roman" w:eastAsia="方正仿宋简体" w:cs="Times New Roman"/>
          <w:color w:val="auto"/>
          <w:sz w:val="32"/>
          <w:szCs w:val="32"/>
          <w:highlight w:val="none"/>
          <w:lang w:val="en-US" w:eastAsia="zh-CN"/>
        </w:rPr>
        <w:t>2020</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日泸定县委办公室文件《中共泸定县委办公室 泸定县人民政府办公室关于印发〈泸定县财政局职能配置、内设机构和人员编制规定〉的通知》（泸委办发〔</w:t>
      </w:r>
      <w:r>
        <w:rPr>
          <w:rFonts w:hint="default" w:ascii="Times New Roman" w:hAnsi="Times New Roman" w:eastAsia="方正仿宋简体" w:cs="Times New Roman"/>
          <w:color w:val="auto"/>
          <w:sz w:val="32"/>
          <w:szCs w:val="32"/>
          <w:highlight w:val="none"/>
          <w:lang w:val="en-US" w:eastAsia="zh-CN"/>
        </w:rPr>
        <w:t>2020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号）文件，县财政局行政编制</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en-US" w:eastAsia="zh-CN"/>
        </w:rPr>
        <w:t>名，其中局长</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名，副局长</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名，会计师</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名，股长</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名，机关工勤人员控制数</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名。</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39" w:name="_Toc16978"/>
      <w:bookmarkStart w:id="40" w:name="_Toc568184988"/>
      <w:bookmarkStart w:id="41" w:name="_Toc22860"/>
      <w:bookmarkStart w:id="42" w:name="_Toc21223"/>
      <w:bookmarkStart w:id="43" w:name="_Toc15278"/>
      <w:bookmarkStart w:id="44" w:name="_Toc21420"/>
      <w:bookmarkStart w:id="45" w:name="_Toc22604"/>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kern w:val="0"/>
          <w:sz w:val="32"/>
          <w:szCs w:val="32"/>
          <w:highlight w:val="none"/>
          <w:shd w:val="clear" w:color="auto" w:fill="FFFFFF"/>
          <w:lang w:val="zh-CN"/>
        </w:rPr>
        <w:t>）</w:t>
      </w:r>
      <w:bookmarkEnd w:id="31"/>
      <w:bookmarkEnd w:id="39"/>
      <w:bookmarkEnd w:id="40"/>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部门职能职责</w:t>
      </w:r>
      <w:bookmarkEnd w:id="41"/>
      <w:bookmarkEnd w:id="42"/>
      <w:bookmarkEnd w:id="43"/>
      <w:bookmarkEnd w:id="44"/>
      <w:bookmarkEnd w:id="45"/>
    </w:p>
    <w:p w14:paraId="725C269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6" w:name="_Toc109483836"/>
      <w:bookmarkStart w:id="47" w:name="_Toc33"/>
      <w:r>
        <w:rPr>
          <w:rFonts w:hint="eastAsia" w:ascii="方正仿宋简体" w:hAnsi="方正仿宋简体" w:eastAsia="方正仿宋简体" w:cs="方正仿宋简体"/>
          <w:color w:val="auto"/>
          <w:sz w:val="32"/>
          <w:szCs w:val="32"/>
          <w:highlight w:val="none"/>
          <w:lang w:val="fr-FR" w:eastAsia="zh-CN"/>
        </w:rPr>
        <w:t>县财政局</w:t>
      </w:r>
      <w:r>
        <w:rPr>
          <w:rFonts w:hint="eastAsia" w:ascii="方正仿宋简体" w:hAnsi="方正仿宋简体" w:eastAsia="方正仿宋简体" w:cs="方正仿宋简体"/>
          <w:color w:val="auto"/>
          <w:sz w:val="32"/>
          <w:szCs w:val="32"/>
          <w:highlight w:val="none"/>
          <w:lang w:val="fr-FR"/>
        </w:rPr>
        <w:t>的主要职责是：</w:t>
      </w:r>
    </w:p>
    <w:p w14:paraId="78EA9C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.拟定全县财税发展战略、规划、政策和改革方案并组织实施。</w:t>
      </w:r>
    </w:p>
    <w:p w14:paraId="75313B8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.贯彻执行财政、税收、财务、会计管理的法律法规和规章，按照管理权限管理全县税政事项。</w:t>
      </w:r>
    </w:p>
    <w:p w14:paraId="1BF7620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3</w:t>
      </w:r>
      <w:r>
        <w:rPr>
          <w:rFonts w:hint="eastAsia" w:ascii="方正仿宋简体" w:hAnsi="方正仿宋简体" w:eastAsia="方正仿宋简体" w:cs="方正仿宋简体"/>
          <w:color w:val="auto"/>
          <w:sz w:val="32"/>
          <w:szCs w:val="32"/>
          <w:highlight w:val="none"/>
          <w:lang w:val="fr-FR"/>
        </w:rPr>
        <w:t>.负责管理各项财政收支。</w:t>
      </w:r>
    </w:p>
    <w:p w14:paraId="1823F73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4</w:t>
      </w:r>
      <w:r>
        <w:rPr>
          <w:rFonts w:hint="eastAsia" w:ascii="方正仿宋简体" w:hAnsi="方正仿宋简体" w:eastAsia="方正仿宋简体" w:cs="方正仿宋简体"/>
          <w:color w:val="auto"/>
          <w:sz w:val="32"/>
          <w:szCs w:val="32"/>
          <w:highlight w:val="none"/>
          <w:lang w:val="fr-FR"/>
        </w:rPr>
        <w:t>.按分工负责政府非税收入管理。</w:t>
      </w:r>
    </w:p>
    <w:p w14:paraId="30F8BDC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5</w:t>
      </w:r>
      <w:r>
        <w:rPr>
          <w:rFonts w:hint="eastAsia" w:ascii="方正仿宋简体" w:hAnsi="方正仿宋简体" w:eastAsia="方正仿宋简体" w:cs="方正仿宋简体"/>
          <w:color w:val="auto"/>
          <w:sz w:val="32"/>
          <w:szCs w:val="32"/>
          <w:highlight w:val="none"/>
          <w:lang w:val="fr-FR"/>
        </w:rPr>
        <w:t>.组织制定全县国库管理制度、国库集中收付制度，指导和监督国库业务，开展国库现金管理工作。</w:t>
      </w:r>
    </w:p>
    <w:p w14:paraId="3A099D4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6</w:t>
      </w:r>
      <w:r>
        <w:rPr>
          <w:rFonts w:hint="eastAsia" w:ascii="方正仿宋简体" w:hAnsi="方正仿宋简体" w:eastAsia="方正仿宋简体" w:cs="方正仿宋简体"/>
          <w:color w:val="auto"/>
          <w:sz w:val="32"/>
          <w:szCs w:val="32"/>
          <w:highlight w:val="none"/>
          <w:lang w:val="fr-FR"/>
        </w:rPr>
        <w:t>.贯彻执行地方政府债务管理制度和政策，制定具体管理办法，编制地方政府债务余额限额计划，统一管理政府外债，防范财政风险。</w:t>
      </w:r>
    </w:p>
    <w:p w14:paraId="72756E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7</w:t>
      </w:r>
      <w:r>
        <w:rPr>
          <w:rFonts w:hint="eastAsia" w:ascii="方正仿宋简体" w:hAnsi="方正仿宋简体" w:eastAsia="方正仿宋简体" w:cs="方正仿宋简体"/>
          <w:color w:val="auto"/>
          <w:sz w:val="32"/>
          <w:szCs w:val="32"/>
          <w:highlight w:val="none"/>
          <w:lang w:val="fr-FR"/>
        </w:rPr>
        <w:t>.牵头编制全县国有资产管理情况报告。</w:t>
      </w:r>
    </w:p>
    <w:p w14:paraId="431C07E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.负责审核并汇总编制全县国有资本经营预决算草案。</w:t>
      </w:r>
    </w:p>
    <w:p w14:paraId="0E1493E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.负责审核并汇总编制全县社会保险基金预决算草案，会同相关部门拟定有关资金（基金）财务管理制度，承担社会保险基金财政监督工作。</w:t>
      </w:r>
    </w:p>
    <w:p w14:paraId="31BCA6C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.负责办理和监督县级财政的经济发展支出、县级政府性投资项目的财政拨款，负责投资评审管理工作，参与拟定县级基建投资相关政策，制定基建财务管理制度。</w:t>
      </w:r>
    </w:p>
    <w:p w14:paraId="58CCF0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11</w:t>
      </w:r>
      <w:r>
        <w:rPr>
          <w:rFonts w:hint="eastAsia" w:ascii="方正仿宋简体" w:hAnsi="方正仿宋简体" w:eastAsia="方正仿宋简体" w:cs="方正仿宋简体"/>
          <w:color w:val="auto"/>
          <w:sz w:val="32"/>
          <w:szCs w:val="32"/>
          <w:highlight w:val="none"/>
          <w:lang w:val="fr-FR"/>
        </w:rPr>
        <w:t>.管理外国政府和国际金融机构贷（赠）款项目的有关业务，参与财经领域的国际交流与合作。</w:t>
      </w:r>
    </w:p>
    <w:p w14:paraId="357258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12</w:t>
      </w:r>
      <w:r>
        <w:rPr>
          <w:rFonts w:hint="eastAsia" w:ascii="方正仿宋简体" w:hAnsi="方正仿宋简体" w:eastAsia="方正仿宋简体" w:cs="方正仿宋简体"/>
          <w:color w:val="auto"/>
          <w:sz w:val="32"/>
          <w:szCs w:val="32"/>
          <w:highlight w:val="none"/>
          <w:lang w:val="fr-FR"/>
        </w:rPr>
        <w:t>.负责管理全县会计工作，监督和规范会计行为，组织实施国家统一的会计制度，指导和管理社会审计。</w:t>
      </w:r>
    </w:p>
    <w:p w14:paraId="0EC7F9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13</w:t>
      </w:r>
      <w:r>
        <w:rPr>
          <w:rFonts w:hint="eastAsia" w:ascii="方正仿宋简体" w:hAnsi="方正仿宋简体" w:eastAsia="方正仿宋简体" w:cs="方正仿宋简体"/>
          <w:color w:val="auto"/>
          <w:sz w:val="32"/>
          <w:szCs w:val="32"/>
          <w:highlight w:val="none"/>
          <w:lang w:val="fr-FR"/>
        </w:rPr>
        <w:t>.根据县政府授权，依照《中华人民共和国企业国有资产法》《中华人民共和国公司法》等法律和行政法规履行出资人职责，监督县属企业的国有资产，加强国有资产的管理工作。</w:t>
      </w:r>
    </w:p>
    <w:p w14:paraId="3E504C7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14</w:t>
      </w:r>
      <w:r>
        <w:rPr>
          <w:rFonts w:hint="eastAsia" w:ascii="方正仿宋简体" w:hAnsi="方正仿宋简体" w:eastAsia="方正仿宋简体" w:cs="方正仿宋简体"/>
          <w:color w:val="auto"/>
          <w:sz w:val="32"/>
          <w:szCs w:val="32"/>
          <w:highlight w:val="none"/>
          <w:lang w:val="fr-FR"/>
        </w:rPr>
        <w:t>.研究拟定国有资产管理的有关制度、办法并组织实施，贯彻执行有关国有资产管理的地方性法规、规章，依法对全县国有资产进行管理。</w:t>
      </w:r>
    </w:p>
    <w:p w14:paraId="74A64C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15</w:t>
      </w:r>
      <w:r>
        <w:rPr>
          <w:rFonts w:hint="eastAsia" w:ascii="方正仿宋简体" w:hAnsi="方正仿宋简体" w:eastAsia="方正仿宋简体" w:cs="方正仿宋简体"/>
          <w:color w:val="auto"/>
          <w:sz w:val="32"/>
          <w:szCs w:val="32"/>
          <w:highlight w:val="none"/>
          <w:lang w:val="fr-FR"/>
        </w:rPr>
        <w:t>.承担监督所监管企业国有资产保值增值的责任，建立和完善国有资产保值增值指标体系，制定考核标准，通过统计、稽核对所监管企业国有资产的保值增值情况进行监督，负责所监管企业工资分配管理工作，制定所监管企业负责人收入分配政策并组织实施。</w:t>
      </w:r>
    </w:p>
    <w:p w14:paraId="35351F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16</w:t>
      </w:r>
      <w:r>
        <w:rPr>
          <w:rFonts w:hint="eastAsia" w:ascii="方正仿宋简体" w:hAnsi="方正仿宋简体" w:eastAsia="方正仿宋简体" w:cs="方正仿宋简体"/>
          <w:color w:val="auto"/>
          <w:sz w:val="32"/>
          <w:szCs w:val="32"/>
          <w:highlight w:val="none"/>
          <w:lang w:val="fr-FR"/>
        </w:rPr>
        <w:t>.指导推进国有企业改革和重组，推进国有企业的现代化企业制度建设，完善公司治理结构，推动国有经济布局和结构调整。</w:t>
      </w:r>
    </w:p>
    <w:p w14:paraId="2CDEC8A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17</w:t>
      </w:r>
      <w:r>
        <w:rPr>
          <w:rFonts w:hint="eastAsia" w:ascii="方正仿宋简体" w:hAnsi="方正仿宋简体" w:eastAsia="方正仿宋简体" w:cs="方正仿宋简体"/>
          <w:color w:val="auto"/>
          <w:sz w:val="32"/>
          <w:szCs w:val="32"/>
          <w:highlight w:val="none"/>
          <w:lang w:val="fr-FR"/>
        </w:rPr>
        <w:t>.通过法定程序对所监管企业负责人进行任免、考核并根据其经营业绩进行奖惩，建立符合社会主义市场经济体制和现代化企业制度要求的选人、用人机制，完善经营激励和约束机制。</w:t>
      </w:r>
    </w:p>
    <w:p w14:paraId="31B6545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18</w:t>
      </w:r>
      <w:r>
        <w:rPr>
          <w:rFonts w:hint="eastAsia" w:ascii="方正仿宋简体" w:hAnsi="方正仿宋简体" w:eastAsia="方正仿宋简体" w:cs="方正仿宋简体"/>
          <w:color w:val="auto"/>
          <w:sz w:val="32"/>
          <w:szCs w:val="32"/>
          <w:highlight w:val="none"/>
          <w:lang w:val="fr-FR"/>
        </w:rPr>
        <w:t>.参与制定国有资本经营预算有关管理制度，提出所监管企业年度国有资本经营预算建议草案，组织和监督所监管企业国有资本经营预算的执行，编报所监管企业年度国有资本经营决算草案，负责组织所监管企业上缴国有资本收益。</w:t>
      </w:r>
    </w:p>
    <w:p w14:paraId="023C750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19</w:t>
      </w:r>
      <w:r>
        <w:rPr>
          <w:rFonts w:hint="eastAsia" w:ascii="方正仿宋简体" w:hAnsi="方正仿宋简体" w:eastAsia="方正仿宋简体" w:cs="方正仿宋简体"/>
          <w:color w:val="auto"/>
          <w:sz w:val="32"/>
          <w:szCs w:val="32"/>
          <w:highlight w:val="none"/>
          <w:lang w:val="fr-FR"/>
        </w:rPr>
        <w:t>.根据县委授权，负责部分国有资产在县的重点国有企业负责人的任免等管理工作。</w:t>
      </w:r>
    </w:p>
    <w:p w14:paraId="7148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20</w:t>
      </w:r>
      <w:r>
        <w:rPr>
          <w:rFonts w:hint="eastAsia" w:ascii="方正仿宋简体" w:hAnsi="方正仿宋简体" w:eastAsia="方正仿宋简体" w:cs="方正仿宋简体"/>
          <w:color w:val="auto"/>
          <w:sz w:val="32"/>
          <w:szCs w:val="32"/>
          <w:highlight w:val="none"/>
          <w:lang w:val="fr-FR"/>
        </w:rPr>
        <w:t>.协调中央、省、州、外地在县国有企业改革发展中与地方相关的事宜。</w:t>
      </w:r>
    </w:p>
    <w:p w14:paraId="706B601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21</w:t>
      </w:r>
      <w:r>
        <w:rPr>
          <w:rFonts w:hint="eastAsia" w:ascii="方正仿宋简体" w:hAnsi="方正仿宋简体" w:eastAsia="方正仿宋简体" w:cs="方正仿宋简体"/>
          <w:color w:val="auto"/>
          <w:sz w:val="32"/>
          <w:szCs w:val="32"/>
          <w:highlight w:val="none"/>
          <w:lang w:val="fr-FR"/>
        </w:rPr>
        <w:t>.会同有关部门拟定地方金融政策措施，贯彻执行有关地方性法规、规章，拟定全县金融业发展的中长期规划并组织实施。</w:t>
      </w:r>
    </w:p>
    <w:p w14:paraId="65A06A8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22</w:t>
      </w:r>
      <w:r>
        <w:rPr>
          <w:rFonts w:hint="eastAsia" w:ascii="方正仿宋简体" w:hAnsi="方正仿宋简体" w:eastAsia="方正仿宋简体" w:cs="方正仿宋简体"/>
          <w:color w:val="auto"/>
          <w:sz w:val="32"/>
          <w:szCs w:val="32"/>
          <w:highlight w:val="none"/>
          <w:lang w:val="fr-FR"/>
        </w:rPr>
        <w:t>.统筹、协调推进全县金融服务实体经济、防控金融风险、深化金融改革工作。</w:t>
      </w:r>
    </w:p>
    <w:p w14:paraId="16E9FA3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23</w:t>
      </w:r>
      <w:r>
        <w:rPr>
          <w:rFonts w:hint="eastAsia" w:ascii="方正仿宋简体" w:hAnsi="方正仿宋简体" w:eastAsia="方正仿宋简体" w:cs="方正仿宋简体"/>
          <w:color w:val="auto"/>
          <w:sz w:val="32"/>
          <w:szCs w:val="32"/>
          <w:highlight w:val="none"/>
          <w:lang w:val="fr-FR"/>
        </w:rPr>
        <w:t>.会同有关部门推进地方金融业规范发展，组建、培育、壮大地方法人金融机构，引进县外金融机构，促进地方金融机构合理布局和金融资源优化配置，负责县信用联社和监督范围内的地方法人金融机构的改革发展和业务指导工作。</w:t>
      </w:r>
    </w:p>
    <w:p w14:paraId="0D947A1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24</w:t>
      </w:r>
      <w:r>
        <w:rPr>
          <w:rFonts w:hint="eastAsia" w:ascii="方正仿宋简体" w:hAnsi="方正仿宋简体" w:eastAsia="方正仿宋简体" w:cs="方正仿宋简体"/>
          <w:color w:val="auto"/>
          <w:sz w:val="32"/>
          <w:szCs w:val="32"/>
          <w:highlight w:val="none"/>
          <w:lang w:val="fr-FR"/>
        </w:rPr>
        <w:t>.统筹推进全县企业直接融资工作。</w:t>
      </w:r>
    </w:p>
    <w:p w14:paraId="1724DE7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25</w:t>
      </w:r>
      <w:r>
        <w:rPr>
          <w:rFonts w:hint="eastAsia" w:ascii="方正仿宋简体" w:hAnsi="方正仿宋简体" w:eastAsia="方正仿宋简体" w:cs="方正仿宋简体"/>
          <w:color w:val="auto"/>
          <w:sz w:val="32"/>
          <w:szCs w:val="32"/>
          <w:highlight w:val="none"/>
          <w:lang w:val="fr-FR"/>
        </w:rPr>
        <w:t>.配合上级金融管理部门做好金融监督相关工作，共享地方金融监督指标数据和金融业务发展情况，协调解决地方金融业改革发展中的有关问题。</w:t>
      </w:r>
    </w:p>
    <w:p w14:paraId="76FC3D3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26</w:t>
      </w:r>
      <w:r>
        <w:rPr>
          <w:rFonts w:hint="eastAsia" w:ascii="方正仿宋简体" w:hAnsi="方正仿宋简体" w:eastAsia="方正仿宋简体" w:cs="方正仿宋简体"/>
          <w:color w:val="auto"/>
          <w:sz w:val="32"/>
          <w:szCs w:val="32"/>
          <w:highlight w:val="none"/>
          <w:lang w:val="fr-FR"/>
        </w:rPr>
        <w:t>.推动各类金融机构为全县经济社会发展服务，参与全县金融资本体制改革工作。</w:t>
      </w:r>
    </w:p>
    <w:p w14:paraId="2B30BC6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27</w:t>
      </w:r>
      <w:r>
        <w:rPr>
          <w:rFonts w:hint="eastAsia" w:ascii="方正仿宋简体" w:hAnsi="方正仿宋简体" w:eastAsia="方正仿宋简体" w:cs="方正仿宋简体"/>
          <w:color w:val="auto"/>
          <w:sz w:val="32"/>
          <w:szCs w:val="32"/>
          <w:highlight w:val="none"/>
          <w:lang w:val="fr-FR"/>
        </w:rPr>
        <w:t>.负责全县小额贷款公司、融资担保公司、典当行、融资租赁公司、商业保理公司、地方资产管理公司的监管。</w:t>
      </w:r>
    </w:p>
    <w:p w14:paraId="3D69F04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28</w:t>
      </w:r>
      <w:r>
        <w:rPr>
          <w:rFonts w:hint="eastAsia" w:ascii="方正仿宋简体" w:hAnsi="方正仿宋简体" w:eastAsia="方正仿宋简体" w:cs="方正仿宋简体"/>
          <w:color w:val="auto"/>
          <w:sz w:val="32"/>
          <w:szCs w:val="32"/>
          <w:highlight w:val="none"/>
          <w:lang w:val="fr-FR"/>
        </w:rPr>
        <w:t>.负责地方金融机构和金融中介机构的行业管理和服务，促进金融中介服务业发展，参与拟定促进与金融业密切相关的中介服务机构发展的政策、规划并配合有关部门实施。</w:t>
      </w:r>
    </w:p>
    <w:p w14:paraId="27E3EB3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29</w:t>
      </w:r>
      <w:r>
        <w:rPr>
          <w:rFonts w:hint="eastAsia" w:ascii="方正仿宋简体" w:hAnsi="方正仿宋简体" w:eastAsia="方正仿宋简体" w:cs="方正仿宋简体"/>
          <w:color w:val="auto"/>
          <w:sz w:val="32"/>
          <w:szCs w:val="32"/>
          <w:highlight w:val="none"/>
          <w:lang w:val="fr-FR"/>
        </w:rPr>
        <w:t>.维护地方金融秩序。</w:t>
      </w:r>
    </w:p>
    <w:p w14:paraId="7649F0D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30</w:t>
      </w:r>
      <w:r>
        <w:rPr>
          <w:rFonts w:hint="eastAsia" w:ascii="方正仿宋简体" w:hAnsi="方正仿宋简体" w:eastAsia="方正仿宋简体" w:cs="方正仿宋简体"/>
          <w:color w:val="auto"/>
          <w:sz w:val="32"/>
          <w:szCs w:val="32"/>
          <w:highlight w:val="none"/>
          <w:lang w:val="fr-FR"/>
        </w:rPr>
        <w:t>.参与指导全县金融人才资源培育和队伍建设工作，推进全县金融知识宣传普及工作。</w:t>
      </w:r>
    </w:p>
    <w:p w14:paraId="744FB83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31</w:t>
      </w:r>
      <w:r>
        <w:rPr>
          <w:rFonts w:hint="eastAsia" w:ascii="方正仿宋简体" w:hAnsi="方正仿宋简体" w:eastAsia="方正仿宋简体" w:cs="方正仿宋简体"/>
          <w:color w:val="auto"/>
          <w:sz w:val="32"/>
          <w:szCs w:val="32"/>
          <w:highlight w:val="none"/>
          <w:lang w:val="fr-FR"/>
        </w:rPr>
        <w:t>.负责职责范围内的安全生产和职业健康、生态环境保护、审批服务便民化等工作。</w:t>
      </w:r>
    </w:p>
    <w:p w14:paraId="4FC7EC8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32</w:t>
      </w:r>
      <w:r>
        <w:rPr>
          <w:rFonts w:hint="eastAsia" w:ascii="方正仿宋简体" w:hAnsi="方正仿宋简体" w:eastAsia="方正仿宋简体" w:cs="方正仿宋简体"/>
          <w:color w:val="auto"/>
          <w:sz w:val="32"/>
          <w:szCs w:val="32"/>
          <w:highlight w:val="none"/>
          <w:lang w:val="fr-FR"/>
        </w:rPr>
        <w:t>.完成县委、县政府交办的其他任务。</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8" w:name="_Toc22168"/>
      <w:bookmarkStart w:id="49" w:name="_Toc5982"/>
      <w:bookmarkStart w:id="50" w:name="_Toc14896"/>
      <w:bookmarkStart w:id="51" w:name="_Toc21042"/>
      <w:bookmarkStart w:id="52" w:name="_Toc16871"/>
      <w:bookmarkStart w:id="53" w:name="_Toc13707"/>
      <w:bookmarkStart w:id="54" w:name="_Toc22594"/>
      <w:bookmarkStart w:id="55" w:name="_Toc1218480988"/>
      <w:bookmarkStart w:id="56" w:name="_Toc21188"/>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46"/>
      <w:bookmarkEnd w:id="47"/>
      <w:bookmarkEnd w:id="48"/>
      <w:bookmarkEnd w:id="49"/>
      <w:bookmarkEnd w:id="50"/>
      <w:bookmarkEnd w:id="51"/>
      <w:bookmarkEnd w:id="52"/>
      <w:bookmarkEnd w:id="53"/>
      <w:bookmarkEnd w:id="54"/>
      <w:bookmarkEnd w:id="55"/>
      <w:bookmarkEnd w:id="56"/>
      <w:bookmarkStart w:id="57" w:name="_Toc2659"/>
      <w:bookmarkStart w:id="58" w:name="_Toc109483837"/>
    </w:p>
    <w:bookmarkEnd w:id="57"/>
    <w:bookmarkEnd w:id="58"/>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59" w:name="_Toc2374"/>
      <w:bookmarkStart w:id="60" w:name="_Toc25866"/>
      <w:bookmarkStart w:id="61" w:name="_Toc10338"/>
      <w:bookmarkStart w:id="62" w:name="_Toc8289"/>
      <w:bookmarkStart w:id="63" w:name="_Toc15898"/>
      <w:bookmarkStart w:id="64" w:name="_Toc12686"/>
      <w:bookmarkStart w:id="65" w:name="_Toc29180"/>
      <w:bookmarkStart w:id="66" w:name="_Toc1949541301"/>
      <w:bookmarkStart w:id="67" w:name="_Toc21428"/>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fr-FR"/>
        </w:rPr>
        <w:t>一</w:t>
      </w:r>
      <w:r>
        <w:rPr>
          <w:rFonts w:hint="eastAsia" w:ascii="方正楷体简体" w:hAnsi="方正楷体简体" w:eastAsia="方正楷体简体" w:cs="方正楷体简体"/>
          <w:color w:val="auto"/>
          <w:kern w:val="0"/>
          <w:sz w:val="32"/>
          <w:szCs w:val="32"/>
          <w:highlight w:val="none"/>
          <w:shd w:val="clear" w:color="auto" w:fill="FFFFFF"/>
          <w:lang w:val="zh-CN"/>
        </w:rPr>
        <w:t>）部门资金收入</w:t>
      </w:r>
      <w:r>
        <w:rPr>
          <w:rFonts w:hint="eastAsia" w:ascii="方正楷体简体" w:hAnsi="方正楷体简体" w:eastAsia="方正楷体简体" w:cs="方正楷体简体"/>
          <w:color w:val="auto"/>
          <w:kern w:val="0"/>
          <w:sz w:val="32"/>
          <w:szCs w:val="32"/>
          <w:highlight w:val="none"/>
          <w:shd w:val="clear" w:color="auto" w:fill="FFFFFF"/>
          <w:lang w:val="fr-FR"/>
        </w:rPr>
        <w:t>决算</w:t>
      </w:r>
      <w:r>
        <w:rPr>
          <w:rFonts w:hint="eastAsia" w:ascii="方正楷体简体" w:hAnsi="方正楷体简体" w:eastAsia="方正楷体简体" w:cs="方正楷体简体"/>
          <w:color w:val="auto"/>
          <w:kern w:val="0"/>
          <w:sz w:val="32"/>
          <w:szCs w:val="32"/>
          <w:highlight w:val="none"/>
          <w:shd w:val="clear" w:color="auto" w:fill="FFFFFF"/>
          <w:lang w:val="zh-CN"/>
        </w:rPr>
        <w:t>情况</w:t>
      </w:r>
      <w:bookmarkEnd w:id="59"/>
      <w:bookmarkEnd w:id="60"/>
      <w:bookmarkEnd w:id="61"/>
      <w:bookmarkEnd w:id="62"/>
      <w:bookmarkEnd w:id="63"/>
      <w:bookmarkEnd w:id="64"/>
      <w:bookmarkEnd w:id="65"/>
      <w:bookmarkEnd w:id="66"/>
      <w:bookmarkEnd w:id="67"/>
      <w:bookmarkStart w:id="68" w:name="_Toc19132"/>
    </w:p>
    <w:bookmarkEnd w:id="68"/>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
        </w:rPr>
      </w:pPr>
      <w:bookmarkStart w:id="69" w:name="_Toc109483838"/>
      <w:bookmarkStart w:id="70" w:name="_Toc349786989"/>
      <w:bookmarkStart w:id="71" w:name="_Toc27782"/>
      <w:bookmarkStart w:id="72" w:name="_Toc27073"/>
      <w:bookmarkStart w:id="73" w:name="_Toc21171"/>
      <w:bookmarkStart w:id="74" w:name="_Toc17751"/>
      <w:bookmarkStart w:id="75" w:name="_Toc19326"/>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年县财政局</w:t>
      </w:r>
      <w:r>
        <w:rPr>
          <w:rFonts w:hint="eastAsia" w:ascii="方正仿宋简体" w:hAnsi="方正仿宋简体" w:eastAsia="方正仿宋简体" w:cs="方正仿宋简体"/>
          <w:color w:val="auto"/>
          <w:sz w:val="32"/>
          <w:szCs w:val="32"/>
          <w:highlight w:val="none"/>
          <w:lang w:val="en-US" w:eastAsia="zh-CN"/>
        </w:rPr>
        <w:t>收入总计</w:t>
      </w:r>
      <w:r>
        <w:rPr>
          <w:rFonts w:hint="default" w:ascii="Times New Roman" w:hAnsi="Times New Roman" w:eastAsia="方正仿宋简体" w:cs="Times New Roman"/>
          <w:color w:val="auto"/>
          <w:sz w:val="32"/>
          <w:szCs w:val="32"/>
          <w:highlight w:val="none"/>
          <w:lang w:val="zh-CN" w:eastAsia="zh"/>
        </w:rPr>
        <w:t>1</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092</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50</w:t>
      </w:r>
      <w:r>
        <w:rPr>
          <w:rFonts w:hint="eastAsia" w:ascii="方正仿宋简体" w:hAnsi="方正仿宋简体" w:eastAsia="方正仿宋简体" w:cs="方正仿宋简体"/>
          <w:color w:val="auto"/>
          <w:sz w:val="32"/>
          <w:szCs w:val="32"/>
          <w:highlight w:val="none"/>
          <w:lang w:val="zh-CN" w:eastAsia="zh"/>
        </w:rPr>
        <w:t>万元，其中：一般公共预算财政拨款收入</w:t>
      </w:r>
      <w:r>
        <w:rPr>
          <w:rFonts w:hint="default" w:ascii="Times New Roman" w:hAnsi="Times New Roman" w:eastAsia="方正仿宋简体" w:cs="Times New Roman"/>
          <w:color w:val="auto"/>
          <w:sz w:val="32"/>
          <w:szCs w:val="32"/>
          <w:highlight w:val="none"/>
          <w:lang w:val="zh-CN" w:eastAsia="zh"/>
        </w:rPr>
        <w:t>1</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092</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50</w:t>
      </w:r>
      <w:r>
        <w:rPr>
          <w:rFonts w:hint="eastAsia" w:ascii="方正仿宋简体" w:hAnsi="方正仿宋简体" w:eastAsia="方正仿宋简体" w:cs="方正仿宋简体"/>
          <w:color w:val="auto"/>
          <w:sz w:val="32"/>
          <w:szCs w:val="32"/>
          <w:highlight w:val="none"/>
          <w:lang w:val="zh-CN" w:eastAsia="zh"/>
        </w:rPr>
        <w:t>万元、其他收入</w:t>
      </w:r>
      <w:r>
        <w:rPr>
          <w:rFonts w:hint="default" w:ascii="Times New Roman" w:hAnsi="Times New Roman" w:eastAsia="方正仿宋简体" w:cs="Times New Roman"/>
          <w:color w:val="auto"/>
          <w:sz w:val="32"/>
          <w:szCs w:val="32"/>
          <w:highlight w:val="none"/>
          <w:lang w:val="zh-CN" w:eastAsia="zh"/>
        </w:rPr>
        <w:t>0</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00</w:t>
      </w:r>
      <w:r>
        <w:rPr>
          <w:rFonts w:hint="eastAsia" w:ascii="方正仿宋简体" w:hAnsi="方正仿宋简体" w:eastAsia="方正仿宋简体" w:cs="方正仿宋简体"/>
          <w:color w:val="auto"/>
          <w:sz w:val="32"/>
          <w:szCs w:val="32"/>
          <w:highlight w:val="none"/>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76" w:name="_Toc3532"/>
      <w:bookmarkStart w:id="77" w:name="_Toc16309"/>
      <w:bookmarkStart w:id="78" w:name="_Toc13530"/>
      <w:bookmarkStart w:id="79" w:name="_Toc4604"/>
      <w:r>
        <w:rPr>
          <w:rFonts w:hint="eastAsia" w:ascii="方正楷体简体" w:hAnsi="方正楷体简体" w:eastAsia="方正楷体简体" w:cs="方正楷体简体"/>
          <w:color w:val="auto"/>
          <w:kern w:val="0"/>
          <w:sz w:val="32"/>
          <w:szCs w:val="32"/>
          <w:highlight w:val="none"/>
          <w:shd w:val="clear" w:color="auto" w:fill="FFFFFF"/>
          <w:lang w:val="zh-CN"/>
        </w:rPr>
        <w:t>（二）部门资金支出决算情况</w:t>
      </w:r>
      <w:bookmarkEnd w:id="69"/>
      <w:bookmarkEnd w:id="70"/>
      <w:bookmarkEnd w:id="71"/>
      <w:bookmarkEnd w:id="72"/>
      <w:bookmarkEnd w:id="73"/>
      <w:bookmarkEnd w:id="74"/>
      <w:bookmarkEnd w:id="75"/>
      <w:bookmarkEnd w:id="76"/>
      <w:bookmarkEnd w:id="77"/>
      <w:bookmarkEnd w:id="78"/>
      <w:bookmarkEnd w:id="79"/>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0" w:name="_Toc18390"/>
      <w:bookmarkStart w:id="81" w:name="_Toc24721"/>
      <w:bookmarkStart w:id="82" w:name="_Toc10837"/>
      <w:bookmarkStart w:id="83" w:name="_Toc1457008154"/>
      <w:bookmarkStart w:id="84" w:name="_Toc809"/>
      <w:bookmarkStart w:id="85" w:name="_Toc109483839"/>
      <w:bookmarkStart w:id="86" w:name="_Toc13841"/>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年县财政局</w:t>
      </w:r>
      <w:r>
        <w:rPr>
          <w:rFonts w:hint="eastAsia" w:ascii="方正仿宋简体" w:hAnsi="方正仿宋简体" w:eastAsia="方正仿宋简体" w:cs="方正仿宋简体"/>
          <w:color w:val="auto"/>
          <w:sz w:val="32"/>
          <w:szCs w:val="32"/>
          <w:highlight w:val="none"/>
          <w:lang w:val="en-US" w:eastAsia="zh-CN"/>
        </w:rPr>
        <w:t>支出</w:t>
      </w:r>
      <w:r>
        <w:rPr>
          <w:rFonts w:hint="default" w:ascii="Times New Roman" w:hAnsi="Times New Roman" w:eastAsia="方正仿宋简体" w:cs="Times New Roman"/>
          <w:color w:val="auto"/>
          <w:sz w:val="32"/>
          <w:szCs w:val="32"/>
          <w:highlight w:val="none"/>
          <w:lang w:val="en-US" w:eastAsia="zh"/>
        </w:rPr>
        <w:t>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090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48</w:t>
      </w:r>
      <w:r>
        <w:rPr>
          <w:rFonts w:hint="eastAsia" w:ascii="方正仿宋简体" w:hAnsi="方正仿宋简体" w:eastAsia="方正仿宋简体" w:cs="方正仿宋简体"/>
          <w:color w:val="auto"/>
          <w:sz w:val="32"/>
          <w:szCs w:val="32"/>
          <w:highlight w:val="none"/>
          <w:lang w:val="en-US" w:eastAsia="zh"/>
        </w:rPr>
        <w:t>万元，其中：基本支出</w:t>
      </w:r>
      <w:r>
        <w:rPr>
          <w:rFonts w:hint="eastAsia" w:ascii="方正仿宋简体" w:hAnsi="方正仿宋简体" w:eastAsia="方正仿宋简体" w:cs="方正仿宋简体"/>
          <w:color w:val="auto"/>
          <w:sz w:val="32"/>
          <w:szCs w:val="32"/>
          <w:highlight w:val="none"/>
          <w:lang w:eastAsia="zh"/>
        </w:rPr>
        <w:t xml:space="preserve"> </w:t>
      </w:r>
      <w:r>
        <w:rPr>
          <w:rFonts w:hint="default" w:ascii="Times New Roman" w:hAnsi="Times New Roman" w:eastAsia="方正仿宋简体" w:cs="Times New Roman"/>
          <w:color w:val="auto"/>
          <w:sz w:val="32"/>
          <w:szCs w:val="32"/>
          <w:highlight w:val="none"/>
          <w:lang w:eastAsia="zh"/>
        </w:rPr>
        <w:t>622</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60</w:t>
      </w:r>
      <w:r>
        <w:rPr>
          <w:rFonts w:hint="eastAsia" w:ascii="方正仿宋简体" w:hAnsi="方正仿宋简体" w:eastAsia="方正仿宋简体" w:cs="方正仿宋简体"/>
          <w:color w:val="auto"/>
          <w:sz w:val="32"/>
          <w:szCs w:val="32"/>
          <w:highlight w:val="none"/>
          <w:lang w:val="en-US" w:eastAsia="zh"/>
        </w:rPr>
        <w:t>万元（人员经费</w:t>
      </w:r>
      <w:r>
        <w:rPr>
          <w:rFonts w:hint="default" w:ascii="Times New Roman" w:hAnsi="Times New Roman" w:eastAsia="方正仿宋简体" w:cs="Times New Roman"/>
          <w:color w:val="auto"/>
          <w:sz w:val="32"/>
          <w:szCs w:val="32"/>
          <w:highlight w:val="none"/>
          <w:lang w:eastAsia="zh"/>
        </w:rPr>
        <w:t>562</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39</w:t>
      </w:r>
      <w:r>
        <w:rPr>
          <w:rFonts w:hint="eastAsia" w:ascii="方正仿宋简体" w:hAnsi="方正仿宋简体" w:eastAsia="方正仿宋简体" w:cs="方正仿宋简体"/>
          <w:color w:val="auto"/>
          <w:sz w:val="32"/>
          <w:szCs w:val="32"/>
          <w:highlight w:val="none"/>
          <w:lang w:val="en-US" w:eastAsia="zh"/>
        </w:rPr>
        <w:t>万元、日常公用经费</w:t>
      </w:r>
      <w:r>
        <w:rPr>
          <w:rFonts w:hint="default" w:ascii="Times New Roman" w:hAnsi="Times New Roman" w:eastAsia="方正仿宋简体" w:cs="Times New Roman"/>
          <w:color w:val="auto"/>
          <w:sz w:val="32"/>
          <w:szCs w:val="32"/>
          <w:highlight w:val="none"/>
          <w:lang w:eastAsia="zh"/>
        </w:rPr>
        <w:t>60</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21</w:t>
      </w:r>
      <w:r>
        <w:rPr>
          <w:rFonts w:hint="eastAsia" w:ascii="方正仿宋简体" w:hAnsi="方正仿宋简体" w:eastAsia="方正仿宋简体" w:cs="方正仿宋简体"/>
          <w:color w:val="auto"/>
          <w:sz w:val="32"/>
          <w:szCs w:val="32"/>
          <w:highlight w:val="none"/>
          <w:lang w:val="en-US" w:eastAsia="zh"/>
        </w:rPr>
        <w:t>万元），项目支出</w:t>
      </w:r>
      <w:r>
        <w:rPr>
          <w:rFonts w:hint="default" w:ascii="Times New Roman" w:hAnsi="Times New Roman" w:eastAsia="方正仿宋简体" w:cs="Times New Roman"/>
          <w:color w:val="auto"/>
          <w:sz w:val="32"/>
          <w:szCs w:val="32"/>
          <w:highlight w:val="none"/>
          <w:lang w:eastAsia="zh"/>
        </w:rPr>
        <w:t>467</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88</w:t>
      </w:r>
      <w:r>
        <w:rPr>
          <w:rFonts w:hint="eastAsia" w:ascii="方正仿宋简体" w:hAnsi="方正仿宋简体" w:eastAsia="方正仿宋简体" w:cs="方正仿宋简体"/>
          <w:color w:val="auto"/>
          <w:sz w:val="32"/>
          <w:szCs w:val="32"/>
          <w:highlight w:val="none"/>
          <w:lang w:val="en-US" w:eastAsia="zh"/>
        </w:rPr>
        <w:t>万元。年末结转结余</w:t>
      </w:r>
      <w:r>
        <w:rPr>
          <w:rFonts w:hint="default" w:ascii="Times New Roman" w:hAnsi="Times New Roman" w:eastAsia="方正仿宋简体" w:cs="Times New Roman"/>
          <w:color w:val="auto"/>
          <w:sz w:val="32"/>
          <w:szCs w:val="32"/>
          <w:highlight w:val="none"/>
          <w:lang w:eastAsia="zh"/>
        </w:rPr>
        <w:t>2</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02</w:t>
      </w:r>
      <w:r>
        <w:rPr>
          <w:rFonts w:hint="eastAsia" w:ascii="方正仿宋简体" w:hAnsi="方正仿宋简体" w:eastAsia="方正仿宋简体" w:cs="方正仿宋简体"/>
          <w:color w:val="auto"/>
          <w:sz w:val="32"/>
          <w:szCs w:val="32"/>
          <w:highlight w:val="none"/>
          <w:lang w:val="en-US" w:eastAsia="zh"/>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87" w:name="_Toc7705"/>
      <w:bookmarkStart w:id="88" w:name="_Toc7965"/>
      <w:bookmarkStart w:id="89" w:name="_Toc24041"/>
      <w:bookmarkStart w:id="90" w:name="_Toc3496"/>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80"/>
      <w:bookmarkEnd w:id="81"/>
      <w:bookmarkEnd w:id="82"/>
      <w:bookmarkEnd w:id="87"/>
      <w:bookmarkEnd w:id="88"/>
      <w:bookmarkEnd w:id="89"/>
      <w:bookmarkEnd w:id="90"/>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91" w:name="_Toc22031"/>
      <w:bookmarkStart w:id="92" w:name="_Toc1418"/>
      <w:bookmarkStart w:id="93" w:name="_Toc3573"/>
      <w:bookmarkStart w:id="94" w:name="_Toc11947"/>
      <w:bookmarkStart w:id="95" w:name="_Toc28011"/>
      <w:bookmarkStart w:id="96" w:name="_Toc19300"/>
      <w:bookmarkStart w:id="97" w:name="_Toc31339"/>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（一）总体目标</w:t>
      </w:r>
      <w:bookmarkEnd w:id="91"/>
      <w:bookmarkEnd w:id="92"/>
      <w:bookmarkEnd w:id="93"/>
      <w:bookmarkEnd w:id="94"/>
      <w:bookmarkEnd w:id="95"/>
      <w:bookmarkEnd w:id="96"/>
      <w:bookmarkEnd w:id="97"/>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98" w:name="_Toc11959"/>
      <w:bookmarkStart w:id="99" w:name="_Toc24652"/>
      <w:bookmarkStart w:id="100" w:name="_Toc132"/>
      <w:r>
        <w:rPr>
          <w:rFonts w:hint="eastAsia" w:ascii="方正仿宋简体" w:hAnsi="方正仿宋简体" w:eastAsia="方正仿宋简体" w:cs="方正仿宋简体"/>
          <w:color w:val="auto"/>
          <w:sz w:val="32"/>
          <w:szCs w:val="32"/>
          <w:highlight w:val="none"/>
          <w:lang w:val="en-US" w:eastAsia="zh-CN"/>
        </w:rPr>
        <w:t>在县委及县人民政府的坚强领导下，县财政局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拟订全县财税发展战略、规划、政策和改革方案并组织实施；贯彻执行财政、税收、财务、会计管理的法律法规和规章，按照管理权限管理全县税政事项；负责管理各项财政收支。编制年度县级预决算草案并组织执行；按分工负责政府非税收入管理。负责政府性基金管理，按规定管理行政事业性收费等其他非税收入；组织制定全县国库管理制度、国库集中收付制度，指导和监督国库业务，开展国库现金管理工作；贯彻执行地方政府债务管理制度和政策，制定具体管理办法，编制地方政府债务余额限额计划，统一管理政府外债，防范财政风险，纵深推进财政工作高质量发展。</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101" w:name="_Toc23571"/>
      <w:bookmarkStart w:id="102" w:name="_Toc15493"/>
      <w:bookmarkStart w:id="103" w:name="_Toc21665"/>
      <w:bookmarkStart w:id="104" w:name="_Toc6926"/>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（二）具体目标</w:t>
      </w:r>
      <w:bookmarkEnd w:id="98"/>
      <w:bookmarkEnd w:id="99"/>
      <w:bookmarkEnd w:id="100"/>
      <w:bookmarkEnd w:id="101"/>
      <w:bookmarkEnd w:id="102"/>
      <w:bookmarkEnd w:id="103"/>
      <w:bookmarkEnd w:id="104"/>
    </w:p>
    <w:p w14:paraId="76DD4C6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105" w:name="_Toc24081"/>
      <w:bookmarkStart w:id="106" w:name="_Toc17536"/>
      <w:bookmarkStart w:id="107" w:name="_Toc6491"/>
      <w:r>
        <w:rPr>
          <w:rFonts w:hint="eastAsia" w:ascii="方正仿宋简体" w:hAnsi="方正仿宋简体" w:eastAsia="方正仿宋简体" w:cs="方正仿宋简体"/>
          <w:color w:val="auto"/>
          <w:sz w:val="32"/>
          <w:szCs w:val="32"/>
          <w:highlight w:val="none"/>
          <w:lang w:val="en-US" w:eastAsia="zh-CN"/>
        </w:rPr>
        <w:t>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年认真落实中央、省、州纪委全会、县人民政府及县委部署安排，完成了以下年度工作任务：</w:t>
      </w:r>
    </w:p>
    <w:p w14:paraId="65A76F0D">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负责管理各项财政收支；</w:t>
      </w:r>
    </w:p>
    <w:p w14:paraId="0884A367">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2</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编制年度县级预决算草案并组织执行；</w:t>
      </w:r>
    </w:p>
    <w:p w14:paraId="338B5ED9">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3</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组织制定全县国库管理制度、国库集中收付制度，指导和监督国库业务，开展国库现金管理工作；</w:t>
      </w:r>
    </w:p>
    <w:p w14:paraId="18398372">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4</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贯彻执行政府财务报告编制办法并组织实施；</w:t>
      </w:r>
    </w:p>
    <w:p w14:paraId="244AF3EF">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5</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负责制定政府采购制度并监督管理；</w:t>
      </w:r>
    </w:p>
    <w:p w14:paraId="0738DA5D">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6</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分析预测宏观经济形势，参与制定宏观经济政策；</w:t>
      </w:r>
    </w:p>
    <w:p w14:paraId="0DE7F63D">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7</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贯彻执行财政、税收、财务、会计管理的法律法规。</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08" w:name="_Toc14476"/>
      <w:bookmarkStart w:id="109" w:name="_Toc25931"/>
      <w:bookmarkStart w:id="110" w:name="_Toc13504"/>
      <w:bookmarkStart w:id="111" w:name="_Toc21154"/>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83"/>
      <w:bookmarkEnd w:id="84"/>
      <w:bookmarkEnd w:id="85"/>
      <w:bookmarkEnd w:id="86"/>
      <w:bookmarkEnd w:id="105"/>
      <w:bookmarkEnd w:id="106"/>
      <w:bookmarkEnd w:id="107"/>
      <w:bookmarkEnd w:id="108"/>
      <w:bookmarkEnd w:id="109"/>
      <w:bookmarkEnd w:id="110"/>
      <w:bookmarkEnd w:id="111"/>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112" w:name="_Toc3338"/>
      <w:bookmarkStart w:id="113" w:name="_Toc24977"/>
      <w:bookmarkStart w:id="114" w:name="_Toc16423"/>
      <w:bookmarkStart w:id="115" w:name="_Toc28828"/>
      <w:bookmarkStart w:id="116" w:name="_Toc29571"/>
      <w:bookmarkStart w:id="117" w:name="_Toc11694"/>
      <w:bookmarkStart w:id="118" w:name="_Toc20565"/>
      <w:bookmarkStart w:id="119" w:name="_Toc428273082"/>
      <w:bookmarkStart w:id="120" w:name="_Toc8903"/>
      <w:bookmarkStart w:id="121" w:name="_Toc109483840"/>
      <w:bookmarkStart w:id="122" w:name="_Toc4199"/>
      <w:bookmarkStart w:id="123" w:name="_Toc27305"/>
      <w:r>
        <w:rPr>
          <w:rFonts w:hint="eastAsia" w:ascii="方正楷体简体" w:hAnsi="方正楷体简体" w:eastAsia="方正楷体简体" w:cs="方正楷体简体"/>
          <w:color w:val="auto"/>
          <w:kern w:val="0"/>
          <w:sz w:val="32"/>
          <w:szCs w:val="32"/>
          <w:highlight w:val="none"/>
          <w:shd w:val="clear" w:color="auto" w:fill="FFFFFF"/>
          <w:lang w:val="zh-CN"/>
        </w:rPr>
        <w:t>（一）</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绩效评价实施过程</w:t>
      </w:r>
      <w:bookmarkEnd w:id="112"/>
      <w:bookmarkEnd w:id="113"/>
      <w:bookmarkEnd w:id="114"/>
      <w:bookmarkEnd w:id="115"/>
      <w:bookmarkEnd w:id="116"/>
      <w:bookmarkEnd w:id="117"/>
      <w:bookmarkEnd w:id="118"/>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eastAsia" w:ascii="方正仿宋简体" w:hAnsi="方正仿宋简体" w:eastAsia="方正仿宋简体" w:cs="方正仿宋简体"/>
          <w:color w:val="auto"/>
          <w:sz w:val="32"/>
          <w:szCs w:val="32"/>
          <w:highlight w:val="none"/>
          <w:lang w:val="zh-CN" w:eastAsia="zh-CN"/>
        </w:rPr>
        <w:t>评价小组按照评价日程安排，对</w:t>
      </w:r>
      <w:r>
        <w:rPr>
          <w:rFonts w:hint="eastAsia" w:ascii="方正仿宋简体" w:hAnsi="方正仿宋简体" w:eastAsia="方正仿宋简体" w:cs="方正仿宋简体"/>
          <w:color w:val="auto"/>
          <w:sz w:val="32"/>
          <w:szCs w:val="32"/>
          <w:highlight w:val="none"/>
          <w:lang w:val="en-US" w:eastAsia="zh-CN"/>
        </w:rPr>
        <w:t>县财政局</w:t>
      </w:r>
      <w:r>
        <w:rPr>
          <w:rFonts w:hint="eastAsia" w:ascii="方正仿宋简体" w:hAnsi="方正仿宋简体" w:eastAsia="方正仿宋简体" w:cs="方正仿宋简体"/>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1</w:t>
      </w:r>
      <w:r>
        <w:rPr>
          <w:rFonts w:hint="eastAsia" w:ascii="方正仿宋简体" w:hAnsi="方正仿宋简体" w:eastAsia="方正仿宋简体" w:cs="方正仿宋简体"/>
          <w:color w:val="auto"/>
          <w:sz w:val="32"/>
          <w:szCs w:val="32"/>
          <w:highlight w:val="none"/>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w:t>
      </w:r>
      <w:r>
        <w:rPr>
          <w:rFonts w:hint="eastAsia" w:ascii="方正仿宋简体" w:hAnsi="方正仿宋简体" w:eastAsia="方正仿宋简体" w:cs="方正仿宋简体"/>
          <w:color w:val="auto"/>
          <w:sz w:val="32"/>
          <w:szCs w:val="32"/>
          <w:highlight w:val="none"/>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3</w:t>
      </w:r>
      <w:r>
        <w:rPr>
          <w:rFonts w:hint="eastAsia" w:ascii="方正仿宋简体" w:hAnsi="方正仿宋简体" w:eastAsia="方正仿宋简体" w:cs="方正仿宋简体"/>
          <w:color w:val="auto"/>
          <w:sz w:val="32"/>
          <w:szCs w:val="32"/>
          <w:highlight w:val="none"/>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4</w:t>
      </w:r>
      <w:r>
        <w:rPr>
          <w:rFonts w:hint="eastAsia" w:ascii="方正仿宋简体" w:hAnsi="方正仿宋简体" w:eastAsia="方正仿宋简体" w:cs="方正仿宋简体"/>
          <w:color w:val="auto"/>
          <w:sz w:val="32"/>
          <w:szCs w:val="32"/>
          <w:highlight w:val="none"/>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val="zh-CN" w:bidi="ar"/>
        </w:rPr>
      </w:pPr>
      <w:r>
        <w:rPr>
          <w:rFonts w:hint="default" w:ascii="Times New Roman" w:hAnsi="Times New Roman" w:eastAsia="方正仿宋简体" w:cs="Times New Roman"/>
          <w:color w:val="auto"/>
          <w:sz w:val="32"/>
          <w:szCs w:val="32"/>
          <w:highlight w:val="none"/>
          <w:lang w:val="zh-CN" w:eastAsia="zh-CN"/>
        </w:rPr>
        <w:t>5</w:t>
      </w:r>
      <w:r>
        <w:rPr>
          <w:rFonts w:hint="eastAsia" w:ascii="方正仿宋简体" w:hAnsi="方正仿宋简体" w:eastAsia="方正仿宋简体" w:cs="方正仿宋简体"/>
          <w:color w:val="auto"/>
          <w:sz w:val="32"/>
          <w:szCs w:val="32"/>
          <w:highlight w:val="none"/>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24" w:name="_Toc23900"/>
      <w:bookmarkStart w:id="125" w:name="_Toc16416"/>
      <w:bookmarkStart w:id="126" w:name="_Toc12172"/>
      <w:bookmarkStart w:id="127" w:name="_Toc29339"/>
      <w:bookmarkStart w:id="128" w:name="_Toc30977"/>
      <w:bookmarkStart w:id="129" w:name="_Toc19469"/>
      <w:bookmarkStart w:id="130" w:name="_Toc24380"/>
      <w:r>
        <w:rPr>
          <w:rFonts w:hint="eastAsia" w:ascii="方正楷体简体" w:hAnsi="方正楷体简体" w:eastAsia="方正楷体简体" w:cs="方正楷体简体"/>
          <w:color w:val="auto"/>
          <w:kern w:val="0"/>
          <w:sz w:val="32"/>
          <w:szCs w:val="32"/>
          <w:highlight w:val="none"/>
          <w:shd w:val="clear" w:color="auto" w:fill="FFFFFF"/>
          <w:lang w:val="zh-CN" w:eastAsia="zh-CN"/>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bookmarkEnd w:id="119"/>
      <w:bookmarkEnd w:id="120"/>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评价结论</w:t>
      </w:r>
      <w:bookmarkEnd w:id="124"/>
      <w:bookmarkEnd w:id="125"/>
      <w:bookmarkEnd w:id="126"/>
      <w:bookmarkEnd w:id="127"/>
      <w:bookmarkEnd w:id="128"/>
      <w:bookmarkEnd w:id="129"/>
      <w:bookmarkEnd w:id="130"/>
    </w:p>
    <w:bookmarkEnd w:id="121"/>
    <w:bookmarkEnd w:id="122"/>
    <w:bookmarkEnd w:id="123"/>
    <w:p w14:paraId="318BCC0E">
      <w:pPr>
        <w:keepNext w:val="0"/>
        <w:keepLines w:val="0"/>
        <w:pageBreakBefore w:val="0"/>
        <w:kinsoku/>
        <w:wordWrap/>
        <w:overflowPunct/>
        <w:topLinePunct w:val="0"/>
        <w:autoSpaceDE/>
        <w:autoSpaceDN/>
        <w:bidi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年度，县财政局</w:t>
      </w:r>
      <w:r>
        <w:rPr>
          <w:rFonts w:hint="eastAsia" w:ascii="方正仿宋简体" w:hAnsi="方正仿宋简体" w:eastAsia="方正仿宋简体" w:cs="方正仿宋简体"/>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w:t>
      </w:r>
      <w:r>
        <w:rPr>
          <w:rFonts w:hint="eastAsia" w:ascii="方正仿宋简体" w:hAnsi="方正仿宋简体" w:eastAsia="方正仿宋简体" w:cs="方正仿宋简体"/>
          <w:color w:val="auto"/>
          <w:sz w:val="32"/>
          <w:szCs w:val="32"/>
          <w:highlight w:val="none"/>
          <w:lang w:val="en-US" w:eastAsia="zh-CN"/>
        </w:rPr>
        <w:t>积极推进县财政收支管理、预、决算管理、国库集中管理、采购管理与监督、财政、税收、财务、会计管理标准化、科学化；有效防范财政风险，从纵深推进财政工作高质量发展，部门履职情况良好。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按照设定的评价指标体系，通过对县财政局</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年度县财政局部门整体支出绩效评价指标分值</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w:t>
      </w:r>
      <w:r>
        <w:rPr>
          <w:rFonts w:hint="default" w:ascii="Times New Roman" w:hAnsi="Times New Roman" w:eastAsia="方正仿宋简体" w:cs="Times New Roman"/>
          <w:color w:val="auto"/>
          <w:sz w:val="32"/>
          <w:szCs w:val="32"/>
          <w:highlight w:val="none"/>
          <w:lang w:val="en-US" w:eastAsia="zh-CN"/>
        </w:rPr>
        <w:t>85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67</w:t>
      </w:r>
      <w:r>
        <w:rPr>
          <w:rFonts w:hint="eastAsia" w:ascii="方正仿宋简体" w:hAnsi="方正仿宋简体" w:eastAsia="方正仿宋简体" w:cs="方正仿宋简体"/>
          <w:color w:val="auto"/>
          <w:sz w:val="32"/>
          <w:szCs w:val="32"/>
          <w:highlight w:val="none"/>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县财政局</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3</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89</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11</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43</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57</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01</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99</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33</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67</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31" w:name="_Toc10995"/>
      <w:bookmarkStart w:id="132" w:name="_Toc2725"/>
      <w:bookmarkStart w:id="133" w:name="_Toc2674"/>
      <w:bookmarkStart w:id="134" w:name="_Toc13729"/>
      <w:bookmarkStart w:id="135" w:name="_Toc1687911260"/>
      <w:bookmarkStart w:id="136" w:name="_Toc16394"/>
      <w:bookmarkStart w:id="137" w:name="_Toc109483841"/>
      <w:bookmarkStart w:id="138" w:name="_Toc26985"/>
      <w:bookmarkStart w:id="139" w:name="_Toc31945"/>
      <w:bookmarkStart w:id="140" w:name="_Toc24818"/>
      <w:bookmarkStart w:id="141" w:name="_Toc28266"/>
      <w:r>
        <w:rPr>
          <w:rFonts w:hint="eastAsia" w:ascii="方正楷体简体" w:hAnsi="方正楷体简体" w:eastAsia="方正楷体简体" w:cs="方正楷体简体"/>
          <w:color w:val="auto"/>
          <w:kern w:val="0"/>
          <w:sz w:val="32"/>
          <w:szCs w:val="32"/>
          <w:highlight w:val="none"/>
          <w:shd w:val="clear" w:color="auto" w:fill="FFFFFF"/>
          <w:lang w:val="en-US" w:eastAsia="zh-CN"/>
        </w:rPr>
        <w:t>（三）绩效结果应用</w:t>
      </w:r>
      <w:bookmarkEnd w:id="131"/>
      <w:bookmarkEnd w:id="132"/>
      <w:bookmarkEnd w:id="133"/>
      <w:bookmarkEnd w:id="134"/>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县财政局</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认真落实中央、省、州纪委全会部署安排，积极主动围绕中心服务大局，坚定不移正风肃纪反腐，扎实推进主题教育和教育整顿</w:t>
      </w:r>
      <w:r>
        <w:rPr>
          <w:rFonts w:hint="eastAsia" w:ascii="方正仿宋简体" w:hAnsi="方正仿宋简体" w:eastAsia="方正仿宋简体" w:cs="方正仿宋简体"/>
          <w:color w:val="auto"/>
          <w:sz w:val="32"/>
          <w:szCs w:val="32"/>
          <w:highlight w:val="none"/>
          <w:lang w:val="en-US" w:eastAsia="zh-CN"/>
        </w:rPr>
        <w:t>。通过评价组对县财政局进行事后评价，最终县财政局绩效等级为“良”。秉承科学公正、统筹兼顾、激励约束和公开透明财政绩效原则。我单位建议泸定县财政局针对部门预算绩效管理，进一步要求县财政局提高预算编制准确性、强化支出控制力度、提高预算执行力。</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42" w:name="_Toc2510"/>
      <w:bookmarkStart w:id="143" w:name="_Toc28099"/>
      <w:bookmarkStart w:id="144" w:name="_Toc15968"/>
      <w:bookmarkStart w:id="145" w:name="_Toc6100"/>
      <w:r>
        <w:rPr>
          <w:rFonts w:hint="eastAsia" w:ascii="方正楷体简体" w:hAnsi="方正楷体简体" w:eastAsia="方正楷体简体" w:cs="方正楷体简体"/>
          <w:color w:val="auto"/>
          <w:kern w:val="0"/>
          <w:sz w:val="32"/>
          <w:szCs w:val="32"/>
          <w:highlight w:val="none"/>
          <w:shd w:val="clear" w:color="auto" w:fill="FFFFFF"/>
          <w:lang w:val="en-US" w:eastAsia="zh-CN"/>
        </w:rPr>
        <w:t>（四）</w:t>
      </w:r>
      <w:bookmarkEnd w:id="135"/>
      <w:bookmarkEnd w:id="136"/>
      <w:bookmarkEnd w:id="137"/>
      <w:bookmarkEnd w:id="138"/>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评价分析</w:t>
      </w:r>
      <w:bookmarkEnd w:id="139"/>
      <w:bookmarkEnd w:id="140"/>
      <w:bookmarkEnd w:id="141"/>
      <w:bookmarkEnd w:id="142"/>
      <w:bookmarkEnd w:id="143"/>
      <w:bookmarkEnd w:id="144"/>
      <w:bookmarkEnd w:id="145"/>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根据县财政局在泸定县人民政府门户网站公开的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年度部门预算和绩效目标，制定了年度部门及项目整体支出绩效目标，绩效目标涵盖数量、质量、时效、效益等指标，指标设置基本完整、合理。</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根据县财政局提供的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年度年初预算项目绩效目标申报表及项目完成资料，年初预算项目</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个，涉及数量指标共计</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个，实际完成指标</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个，未完成指标</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个。</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根据可执行指标执行情况表显示：</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年度泸定县财政局年初部门预算数</w:t>
      </w:r>
      <w:r>
        <w:rPr>
          <w:rFonts w:hint="default" w:ascii="Times New Roman" w:hAnsi="Times New Roman" w:eastAsia="方正仿宋简体" w:cs="Times New Roman"/>
          <w:color w:val="auto"/>
          <w:sz w:val="32"/>
          <w:szCs w:val="32"/>
          <w:highlight w:val="none"/>
          <w:lang w:val="en-US" w:eastAsia="zh-CN"/>
        </w:rPr>
        <w:t>865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02</w:t>
      </w:r>
      <w:r>
        <w:rPr>
          <w:rFonts w:hint="eastAsia" w:ascii="方正仿宋简体" w:hAnsi="方正仿宋简体" w:eastAsia="方正仿宋简体" w:cs="方正仿宋简体"/>
          <w:color w:val="auto"/>
          <w:sz w:val="32"/>
          <w:szCs w:val="32"/>
          <w:highlight w:val="none"/>
          <w:lang w:val="en-US" w:eastAsia="zh-CN"/>
        </w:rPr>
        <w:t>万元，调剂数</w:t>
      </w:r>
      <w:r>
        <w:rPr>
          <w:rFonts w:hint="default" w:ascii="Times New Roman" w:hAnsi="Times New Roman" w:eastAsia="方正仿宋简体" w:cs="Times New Roman"/>
          <w:color w:val="auto"/>
          <w:sz w:val="32"/>
          <w:szCs w:val="32"/>
          <w:highlight w:val="none"/>
          <w:lang w:val="en-US" w:eastAsia="zh-CN"/>
        </w:rPr>
        <w:t>199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81</w:t>
      </w:r>
      <w:r>
        <w:rPr>
          <w:rFonts w:hint="eastAsia" w:ascii="方正仿宋简体" w:hAnsi="方正仿宋简体" w:eastAsia="方正仿宋简体" w:cs="方正仿宋简体"/>
          <w:color w:val="auto"/>
          <w:sz w:val="32"/>
          <w:szCs w:val="32"/>
          <w:highlight w:val="none"/>
          <w:lang w:val="en-US" w:eastAsia="zh-CN"/>
        </w:rPr>
        <w:t>万元，调剂比例</w:t>
      </w:r>
      <w:r>
        <w:rPr>
          <w:rFonts w:hint="default" w:ascii="Times New Roman" w:hAnsi="Times New Roman" w:eastAsia="方正仿宋简体" w:cs="Times New Roman"/>
          <w:color w:val="auto"/>
          <w:sz w:val="32"/>
          <w:szCs w:val="32"/>
          <w:highlight w:val="none"/>
          <w:lang w:val="en-US" w:eastAsia="zh-CN"/>
        </w:rPr>
        <w:t>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，大于</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，本项扣除</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二级指标“预算编制”指标分共计</w:t>
      </w:r>
      <w:r>
        <w:rPr>
          <w:rFonts w:hint="default" w:ascii="Times New Roman" w:hAnsi="Times New Roman" w:eastAsia="方正仿宋简体" w:cs="Times New Roman"/>
          <w:color w:val="auto"/>
          <w:sz w:val="32"/>
          <w:szCs w:val="32"/>
          <w:highlight w:val="none"/>
          <w:lang w:val="en-US" w:eastAsia="zh"/>
        </w:rPr>
        <w:t>30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根据县财政局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年县财政局日常公用经费、项目支出中“办公费、邮电费、电费、取暖费、差旅费”等</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个科目，重点关注科目年初预算数合计</w:t>
      </w:r>
      <w:r>
        <w:rPr>
          <w:rFonts w:hint="default" w:ascii="Times New Roman" w:hAnsi="Times New Roman" w:eastAsia="方正仿宋简体" w:cs="Times New Roman"/>
          <w:color w:val="auto"/>
          <w:sz w:val="32"/>
          <w:szCs w:val="32"/>
          <w:highlight w:val="none"/>
          <w:lang w:val="en-US" w:eastAsia="zh-CN"/>
        </w:rPr>
        <w:t>52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万元，决算数合计</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05</w:t>
      </w:r>
      <w:r>
        <w:rPr>
          <w:rFonts w:hint="eastAsia" w:ascii="方正仿宋简体" w:hAnsi="方正仿宋简体" w:eastAsia="方正仿宋简体" w:cs="方正仿宋简体"/>
          <w:color w:val="auto"/>
          <w:sz w:val="32"/>
          <w:szCs w:val="32"/>
          <w:highlight w:val="none"/>
          <w:lang w:val="en-US" w:eastAsia="zh-CN"/>
        </w:rPr>
        <w:t>万元，预决算偏差率</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36%</w:t>
      </w:r>
      <w:r>
        <w:rPr>
          <w:rFonts w:hint="eastAsia" w:ascii="方正仿宋简体" w:hAnsi="方正仿宋简体" w:eastAsia="方正仿宋简体" w:cs="方正仿宋简体"/>
          <w:color w:val="auto"/>
          <w:sz w:val="32"/>
          <w:szCs w:val="32"/>
          <w:highlight w:val="none"/>
          <w:lang w:val="en-US" w:eastAsia="zh-CN"/>
        </w:rPr>
        <w:t>。其中：办公费年初预算数</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74</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；电费年初预算数</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243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74%</w:t>
      </w:r>
      <w:r>
        <w:rPr>
          <w:rFonts w:hint="eastAsia" w:ascii="方正仿宋简体" w:hAnsi="方正仿宋简体" w:eastAsia="方正仿宋简体" w:cs="方正仿宋简体"/>
          <w:color w:val="auto"/>
          <w:sz w:val="32"/>
          <w:szCs w:val="32"/>
          <w:highlight w:val="none"/>
          <w:lang w:val="en-US" w:eastAsia="zh-CN"/>
        </w:rPr>
        <w:t>；邮电费年初预算数</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；取暖费年初预算数</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64</w:t>
      </w:r>
      <w:r>
        <w:rPr>
          <w:rFonts w:hint="eastAsia" w:ascii="方正仿宋简体" w:hAnsi="方正仿宋简体" w:eastAsia="方正仿宋简体" w:cs="方正仿宋简体"/>
          <w:color w:val="auto"/>
          <w:sz w:val="32"/>
          <w:szCs w:val="32"/>
          <w:highlight w:val="none"/>
          <w:lang w:val="en-US" w:eastAsia="zh-CN"/>
        </w:rPr>
        <w:t>万元，决算数执行偏差度</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；差旅费年初预算数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；公务接待费年初预算数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85</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39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29%</w:t>
      </w:r>
      <w:r>
        <w:rPr>
          <w:rFonts w:hint="eastAsia" w:ascii="方正仿宋简体" w:hAnsi="方正仿宋简体" w:eastAsia="方正仿宋简体" w:cs="方正仿宋简体"/>
          <w:color w:val="auto"/>
          <w:sz w:val="32"/>
          <w:szCs w:val="32"/>
          <w:highlight w:val="none"/>
          <w:lang w:val="en-US" w:eastAsia="zh-CN"/>
        </w:rPr>
        <w:t>；工会经费年初预算数</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；福利费年初预算数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；公务用车运行维护费年初预算数</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万元，执行偏差度</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89</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年部门绩效监控调整取消额为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，根据可执行指标执行情况表显示当年年度预算总额为</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万元，年末未使用完指标结余注销金额（县级预算）为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6AE6CF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年度预算、决算报表以及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年一体化平台“可执行指标执行情况表”，相关月份预算执行进度如下：</w:t>
      </w:r>
    </w:p>
    <w:p w14:paraId="7CF7633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416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p>
    <w:p w14:paraId="34A130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624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w:t>
      </w:r>
    </w:p>
    <w:p w14:paraId="5C72E0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799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w:t>
      </w:r>
    </w:p>
    <w:p w14:paraId="74F5C7AF">
      <w:pPr>
        <w:keepNext w:val="0"/>
        <w:keepLines w:val="0"/>
        <w:pageBreakBefore w:val="0"/>
        <w:kinsoku/>
        <w:wordWrap/>
        <w:overflowPunct/>
        <w:topLinePunct w:val="0"/>
        <w:autoSpaceDE/>
        <w:autoSpaceDN/>
        <w:bidi w:val="0"/>
        <w:snapToGrid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上述三个执行情况与既定目标完成</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相比，</w:t>
      </w:r>
      <w:bookmarkStart w:id="146" w:name="_Toc6674"/>
      <w:r>
        <w:rPr>
          <w:rFonts w:hint="eastAsia" w:ascii="方正仿宋简体" w:hAnsi="方正仿宋简体" w:eastAsia="方正仿宋简体" w:cs="方正仿宋简体"/>
          <w:color w:val="auto"/>
          <w:sz w:val="32"/>
          <w:szCs w:val="32"/>
          <w:highlight w:val="none"/>
          <w:lang w:val="en-US" w:eastAsia="zh-CN"/>
        </w:rPr>
        <w:t>县财政局实际支出进度均未达到目标进度</w:t>
      </w:r>
      <w:bookmarkEnd w:id="146"/>
      <w:r>
        <w:rPr>
          <w:rFonts w:hint="eastAsia" w:ascii="方正仿宋简体" w:hAnsi="方正仿宋简体" w:eastAsia="方正仿宋简体" w:cs="方正仿宋简体"/>
          <w:color w:val="auto"/>
          <w:sz w:val="32"/>
          <w:szCs w:val="32"/>
          <w:highlight w:val="none"/>
          <w:lang w:val="en-US" w:eastAsia="zh-CN"/>
        </w:rPr>
        <w:t xml:space="preserve">。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43</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二级指标“预算执行”指标分共计</w:t>
      </w:r>
      <w:r>
        <w:rPr>
          <w:rFonts w:hint="default" w:ascii="Times New Roman" w:hAnsi="Times New Roman" w:eastAsia="方正仿宋简体" w:cs="Times New Roman"/>
          <w:color w:val="auto"/>
          <w:sz w:val="32"/>
          <w:szCs w:val="32"/>
          <w:highlight w:val="none"/>
          <w:lang w:val="en-US" w:eastAsia="zh"/>
        </w:rPr>
        <w:t>3</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32</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68</w:t>
      </w:r>
      <w:r>
        <w:rPr>
          <w:rFonts w:hint="eastAsia" w:ascii="方正仿宋简体" w:hAnsi="方正仿宋简体" w:eastAsia="方正仿宋简体" w:cs="方正仿宋简体"/>
          <w:color w:val="auto"/>
          <w:sz w:val="32"/>
          <w:szCs w:val="32"/>
          <w:highlight w:val="none"/>
          <w:lang w:val="en-US" w:eastAsia="zh-CN"/>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年决算报表及“可执行指标执行情况表”，县财政局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月实现预算支出</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063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26</w:t>
      </w:r>
      <w:r>
        <w:rPr>
          <w:rFonts w:hint="eastAsia" w:ascii="方正仿宋简体" w:hAnsi="方正仿宋简体" w:eastAsia="方正仿宋简体" w:cs="方正仿宋简体"/>
          <w:color w:val="auto"/>
          <w:sz w:val="32"/>
          <w:szCs w:val="32"/>
          <w:highlight w:val="none"/>
          <w:lang w:val="en-US" w:eastAsia="zh-CN"/>
        </w:rPr>
        <w:t>万元，全年预算总额</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064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84</w:t>
      </w:r>
      <w:r>
        <w:rPr>
          <w:rFonts w:hint="eastAsia" w:ascii="方正仿宋简体" w:hAnsi="方正仿宋简体" w:eastAsia="方正仿宋简体" w:cs="方正仿宋简体"/>
          <w:color w:val="auto"/>
          <w:sz w:val="32"/>
          <w:szCs w:val="32"/>
          <w:highlight w:val="none"/>
          <w:lang w:val="en-US" w:eastAsia="zh-CN"/>
        </w:rPr>
        <w:t>万元，全年预算完成率为</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85%</w:t>
      </w:r>
      <w:r>
        <w:rPr>
          <w:rFonts w:hint="eastAsia" w:ascii="方正仿宋简体" w:hAnsi="方正仿宋简体" w:eastAsia="方正仿宋简体" w:cs="方正仿宋简体"/>
          <w:color w:val="auto"/>
          <w:sz w:val="32"/>
          <w:szCs w:val="32"/>
          <w:highlight w:val="none"/>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01</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根据县财政局提供相关资料及现场了解，</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年度未接受相关审计监督或财政检查，未发现部门预算管理方面违纪违规问题。</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二级指标“完成结果”指标分共计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泸定县财政局已自行编制</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年部门整体支出绩效自评报告，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年决算尚未批复，待决算批复后公开时随同决算报告一并公开。</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二级指标“信息公开”指标分共计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二级指标“整改反馈”下设两个三级指标为：结果整改和应用反馈。</w:t>
      </w:r>
    </w:p>
    <w:p w14:paraId="75EBD0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年度泸定县财政局对绩效管理过程中（包括绩效目标核查、绩效监控核查和重点绩效评价）提出的问题均进行了整改，并将绩效管理结果与预算安排进行挂钩。</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年度，泸定县财政局在规定时间内向财政部门反馈应用绩效结果报告，绩效管理结果均得到了反馈与及时运用</w:t>
      </w:r>
      <w:r>
        <w:rPr>
          <w:rFonts w:hint="eastAsia" w:ascii="方正仿宋简体" w:hAnsi="方正仿宋简体" w:eastAsia="方正仿宋简体" w:cs="方正仿宋简体"/>
          <w:color w:val="auto"/>
          <w:sz w:val="32"/>
          <w:szCs w:val="32"/>
          <w:highlight w:val="none"/>
        </w:rPr>
        <w:t>。</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二级指标“整改反馈”指标分共计</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根据泸定县财政局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年度部门整体绩效自评及项目自评情况，部门自评打分</w:t>
      </w:r>
      <w:r>
        <w:rPr>
          <w:rFonts w:hint="default" w:ascii="Times New Roman" w:hAnsi="Times New Roman" w:eastAsia="方正仿宋简体" w:cs="Times New Roman"/>
          <w:color w:val="auto"/>
          <w:sz w:val="32"/>
          <w:szCs w:val="32"/>
          <w:highlight w:val="none"/>
          <w:lang w:val="en-US" w:eastAsia="zh-CN"/>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分（含自评分，扣除自评分</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分，实际得分</w:t>
      </w:r>
      <w:r>
        <w:rPr>
          <w:rFonts w:hint="default" w:ascii="Times New Roman" w:hAnsi="Times New Roman" w:eastAsia="方正仿宋简体" w:cs="Times New Roman"/>
          <w:color w:val="auto"/>
          <w:sz w:val="32"/>
          <w:szCs w:val="32"/>
          <w:highlight w:val="none"/>
          <w:lang w:val="en-US" w:eastAsia="zh-CN"/>
        </w:rPr>
        <w:t>76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分），评价组评分</w:t>
      </w:r>
      <w:r>
        <w:rPr>
          <w:rFonts w:hint="default" w:ascii="Times New Roman" w:hAnsi="Times New Roman" w:eastAsia="方正仿宋简体" w:cs="Times New Roman"/>
          <w:color w:val="auto"/>
          <w:sz w:val="32"/>
          <w:szCs w:val="32"/>
          <w:highlight w:val="none"/>
          <w:lang w:val="en-US" w:eastAsia="zh-CN"/>
        </w:rPr>
        <w:t>75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67</w:t>
      </w:r>
      <w:r>
        <w:rPr>
          <w:rFonts w:hint="eastAsia" w:ascii="方正仿宋简体" w:hAnsi="方正仿宋简体" w:eastAsia="方正仿宋简体" w:cs="方正仿宋简体"/>
          <w:color w:val="auto"/>
          <w:sz w:val="32"/>
          <w:szCs w:val="32"/>
          <w:highlight w:val="none"/>
          <w:lang w:val="en-US" w:eastAsia="zh-CN"/>
        </w:rPr>
        <w:t>分，偏差率</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43%</w:t>
      </w:r>
      <w:r>
        <w:rPr>
          <w:rFonts w:hint="eastAsia" w:ascii="方正仿宋简体" w:hAnsi="方正仿宋简体" w:eastAsia="方正仿宋简体" w:cs="方正仿宋简体"/>
          <w:color w:val="auto"/>
          <w:sz w:val="32"/>
          <w:szCs w:val="32"/>
          <w:highlight w:val="none"/>
          <w:lang w:val="en-US" w:eastAsia="zh-CN"/>
        </w:rPr>
        <w:t>，低于</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二级指标“自评质量”指标分共计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47" w:name="_Toc823448808"/>
      <w:bookmarkStart w:id="148" w:name="_Toc248033833"/>
      <w:bookmarkStart w:id="149" w:name="_Toc10219"/>
      <w:bookmarkStart w:id="150" w:name="_Toc7306"/>
      <w:bookmarkStart w:id="151" w:name="_Toc23039"/>
      <w:bookmarkStart w:id="152" w:name="_Toc30515"/>
      <w:bookmarkStart w:id="153" w:name="_Toc4350"/>
      <w:bookmarkStart w:id="154" w:name="_Toc5060"/>
      <w:bookmarkStart w:id="155" w:name="_Toc21218"/>
      <w:bookmarkStart w:id="156" w:name="_Toc10985"/>
      <w:bookmarkStart w:id="157" w:name="_Toc14032"/>
      <w:bookmarkStart w:id="158" w:name="_Toc19973"/>
      <w:bookmarkStart w:id="159" w:name="_Toc8336"/>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147"/>
      <w:bookmarkEnd w:id="148"/>
      <w:bookmarkEnd w:id="149"/>
      <w:bookmarkEnd w:id="150"/>
      <w:bookmarkEnd w:id="151"/>
      <w:bookmarkEnd w:id="152"/>
      <w:bookmarkEnd w:id="153"/>
      <w:bookmarkEnd w:id="154"/>
      <w:bookmarkEnd w:id="155"/>
      <w:bookmarkEnd w:id="156"/>
      <w:bookmarkEnd w:id="157"/>
    </w:p>
    <w:p w14:paraId="6C7F124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160" w:name="_Toc20145"/>
      <w:bookmarkStart w:id="161" w:name="_Toc1209"/>
      <w:bookmarkStart w:id="162" w:name="_Toc9029"/>
      <w:bookmarkStart w:id="163" w:name="_Toc15366"/>
      <w:bookmarkStart w:id="164" w:name="_Toc771997543"/>
      <w:bookmarkStart w:id="165" w:name="_Toc22968"/>
      <w:bookmarkStart w:id="166" w:name="_Toc10426"/>
      <w:bookmarkStart w:id="167" w:name="_Toc31629"/>
      <w:bookmarkStart w:id="168" w:name="_Toc15651"/>
      <w:bookmarkStart w:id="169" w:name="_Toc3240"/>
      <w:bookmarkStart w:id="170" w:name="_Toc464104487"/>
      <w:r>
        <w:rPr>
          <w:rFonts w:hint="eastAsia" w:ascii="方正楷体简体" w:hAnsi="方正楷体简体" w:eastAsia="方正楷体简体" w:cs="方正楷体简体"/>
          <w:color w:val="auto"/>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auto"/>
          <w:kern w:val="0"/>
          <w:sz w:val="32"/>
          <w:szCs w:val="32"/>
          <w:highlight w:val="none"/>
          <w:shd w:val="clear" w:color="auto" w:fill="FFFFFF"/>
          <w:lang w:val="en-US" w:eastAsia="zh"/>
        </w:rPr>
        <w:t>预算编制</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不准确</w:t>
      </w:r>
      <w:bookmarkEnd w:id="160"/>
      <w:bookmarkEnd w:id="161"/>
      <w:bookmarkEnd w:id="162"/>
      <w:bookmarkEnd w:id="163"/>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
        </w:rPr>
        <w:t>根据</w:t>
      </w:r>
      <w:r>
        <w:rPr>
          <w:rFonts w:hint="eastAsia" w:ascii="方正仿宋简体" w:hAnsi="方正仿宋简体" w:eastAsia="方正仿宋简体" w:cs="方正仿宋简体"/>
          <w:color w:val="auto"/>
          <w:sz w:val="32"/>
          <w:szCs w:val="32"/>
          <w:highlight w:val="none"/>
          <w:lang w:val="en-US" w:eastAsia="zh-CN"/>
        </w:rPr>
        <w:t>县财政局</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年预算</w:t>
      </w:r>
      <w:r>
        <w:rPr>
          <w:rFonts w:hint="eastAsia" w:ascii="方正仿宋简体" w:hAnsi="方正仿宋简体" w:eastAsia="方正仿宋简体" w:cs="方正仿宋简体"/>
          <w:color w:val="auto"/>
          <w:sz w:val="32"/>
          <w:szCs w:val="32"/>
          <w:highlight w:val="none"/>
          <w:lang w:val="en-US" w:eastAsia="zh-CN"/>
        </w:rPr>
        <w:t>报表</w:t>
      </w:r>
      <w:r>
        <w:rPr>
          <w:rFonts w:hint="eastAsia" w:ascii="方正仿宋简体" w:hAnsi="方正仿宋简体" w:eastAsia="方正仿宋简体" w:cs="方正仿宋简体"/>
          <w:color w:val="auto"/>
          <w:sz w:val="32"/>
          <w:szCs w:val="32"/>
          <w:highlight w:val="none"/>
          <w:lang w:val="en-US" w:eastAsia="zh"/>
        </w:rPr>
        <w:t>、决算</w:t>
      </w:r>
      <w:r>
        <w:rPr>
          <w:rFonts w:hint="eastAsia" w:ascii="方正仿宋简体" w:hAnsi="方正仿宋简体" w:eastAsia="方正仿宋简体" w:cs="方正仿宋简体"/>
          <w:color w:val="auto"/>
          <w:sz w:val="32"/>
          <w:szCs w:val="32"/>
          <w:highlight w:val="none"/>
          <w:lang w:val="en-US" w:eastAsia="zh-CN"/>
        </w:rPr>
        <w:t>报表</w:t>
      </w:r>
      <w:r>
        <w:rPr>
          <w:rFonts w:hint="eastAsia" w:ascii="方正仿宋简体" w:hAnsi="方正仿宋简体" w:eastAsia="方正仿宋简体" w:cs="方正仿宋简体"/>
          <w:color w:val="auto"/>
          <w:sz w:val="32"/>
          <w:szCs w:val="32"/>
          <w:highlight w:val="none"/>
          <w:lang w:val="en-US" w:eastAsia="zh"/>
        </w:rPr>
        <w:t>以及可执行指标执行情况</w:t>
      </w:r>
      <w:r>
        <w:rPr>
          <w:rFonts w:hint="eastAsia" w:ascii="方正仿宋简体" w:hAnsi="方正仿宋简体" w:eastAsia="方正仿宋简体" w:cs="方正仿宋简体"/>
          <w:color w:val="auto"/>
          <w:sz w:val="32"/>
          <w:szCs w:val="32"/>
          <w:highlight w:val="none"/>
          <w:lang w:val="en-US" w:eastAsia="zh-CN"/>
        </w:rPr>
        <w:t>明细</w:t>
      </w:r>
      <w:r>
        <w:rPr>
          <w:rFonts w:hint="eastAsia" w:ascii="方正仿宋简体" w:hAnsi="方正仿宋简体" w:eastAsia="方正仿宋简体" w:cs="方正仿宋简体"/>
          <w:color w:val="auto"/>
          <w:sz w:val="32"/>
          <w:szCs w:val="32"/>
          <w:highlight w:val="none"/>
          <w:lang w:val="en-US" w:eastAsia="zh"/>
        </w:rPr>
        <w:t>表，</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年度泸定县财政局年初部门预算数</w:t>
      </w:r>
      <w:r>
        <w:rPr>
          <w:rFonts w:hint="default" w:ascii="Times New Roman" w:hAnsi="Times New Roman" w:eastAsia="方正仿宋简体" w:cs="Times New Roman"/>
          <w:color w:val="auto"/>
          <w:sz w:val="32"/>
          <w:szCs w:val="32"/>
          <w:highlight w:val="none"/>
          <w:lang w:val="en-US" w:eastAsia="zh"/>
        </w:rPr>
        <w:t>865</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02</w:t>
      </w:r>
      <w:r>
        <w:rPr>
          <w:rFonts w:hint="eastAsia" w:ascii="方正仿宋简体" w:hAnsi="方正仿宋简体" w:eastAsia="方正仿宋简体" w:cs="方正仿宋简体"/>
          <w:color w:val="auto"/>
          <w:sz w:val="32"/>
          <w:szCs w:val="32"/>
          <w:highlight w:val="none"/>
          <w:lang w:val="en-US" w:eastAsia="zh"/>
        </w:rPr>
        <w:t>万元，调剂数</w:t>
      </w:r>
      <w:r>
        <w:rPr>
          <w:rFonts w:hint="default" w:ascii="Times New Roman" w:hAnsi="Times New Roman" w:eastAsia="方正仿宋简体" w:cs="Times New Roman"/>
          <w:color w:val="auto"/>
          <w:sz w:val="32"/>
          <w:szCs w:val="32"/>
          <w:highlight w:val="none"/>
          <w:lang w:val="en-US" w:eastAsia="zh"/>
        </w:rPr>
        <w:t>199</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81</w:t>
      </w:r>
      <w:r>
        <w:rPr>
          <w:rFonts w:hint="eastAsia" w:ascii="方正仿宋简体" w:hAnsi="方正仿宋简体" w:eastAsia="方正仿宋简体" w:cs="方正仿宋简体"/>
          <w:color w:val="auto"/>
          <w:sz w:val="32"/>
          <w:szCs w:val="32"/>
          <w:highlight w:val="none"/>
          <w:lang w:val="en-US" w:eastAsia="zh"/>
        </w:rPr>
        <w:t>万元，调剂比例</w:t>
      </w:r>
      <w:r>
        <w:rPr>
          <w:rFonts w:hint="default" w:ascii="Times New Roman" w:hAnsi="Times New Roman" w:eastAsia="方正仿宋简体" w:cs="Times New Roman"/>
          <w:color w:val="auto"/>
          <w:sz w:val="32"/>
          <w:szCs w:val="32"/>
          <w:highlight w:val="none"/>
          <w:lang w:val="en-US" w:eastAsia="zh"/>
        </w:rPr>
        <w:t>23</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，年初预算编制不准确</w:t>
      </w:r>
      <w:r>
        <w:rPr>
          <w:rFonts w:hint="eastAsia" w:ascii="方正仿宋简体" w:hAnsi="方正仿宋简体" w:eastAsia="方正仿宋简体" w:cs="方正仿宋简体"/>
          <w:color w:val="auto"/>
          <w:sz w:val="32"/>
          <w:szCs w:val="32"/>
          <w:highlight w:val="none"/>
          <w:lang w:val="en-US" w:eastAsia="zh"/>
        </w:rPr>
        <w:t>。</w:t>
      </w:r>
    </w:p>
    <w:p w14:paraId="3BC33EE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
        </w:rPr>
      </w:pPr>
      <w:bookmarkStart w:id="171" w:name="_Toc24313"/>
      <w:bookmarkStart w:id="172" w:name="_Toc4250"/>
      <w:bookmarkStart w:id="173" w:name="_Toc31447"/>
      <w:r>
        <w:rPr>
          <w:rFonts w:hint="eastAsia" w:ascii="方正楷体简体" w:hAnsi="方正楷体简体" w:eastAsia="方正楷体简体" w:cs="方正楷体简体"/>
          <w:color w:val="auto"/>
          <w:kern w:val="0"/>
          <w:sz w:val="32"/>
          <w:szCs w:val="32"/>
          <w:highlight w:val="none"/>
          <w:shd w:val="clear" w:color="auto" w:fill="FFFFFF"/>
          <w:lang w:val="en-US" w:eastAsia="zh"/>
        </w:rPr>
        <w:t>（二）</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预算执行进度缓慢</w:t>
      </w:r>
      <w:bookmarkEnd w:id="171"/>
      <w:bookmarkEnd w:id="172"/>
      <w:bookmarkEnd w:id="173"/>
    </w:p>
    <w:p w14:paraId="60DF70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经查县财政局可执行指标明细，其中：</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416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624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月执行数</w:t>
      </w:r>
      <w:r>
        <w:rPr>
          <w:rFonts w:hint="default" w:ascii="Times New Roman" w:hAnsi="Times New Roman" w:eastAsia="方正仿宋简体" w:cs="Times New Roman"/>
          <w:color w:val="auto"/>
          <w:sz w:val="32"/>
          <w:szCs w:val="32"/>
          <w:highlight w:val="none"/>
          <w:lang w:val="en-US" w:eastAsia="zh-CN"/>
        </w:rPr>
        <w:t>799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万元，全年预算数</w:t>
      </w:r>
      <w:r>
        <w:rPr>
          <w:rFonts w:hint="default" w:ascii="Times New Roman" w:hAnsi="Times New Roman" w:eastAsia="方正仿宋简体" w:cs="Times New Roman"/>
          <w:color w:val="auto"/>
          <w:sz w:val="32"/>
          <w:szCs w:val="32"/>
          <w:highlight w:val="none"/>
          <w:lang w:val="en-US" w:eastAsia="zh-CN"/>
        </w:rPr>
        <w:t>1092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万元，执行率</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p>
    <w:p w14:paraId="38D044E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上述执行情况与既定目标</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相比，差异</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32%</w:t>
      </w:r>
      <w:r>
        <w:rPr>
          <w:rFonts w:hint="eastAsia" w:ascii="方正仿宋简体" w:hAnsi="方正仿宋简体" w:eastAsia="方正仿宋简体" w:cs="方正仿宋简体"/>
          <w:color w:val="auto"/>
          <w:sz w:val="32"/>
          <w:szCs w:val="32"/>
          <w:highlight w:val="none"/>
          <w:lang w:val="en-US" w:eastAsia="zh-CN"/>
        </w:rPr>
        <w:t>，均未达到目标进度。</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74" w:name="_Toc14746"/>
      <w:bookmarkStart w:id="175" w:name="_Toc24963"/>
      <w:bookmarkStart w:id="176" w:name="_Toc17999"/>
      <w:bookmarkStart w:id="177" w:name="_Toc29227"/>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164"/>
      <w:bookmarkEnd w:id="165"/>
      <w:bookmarkEnd w:id="166"/>
      <w:bookmarkEnd w:id="167"/>
      <w:bookmarkEnd w:id="168"/>
      <w:bookmarkEnd w:id="169"/>
      <w:bookmarkEnd w:id="170"/>
      <w:bookmarkEnd w:id="174"/>
      <w:bookmarkEnd w:id="175"/>
      <w:bookmarkEnd w:id="176"/>
      <w:bookmarkEnd w:id="177"/>
    </w:p>
    <w:p w14:paraId="2DF82E7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78" w:name="_Toc32111"/>
      <w:bookmarkStart w:id="179" w:name="_Toc12805"/>
      <w:bookmarkStart w:id="180" w:name="_Toc7397"/>
      <w:bookmarkStart w:id="181" w:name="_Toc24455"/>
      <w:bookmarkStart w:id="182" w:name="_Toc22132"/>
      <w:bookmarkStart w:id="183" w:name="_Toc31667"/>
      <w:bookmarkStart w:id="184" w:name="_Toc22175"/>
      <w:bookmarkStart w:id="185" w:name="_Toc15392"/>
      <w:bookmarkStart w:id="186" w:name="_Toc5785"/>
      <w:r>
        <w:rPr>
          <w:rFonts w:hint="eastAsia" w:ascii="方正楷体简体" w:hAnsi="方正楷体简体" w:eastAsia="方正楷体简体" w:cs="方正楷体简体"/>
          <w:color w:val="auto"/>
          <w:kern w:val="0"/>
          <w:sz w:val="32"/>
          <w:szCs w:val="32"/>
          <w:highlight w:val="none"/>
          <w:shd w:val="clear" w:color="auto" w:fill="FFFFFF"/>
          <w:lang w:val="en-US" w:eastAsia="zh-CN"/>
        </w:rPr>
        <w:t>（一）</w:t>
      </w:r>
      <w:bookmarkEnd w:id="178"/>
      <w:bookmarkEnd w:id="179"/>
      <w:bookmarkEnd w:id="180"/>
      <w:bookmarkEnd w:id="181"/>
      <w:bookmarkEnd w:id="182"/>
      <w:bookmarkEnd w:id="183"/>
      <w:bookmarkEnd w:id="184"/>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针对“预算编制不准确”的建议</w:t>
      </w:r>
      <w:bookmarkEnd w:id="185"/>
      <w:bookmarkEnd w:id="186"/>
    </w:p>
    <w:p w14:paraId="3BA8C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财政局一是加强部门前期各项费用预算测算，全面搜集对比往年费用支出数据，准确编制部门预算；二是可以采取“一校验、三比对、一复核”的方法，严把预算编制源头关，确保预算审核数据的客观公正。</w:t>
      </w:r>
    </w:p>
    <w:p w14:paraId="394423E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87" w:name="_Toc19370"/>
      <w:bookmarkStart w:id="188" w:name="_Toc21206"/>
      <w:bookmarkStart w:id="189" w:name="_Toc15370"/>
      <w:bookmarkStart w:id="190" w:name="_Toc331"/>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bookmarkEnd w:id="187"/>
      <w:bookmarkEnd w:id="188"/>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针对“预算执行进度缓慢”的建议</w:t>
      </w:r>
      <w:bookmarkEnd w:id="189"/>
      <w:bookmarkEnd w:id="190"/>
    </w:p>
    <w:p w14:paraId="29469A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建议：县财政局进一步加强预算资金阶段性执行力度，提高预算资金在全年的使用效率。</w:t>
      </w:r>
    </w:p>
    <w:bookmarkEnd w:id="158"/>
    <w:bookmarkEnd w:id="159"/>
    <w:p w14:paraId="41CD81E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eastAsia="zh"/>
        </w:rPr>
      </w:pPr>
    </w:p>
    <w:p w14:paraId="5B1BA0FF">
      <w:pPr>
        <w:keepNext w:val="0"/>
        <w:keepLines w:val="0"/>
        <w:pageBreakBefore w:val="0"/>
        <w:kinsoku/>
        <w:wordWrap/>
        <w:overflowPunct/>
        <w:topLinePunct w:val="0"/>
        <w:autoSpaceDE/>
        <w:autoSpaceDN/>
        <w:bidi w:val="0"/>
        <w:spacing w:after="0" w:line="600" w:lineRule="exact"/>
        <w:ind w:left="1598" w:leftChars="228" w:hanging="960" w:hangingChars="300"/>
        <w:rPr>
          <w:rFonts w:hint="eastAsia" w:ascii="方正仿宋简体" w:hAnsi="方正仿宋简体" w:eastAsia="方正仿宋简体" w:cs="方正仿宋简体"/>
          <w:color w:val="auto"/>
          <w:sz w:val="32"/>
          <w:szCs w:val="32"/>
          <w:highlight w:val="none"/>
          <w:shd w:val="clear" w:color="auto" w:fill="FFFFFF"/>
        </w:rPr>
      </w:pPr>
      <w:bookmarkStart w:id="191" w:name="_Toc3238"/>
      <w:r>
        <w:rPr>
          <w:rFonts w:hint="eastAsia" w:ascii="方正仿宋简体" w:hAnsi="方正仿宋简体" w:eastAsia="方正仿宋简体" w:cs="方正仿宋简体"/>
          <w:color w:val="auto"/>
          <w:sz w:val="32"/>
          <w:szCs w:val="32"/>
          <w:highlight w:val="none"/>
          <w:shd w:val="clear" w:color="auto" w:fill="FFFFFF"/>
        </w:rPr>
        <w:t>附件</w:t>
      </w:r>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rPr>
        <w:t>泸定县财政局部门整体支出绩效评价指标体系（评分表）</w:t>
      </w:r>
    </w:p>
    <w:p w14:paraId="78DB6598">
      <w:pPr>
        <w:pStyle w:val="2"/>
        <w:rPr>
          <w:rFonts w:hint="eastAsia" w:ascii="方正仿宋简体" w:hAnsi="方正仿宋简体" w:eastAsia="方正仿宋简体" w:cs="方正仿宋简体"/>
          <w:color w:val="auto"/>
          <w:sz w:val="32"/>
          <w:szCs w:val="32"/>
          <w:highlight w:val="none"/>
          <w:shd w:val="clear" w:color="auto" w:fill="FFFFFF"/>
        </w:rPr>
      </w:pPr>
    </w:p>
    <w:p w14:paraId="4D3FBD2E">
      <w:pPr>
        <w:rPr>
          <w:rFonts w:hint="eastAsia" w:ascii="方正仿宋简体" w:hAnsi="方正仿宋简体" w:eastAsia="方正仿宋简体" w:cs="方正仿宋简体"/>
          <w:color w:val="auto"/>
          <w:sz w:val="32"/>
          <w:szCs w:val="32"/>
          <w:highlight w:val="none"/>
          <w:shd w:val="clear" w:color="auto" w:fill="FFFFFF"/>
        </w:rPr>
      </w:pPr>
    </w:p>
    <w:p w14:paraId="6B4C0D06">
      <w:pPr>
        <w:pStyle w:val="2"/>
        <w:rPr>
          <w:rFonts w:hint="eastAsia"/>
          <w:highlight w:val="none"/>
          <w:lang w:eastAsia="zh"/>
        </w:rPr>
      </w:pPr>
    </w:p>
    <w:bookmarkEnd w:id="191"/>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0C5F290C">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b/>
          <w:bCs/>
          <w:color w:val="auto"/>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E7F26808-2CC5-4CBD-B71D-766ADED8DEF8}"/>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A412AB5D-5DA6-4003-9E38-F7CDB3548695}"/>
  </w:font>
  <w:font w:name="方正小标宋简体">
    <w:panose1 w:val="03000509000000000000"/>
    <w:charset w:val="86"/>
    <w:family w:val="auto"/>
    <w:pitch w:val="default"/>
    <w:sig w:usb0="00000001" w:usb1="080E0000" w:usb2="00000000" w:usb3="00000000" w:csb0="00040000" w:csb1="00000000"/>
    <w:embedRegular r:id="rId3" w:fontKey="{AB882944-8420-4513-B920-AF8F0D63E4A5}"/>
  </w:font>
  <w:font w:name="方正楷体简体">
    <w:panose1 w:val="02000000000000000000"/>
    <w:charset w:val="86"/>
    <w:family w:val="auto"/>
    <w:pitch w:val="default"/>
    <w:sig w:usb0="00000001" w:usb1="080E0000" w:usb2="00000000" w:usb3="00000000" w:csb0="00040000" w:csb1="00000000"/>
    <w:embedRegular r:id="rId4" w:fontKey="{9155D770-D0CB-4870-BAFD-6B6C8B632D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E4952">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BE4952">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762233"/>
    <w:multiLevelType w:val="singleLevel"/>
    <w:tmpl w:val="3B762233"/>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144F30"/>
    <w:rsid w:val="015B3238"/>
    <w:rsid w:val="0174274A"/>
    <w:rsid w:val="01AE1362"/>
    <w:rsid w:val="0209008E"/>
    <w:rsid w:val="0221101D"/>
    <w:rsid w:val="028212C5"/>
    <w:rsid w:val="02B56978"/>
    <w:rsid w:val="031D77B8"/>
    <w:rsid w:val="034B0AC6"/>
    <w:rsid w:val="03BD26AA"/>
    <w:rsid w:val="03C46413"/>
    <w:rsid w:val="03F043C9"/>
    <w:rsid w:val="03F5560D"/>
    <w:rsid w:val="05370DC3"/>
    <w:rsid w:val="05704583"/>
    <w:rsid w:val="05AE5131"/>
    <w:rsid w:val="069B1F26"/>
    <w:rsid w:val="06E2185D"/>
    <w:rsid w:val="074574B7"/>
    <w:rsid w:val="077F711D"/>
    <w:rsid w:val="0815093A"/>
    <w:rsid w:val="08280844"/>
    <w:rsid w:val="08321414"/>
    <w:rsid w:val="089C38E5"/>
    <w:rsid w:val="08CA0DBA"/>
    <w:rsid w:val="0AA10A64"/>
    <w:rsid w:val="0AAA2B3A"/>
    <w:rsid w:val="0BB27EF8"/>
    <w:rsid w:val="0BD10723"/>
    <w:rsid w:val="0C82214A"/>
    <w:rsid w:val="0CC90B55"/>
    <w:rsid w:val="0CDF0A58"/>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74350C"/>
    <w:rsid w:val="12A367ED"/>
    <w:rsid w:val="12F71BB3"/>
    <w:rsid w:val="13445E84"/>
    <w:rsid w:val="13463C67"/>
    <w:rsid w:val="134E407D"/>
    <w:rsid w:val="136916A0"/>
    <w:rsid w:val="13BF191E"/>
    <w:rsid w:val="13E834B3"/>
    <w:rsid w:val="144B4CE8"/>
    <w:rsid w:val="14827494"/>
    <w:rsid w:val="14DA48CB"/>
    <w:rsid w:val="151B6B0E"/>
    <w:rsid w:val="151F436E"/>
    <w:rsid w:val="15230EB6"/>
    <w:rsid w:val="155B04E5"/>
    <w:rsid w:val="15762967"/>
    <w:rsid w:val="15C0420D"/>
    <w:rsid w:val="16310CFC"/>
    <w:rsid w:val="164E7445"/>
    <w:rsid w:val="16521418"/>
    <w:rsid w:val="167B192A"/>
    <w:rsid w:val="16BA737C"/>
    <w:rsid w:val="17404D18"/>
    <w:rsid w:val="178551F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01B4"/>
    <w:rsid w:val="1AF776D6"/>
    <w:rsid w:val="1B0B2AA5"/>
    <w:rsid w:val="1BDF6BC8"/>
    <w:rsid w:val="1C2C3D72"/>
    <w:rsid w:val="1C535707"/>
    <w:rsid w:val="1C580E62"/>
    <w:rsid w:val="1C975E00"/>
    <w:rsid w:val="1D046172"/>
    <w:rsid w:val="1D484219"/>
    <w:rsid w:val="1D4F18C5"/>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BE326A"/>
    <w:rsid w:val="20CB7E98"/>
    <w:rsid w:val="21CC56B8"/>
    <w:rsid w:val="21EF1E43"/>
    <w:rsid w:val="21F711A6"/>
    <w:rsid w:val="22460F43"/>
    <w:rsid w:val="22612BC4"/>
    <w:rsid w:val="2297354C"/>
    <w:rsid w:val="22D7627C"/>
    <w:rsid w:val="22F7E8FF"/>
    <w:rsid w:val="234C0C7F"/>
    <w:rsid w:val="23F46FD7"/>
    <w:rsid w:val="24283899"/>
    <w:rsid w:val="24436E8F"/>
    <w:rsid w:val="248C4080"/>
    <w:rsid w:val="24C04FDC"/>
    <w:rsid w:val="258778A8"/>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3A3248"/>
    <w:rsid w:val="284452E7"/>
    <w:rsid w:val="28757938"/>
    <w:rsid w:val="28950ECF"/>
    <w:rsid w:val="28DF6F12"/>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5B3E8E"/>
    <w:rsid w:val="2D6319D3"/>
    <w:rsid w:val="2D9D27E0"/>
    <w:rsid w:val="2DE812E1"/>
    <w:rsid w:val="2E750BE6"/>
    <w:rsid w:val="2E7B50BC"/>
    <w:rsid w:val="2EAE40F8"/>
    <w:rsid w:val="2ED1320F"/>
    <w:rsid w:val="2F040BD9"/>
    <w:rsid w:val="2F126781"/>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5EE2E3C"/>
    <w:rsid w:val="36001598"/>
    <w:rsid w:val="360308FA"/>
    <w:rsid w:val="36870F62"/>
    <w:rsid w:val="369B1CB2"/>
    <w:rsid w:val="36BF54EC"/>
    <w:rsid w:val="36C17759"/>
    <w:rsid w:val="36C22E36"/>
    <w:rsid w:val="36DC449D"/>
    <w:rsid w:val="36F56951"/>
    <w:rsid w:val="37E36263"/>
    <w:rsid w:val="37EE368E"/>
    <w:rsid w:val="38091B40"/>
    <w:rsid w:val="38C96200"/>
    <w:rsid w:val="38D85C62"/>
    <w:rsid w:val="390E6F8C"/>
    <w:rsid w:val="39131F2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DE030F"/>
    <w:rsid w:val="3DFC2E05"/>
    <w:rsid w:val="3E432DCF"/>
    <w:rsid w:val="3E8E1632"/>
    <w:rsid w:val="3F5605BF"/>
    <w:rsid w:val="3F7B5870"/>
    <w:rsid w:val="3F8213B4"/>
    <w:rsid w:val="3FAD280D"/>
    <w:rsid w:val="3FAFC9F3"/>
    <w:rsid w:val="3FBD0AA0"/>
    <w:rsid w:val="3FBFE8A3"/>
    <w:rsid w:val="3FBFF11E"/>
    <w:rsid w:val="3FC78042"/>
    <w:rsid w:val="3FCF6EEE"/>
    <w:rsid w:val="3FFA9567"/>
    <w:rsid w:val="3FFBC9EC"/>
    <w:rsid w:val="3FFFEA14"/>
    <w:rsid w:val="400D7690"/>
    <w:rsid w:val="4069560F"/>
    <w:rsid w:val="412070D7"/>
    <w:rsid w:val="41731B45"/>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F243D5"/>
    <w:rsid w:val="4A3F0AC3"/>
    <w:rsid w:val="4AD1435D"/>
    <w:rsid w:val="4AFA2C7B"/>
    <w:rsid w:val="4B0435C5"/>
    <w:rsid w:val="4B58271A"/>
    <w:rsid w:val="4B6B11A9"/>
    <w:rsid w:val="4B9C6B82"/>
    <w:rsid w:val="4BDE4024"/>
    <w:rsid w:val="4C1635B0"/>
    <w:rsid w:val="4C907F6D"/>
    <w:rsid w:val="4CAE35BE"/>
    <w:rsid w:val="4CFC2039"/>
    <w:rsid w:val="4D4B1A7A"/>
    <w:rsid w:val="4D6E449B"/>
    <w:rsid w:val="4F0A34DF"/>
    <w:rsid w:val="4F5F5C7E"/>
    <w:rsid w:val="4F7241B1"/>
    <w:rsid w:val="4FCD04DF"/>
    <w:rsid w:val="4FF7181A"/>
    <w:rsid w:val="4FFE309A"/>
    <w:rsid w:val="507D0BBC"/>
    <w:rsid w:val="507E6B2A"/>
    <w:rsid w:val="50EA17A2"/>
    <w:rsid w:val="51290B58"/>
    <w:rsid w:val="51381763"/>
    <w:rsid w:val="51960840"/>
    <w:rsid w:val="51E2208C"/>
    <w:rsid w:val="5221572C"/>
    <w:rsid w:val="52265F38"/>
    <w:rsid w:val="52EF2BDF"/>
    <w:rsid w:val="535B753F"/>
    <w:rsid w:val="543748C0"/>
    <w:rsid w:val="54B716A8"/>
    <w:rsid w:val="54F26B7F"/>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22FE8"/>
    <w:rsid w:val="5864421C"/>
    <w:rsid w:val="5901172B"/>
    <w:rsid w:val="59561F19"/>
    <w:rsid w:val="596B1981"/>
    <w:rsid w:val="59821BED"/>
    <w:rsid w:val="59CF4D9E"/>
    <w:rsid w:val="5AA61FA3"/>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B1D3F4"/>
    <w:rsid w:val="5EDB5F93"/>
    <w:rsid w:val="5EE16E7C"/>
    <w:rsid w:val="5F246AEA"/>
    <w:rsid w:val="5F3B183F"/>
    <w:rsid w:val="5F562031"/>
    <w:rsid w:val="5F774ACC"/>
    <w:rsid w:val="5F9C373E"/>
    <w:rsid w:val="5FBF7263"/>
    <w:rsid w:val="5FCF84ED"/>
    <w:rsid w:val="5FDFC83C"/>
    <w:rsid w:val="5FF7A0DE"/>
    <w:rsid w:val="60017C7C"/>
    <w:rsid w:val="6020741B"/>
    <w:rsid w:val="607818E9"/>
    <w:rsid w:val="608914CC"/>
    <w:rsid w:val="6094289E"/>
    <w:rsid w:val="60F11867"/>
    <w:rsid w:val="615C16D6"/>
    <w:rsid w:val="618A3DC3"/>
    <w:rsid w:val="61C15430"/>
    <w:rsid w:val="61E46B12"/>
    <w:rsid w:val="62102CE3"/>
    <w:rsid w:val="62222B09"/>
    <w:rsid w:val="62311D7E"/>
    <w:rsid w:val="62350D51"/>
    <w:rsid w:val="627C5614"/>
    <w:rsid w:val="62BA758E"/>
    <w:rsid w:val="62BB6119"/>
    <w:rsid w:val="62D11B87"/>
    <w:rsid w:val="630D7F41"/>
    <w:rsid w:val="636C18B0"/>
    <w:rsid w:val="63A71F74"/>
    <w:rsid w:val="63ED0D4F"/>
    <w:rsid w:val="64FE5F84"/>
    <w:rsid w:val="652F1904"/>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100E45"/>
    <w:rsid w:val="6A4A3BFD"/>
    <w:rsid w:val="6B43739A"/>
    <w:rsid w:val="6BFFA4D9"/>
    <w:rsid w:val="6C196A9A"/>
    <w:rsid w:val="6C590980"/>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BB65E4"/>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301170"/>
    <w:rsid w:val="76937428"/>
    <w:rsid w:val="76EEE66D"/>
    <w:rsid w:val="76EF82A2"/>
    <w:rsid w:val="76FBFBCD"/>
    <w:rsid w:val="77245415"/>
    <w:rsid w:val="77503BA8"/>
    <w:rsid w:val="77BDFB3C"/>
    <w:rsid w:val="77BF2551"/>
    <w:rsid w:val="77CB4ADD"/>
    <w:rsid w:val="77F50D0E"/>
    <w:rsid w:val="77FCCDF3"/>
    <w:rsid w:val="7821727C"/>
    <w:rsid w:val="78243701"/>
    <w:rsid w:val="782E0A91"/>
    <w:rsid w:val="788E7EA5"/>
    <w:rsid w:val="78F74A7F"/>
    <w:rsid w:val="7922343B"/>
    <w:rsid w:val="7926388B"/>
    <w:rsid w:val="79521C10"/>
    <w:rsid w:val="795E17F1"/>
    <w:rsid w:val="795FF9E4"/>
    <w:rsid w:val="79D42C0A"/>
    <w:rsid w:val="79FFF26D"/>
    <w:rsid w:val="7A0E3616"/>
    <w:rsid w:val="7A267238"/>
    <w:rsid w:val="7A30225F"/>
    <w:rsid w:val="7AD5E80B"/>
    <w:rsid w:val="7AE7FD2B"/>
    <w:rsid w:val="7AF3D7EA"/>
    <w:rsid w:val="7AFE98C0"/>
    <w:rsid w:val="7B0A37F3"/>
    <w:rsid w:val="7B2EC99E"/>
    <w:rsid w:val="7B3D1B44"/>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1"/>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next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0"/>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常用样式（方正仿宋简）"/>
    <w:basedOn w:val="1"/>
    <w:qFormat/>
    <w:uiPriority w:val="0"/>
    <w:pPr>
      <w:spacing w:line="560" w:lineRule="exact"/>
      <w:ind w:firstLine="640"/>
    </w:pPr>
    <w:rPr>
      <w:rFonts w:eastAsia="方正仿宋简体"/>
      <w:sz w:val="32"/>
    </w:rPr>
  </w:style>
  <w:style w:type="character" w:customStyle="1" w:styleId="27">
    <w:name w:val="页眉 字符"/>
    <w:basedOn w:val="20"/>
    <w:link w:val="12"/>
    <w:qFormat/>
    <w:uiPriority w:val="99"/>
    <w:rPr>
      <w:sz w:val="18"/>
      <w:szCs w:val="18"/>
    </w:rPr>
  </w:style>
  <w:style w:type="character" w:customStyle="1" w:styleId="28">
    <w:name w:val="页脚 字符"/>
    <w:basedOn w:val="20"/>
    <w:link w:val="11"/>
    <w:qFormat/>
    <w:uiPriority w:val="99"/>
    <w:rPr>
      <w:sz w:val="18"/>
      <w:szCs w:val="18"/>
    </w:rPr>
  </w:style>
  <w:style w:type="character" w:customStyle="1" w:styleId="29">
    <w:name w:val="font11"/>
    <w:basedOn w:val="20"/>
    <w:qFormat/>
    <w:uiPriority w:val="0"/>
    <w:rPr>
      <w:rFonts w:hint="eastAsia" w:ascii="宋体" w:hAnsi="宋体" w:eastAsia="宋体" w:cs="宋体"/>
      <w:color w:val="000000"/>
      <w:sz w:val="21"/>
      <w:szCs w:val="21"/>
      <w:u w:val="none"/>
    </w:rPr>
  </w:style>
  <w:style w:type="character" w:customStyle="1" w:styleId="30">
    <w:name w:val="font01"/>
    <w:basedOn w:val="20"/>
    <w:qFormat/>
    <w:uiPriority w:val="0"/>
    <w:rPr>
      <w:rFonts w:hint="default" w:ascii="Calibri" w:hAnsi="Calibri" w:cs="Calibri"/>
      <w:color w:val="000000"/>
      <w:sz w:val="21"/>
      <w:szCs w:val="21"/>
      <w:u w:val="none"/>
    </w:rPr>
  </w:style>
  <w:style w:type="character" w:customStyle="1" w:styleId="31">
    <w:name w:val="font71"/>
    <w:basedOn w:val="20"/>
    <w:qFormat/>
    <w:uiPriority w:val="0"/>
    <w:rPr>
      <w:rFonts w:hint="eastAsia" w:ascii="仿宋" w:hAnsi="仿宋" w:eastAsia="仿宋" w:cs="仿宋"/>
      <w:b/>
      <w:color w:val="000000"/>
      <w:sz w:val="24"/>
      <w:szCs w:val="24"/>
      <w:u w:val="none"/>
    </w:rPr>
  </w:style>
  <w:style w:type="character" w:customStyle="1" w:styleId="32">
    <w:name w:val="font51"/>
    <w:basedOn w:val="20"/>
    <w:qFormat/>
    <w:uiPriority w:val="0"/>
    <w:rPr>
      <w:rFonts w:hint="eastAsia" w:ascii="仿宋" w:hAnsi="仿宋" w:eastAsia="仿宋" w:cs="仿宋"/>
      <w:color w:val="000000"/>
      <w:sz w:val="24"/>
      <w:szCs w:val="24"/>
      <w:u w:val="none"/>
    </w:rPr>
  </w:style>
  <w:style w:type="character" w:customStyle="1" w:styleId="33">
    <w:name w:val="font31"/>
    <w:basedOn w:val="20"/>
    <w:qFormat/>
    <w:uiPriority w:val="0"/>
    <w:rPr>
      <w:rFonts w:hint="eastAsia" w:ascii="宋体" w:hAnsi="宋体" w:eastAsia="宋体" w:cs="宋体"/>
      <w:b/>
      <w:color w:val="000000"/>
      <w:sz w:val="22"/>
      <w:szCs w:val="22"/>
      <w:u w:val="none"/>
    </w:rPr>
  </w:style>
  <w:style w:type="character" w:customStyle="1" w:styleId="34">
    <w:name w:val="font21"/>
    <w:basedOn w:val="20"/>
    <w:qFormat/>
    <w:uiPriority w:val="0"/>
    <w:rPr>
      <w:rFonts w:hint="eastAsia" w:ascii="宋体" w:hAnsi="宋体" w:eastAsia="宋体" w:cs="宋体"/>
      <w:color w:val="000000"/>
      <w:sz w:val="20"/>
      <w:szCs w:val="20"/>
      <w:u w:val="none"/>
    </w:rPr>
  </w:style>
  <w:style w:type="character" w:customStyle="1" w:styleId="35">
    <w:name w:val="font41"/>
    <w:basedOn w:val="20"/>
    <w:qFormat/>
    <w:uiPriority w:val="0"/>
    <w:rPr>
      <w:rFonts w:hint="default" w:ascii="Times New Roman" w:hAnsi="Times New Roman" w:cs="Times New Roman"/>
      <w:b/>
      <w:color w:val="000000"/>
      <w:sz w:val="20"/>
      <w:szCs w:val="20"/>
      <w:u w:val="none"/>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8">
    <w:name w:val="表格"/>
    <w:basedOn w:val="1"/>
    <w:qFormat/>
    <w:uiPriority w:val="0"/>
    <w:rPr>
      <w:rFonts w:hint="eastAsia"/>
      <w:kern w:val="0"/>
      <w:sz w:val="24"/>
      <w:szCs w:val="20"/>
    </w:rPr>
  </w:style>
  <w:style w:type="paragraph" w:customStyle="1" w:styleId="39">
    <w:name w:val="页眉或页脚 (2)"/>
    <w:basedOn w:val="1"/>
    <w:qFormat/>
    <w:uiPriority w:val="0"/>
    <w:rPr>
      <w:rFonts w:eastAsia="Times New Roman" w:cs="Times New Roman"/>
      <w:sz w:val="20"/>
      <w:szCs w:val="20"/>
      <w:lang w:val="zh-CN" w:bidi="zh-CN"/>
    </w:rPr>
  </w:style>
  <w:style w:type="character" w:customStyle="1" w:styleId="40">
    <w:name w:val="标题 字符"/>
    <w:basedOn w:val="20"/>
    <w:link w:val="16"/>
    <w:qFormat/>
    <w:uiPriority w:val="0"/>
    <w:rPr>
      <w:rFonts w:ascii="等线 Light" w:hAnsi="等线 Light" w:eastAsia="等线 Light" w:cs="Times New Roman"/>
      <w:b/>
      <w:bCs/>
      <w:kern w:val="2"/>
      <w:sz w:val="32"/>
      <w:szCs w:val="32"/>
    </w:rPr>
  </w:style>
  <w:style w:type="character" w:customStyle="1" w:styleId="41">
    <w:name w:val="正文文本缩进 字符"/>
    <w:basedOn w:val="20"/>
    <w:link w:val="8"/>
    <w:qFormat/>
    <w:uiPriority w:val="0"/>
    <w:rPr>
      <w:kern w:val="2"/>
      <w:sz w:val="32"/>
      <w:szCs w:val="24"/>
    </w:rPr>
  </w:style>
  <w:style w:type="paragraph" w:customStyle="1" w:styleId="42">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3">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4">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17</Pages>
  <Words>3792</Words>
  <Characters>4026</Characters>
  <Lines>1</Lines>
  <Paragraphs>1</Paragraphs>
  <TotalTime>11</TotalTime>
  <ScaleCrop>false</ScaleCrop>
  <LinksUpToDate>false</LinksUpToDate>
  <CharactersWithSpaces>4035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2024-11-08T07:52:00Z</cp:lastPrinted>
  <dcterms:modified xsi:type="dcterms:W3CDTF">2025-01-07T08:24:24Z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