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bookmarkStart w:id="0" w:name="_Toc22314"/>
      <w:bookmarkStart w:id="1" w:name="_Toc2952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auto"/>
          <w:kern w:val="0"/>
          <w:sz w:val="44"/>
          <w:szCs w:val="44"/>
          <w:highlight w:val="none"/>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5DD4A0A0">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被评价单位名称：泸定县退役军人事务局</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highlight w:val="none"/>
        </w:rPr>
      </w:pPr>
    </w:p>
    <w:p w14:paraId="2CAD0601">
      <w:pPr>
        <w:pStyle w:val="2"/>
        <w:rPr>
          <w:rFonts w:hint="eastAsia" w:ascii="方正仿宋简体" w:hAnsi="方正仿宋简体" w:eastAsia="方正仿宋简体" w:cs="方正仿宋简体"/>
          <w:color w:val="333333"/>
          <w:kern w:val="0"/>
          <w:sz w:val="32"/>
          <w:szCs w:val="32"/>
          <w:highlight w:val="none"/>
        </w:rPr>
      </w:pPr>
    </w:p>
    <w:p w14:paraId="18782886">
      <w:pPr>
        <w:rPr>
          <w:rFonts w:hint="eastAsia" w:ascii="方正仿宋简体" w:hAnsi="方正仿宋简体" w:eastAsia="方正仿宋简体" w:cs="方正仿宋简体"/>
          <w:color w:val="333333"/>
          <w:kern w:val="0"/>
          <w:sz w:val="32"/>
          <w:szCs w:val="32"/>
          <w:highlight w:val="none"/>
        </w:rPr>
      </w:pPr>
    </w:p>
    <w:p w14:paraId="6E076AB4">
      <w:pPr>
        <w:pStyle w:val="2"/>
        <w:rPr>
          <w:rFonts w:hint="eastAsia" w:ascii="方正仿宋简体" w:hAnsi="方正仿宋简体" w:eastAsia="方正仿宋简体" w:cs="方正仿宋简体"/>
          <w:color w:val="333333"/>
          <w:kern w:val="0"/>
          <w:sz w:val="32"/>
          <w:szCs w:val="32"/>
          <w:highlight w:val="none"/>
        </w:rPr>
      </w:pPr>
    </w:p>
    <w:p w14:paraId="5FEBA6C7">
      <w:pPr>
        <w:rPr>
          <w:rFonts w:hint="eastAsia"/>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C44CB00">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062C928D">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13CD46D4">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泸定县退役军人事务局</w:t>
      </w:r>
    </w:p>
    <w:p w14:paraId="4522EDD6">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highlight w:val="none"/>
        </w:rPr>
      </w:pPr>
      <w:bookmarkStart w:id="3" w:name="_Toc27398"/>
      <w:r>
        <w:rPr>
          <w:rFonts w:hint="default" w:ascii="Times New Roman" w:hAnsi="Times New Roman" w:eastAsia="方正小标宋简体" w:cs="Times New Roman"/>
          <w:sz w:val="44"/>
          <w:szCs w:val="44"/>
          <w:highlight w:val="none"/>
          <w:lang w:eastAsia="zh"/>
        </w:rPr>
        <w:t>2023</w:t>
      </w:r>
      <w:r>
        <w:rPr>
          <w:rFonts w:hint="eastAsia" w:ascii="方正小标宋简体" w:hAnsi="方正小标宋简体" w:eastAsia="方正小标宋简体" w:cs="方正小标宋简体"/>
          <w:sz w:val="44"/>
          <w:szCs w:val="44"/>
          <w:highlight w:val="none"/>
        </w:rPr>
        <w:t>年部门整体支出绩效评价报告</w:t>
      </w:r>
      <w:bookmarkEnd w:id="0"/>
      <w:bookmarkEnd w:id="1"/>
      <w:bookmarkEnd w:id="3"/>
    </w:p>
    <w:p w14:paraId="075D1518">
      <w:pPr>
        <w:pStyle w:val="17"/>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highlight w:val="none"/>
          <w:lang w:val="fr-FR"/>
        </w:rPr>
      </w:pPr>
    </w:p>
    <w:p w14:paraId="392B55F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bookmarkStart w:id="4" w:name="_Toc8938"/>
      <w:bookmarkStart w:id="5" w:name="_Toc26210"/>
      <w:bookmarkStart w:id="6" w:name="_Toc6252"/>
    </w:p>
    <w:p w14:paraId="04E19FB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泸定县退役军人事务局</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年部门整体支出进行</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绩效评价。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泸定县退役军人事务局</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34</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号）、《中共四川省委 四川省人民政府关于全面实施预算绩效管理的实施意见》（川委发〔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号）、《中共甘孜州委办公室 甘孜州人民政府办公室关于印发</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甘孜州全面实施预算绩效管理工作实施方案</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的通知》（甘委办〔</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120</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和《泸定县财政局</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关于开展</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年度部门整体绩效评价工作的通知</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泸财〔</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文件要求，结合</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泸定县退役军人事务局</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的实际情况，对</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进行绩效评价，并出具绩效评价报告，现将相关情况报告如下：</w:t>
      </w:r>
      <w:bookmarkEnd w:id="4"/>
      <w:bookmarkEnd w:id="5"/>
      <w:bookmarkEnd w:id="6"/>
      <w:bookmarkStart w:id="7" w:name="_Toc12185"/>
      <w:bookmarkStart w:id="8" w:name="_Toc8555"/>
      <w:bookmarkStart w:id="9" w:name="_Toc109483833"/>
    </w:p>
    <w:p w14:paraId="5EB97C7C">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0" w:name="_Toc26009"/>
      <w:bookmarkStart w:id="11" w:name="_Toc799907804"/>
      <w:bookmarkStart w:id="12" w:name="_Toc18723"/>
      <w:bookmarkStart w:id="13" w:name="_Toc10147"/>
      <w:bookmarkStart w:id="14" w:name="_Toc12546"/>
      <w:bookmarkStart w:id="15" w:name="_Toc18579"/>
      <w:r>
        <w:rPr>
          <w:rFonts w:hint="eastAsia" w:ascii="方正黑体简体" w:hAnsi="方正黑体简体" w:eastAsia="方正黑体简体" w:cs="方正黑体简体"/>
          <w:color w:val="000000"/>
          <w:kern w:val="0"/>
          <w:sz w:val="32"/>
          <w:szCs w:val="32"/>
          <w:highlight w:val="none"/>
          <w:shd w:val="clear" w:color="auto" w:fill="FFFFFF"/>
        </w:rPr>
        <w:t>一、</w:t>
      </w:r>
      <w:bookmarkEnd w:id="7"/>
      <w:bookmarkEnd w:id="8"/>
      <w:r>
        <w:rPr>
          <w:rFonts w:hint="eastAsia" w:ascii="方正黑体简体" w:hAnsi="方正黑体简体" w:eastAsia="方正黑体简体" w:cs="方正黑体简体"/>
          <w:color w:val="000000"/>
          <w:kern w:val="0"/>
          <w:sz w:val="32"/>
          <w:szCs w:val="32"/>
          <w:highlight w:val="none"/>
          <w:shd w:val="clear" w:color="auto" w:fill="FFFFFF"/>
        </w:rPr>
        <w:t>部门</w:t>
      </w:r>
      <w:bookmarkEnd w:id="9"/>
      <w:bookmarkEnd w:id="10"/>
      <w:bookmarkEnd w:id="11"/>
      <w:bookmarkStart w:id="16" w:name="_Toc16549"/>
      <w:bookmarkStart w:id="17" w:name="_Toc30550"/>
      <w:bookmarkStart w:id="18" w:name="_Toc109483834"/>
      <w:r>
        <w:rPr>
          <w:rFonts w:hint="eastAsia" w:ascii="方正黑体简体" w:hAnsi="方正黑体简体" w:eastAsia="方正黑体简体" w:cs="方正黑体简体"/>
          <w:color w:val="000000"/>
          <w:kern w:val="0"/>
          <w:sz w:val="32"/>
          <w:szCs w:val="32"/>
          <w:highlight w:val="none"/>
          <w:shd w:val="clear" w:color="auto" w:fill="FFFFFF"/>
        </w:rPr>
        <w:t>概况</w:t>
      </w:r>
      <w:bookmarkEnd w:id="12"/>
      <w:bookmarkEnd w:id="13"/>
      <w:bookmarkEnd w:id="14"/>
      <w:bookmarkEnd w:id="15"/>
    </w:p>
    <w:p w14:paraId="0CE979B1">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highlight w:val="none"/>
          <w:lang w:val="zh-CN"/>
        </w:rPr>
      </w:pPr>
      <w:bookmarkStart w:id="19" w:name="_Toc419097264"/>
      <w:bookmarkStart w:id="20" w:name="_Toc7513"/>
      <w:bookmarkStart w:id="21" w:name="_Toc20865"/>
      <w:bookmarkStart w:id="22" w:name="_Toc24161"/>
      <w:bookmarkStart w:id="23" w:name="_Toc2337"/>
      <w:bookmarkStart w:id="24" w:name="_Toc16335"/>
      <w:r>
        <w:rPr>
          <w:rFonts w:hint="eastAsia" w:ascii="方正楷体简体" w:hAnsi="方正楷体简体" w:eastAsia="方正楷体简体" w:cs="方正楷体简体"/>
          <w:sz w:val="32"/>
          <w:szCs w:val="32"/>
          <w:highlight w:val="none"/>
          <w:lang w:val="zh-CN"/>
        </w:rPr>
        <w:t>（一）</w:t>
      </w:r>
      <w:bookmarkEnd w:id="16"/>
      <w:bookmarkEnd w:id="17"/>
      <w:bookmarkEnd w:id="18"/>
      <w:bookmarkEnd w:id="19"/>
      <w:bookmarkEnd w:id="20"/>
      <w:r>
        <w:rPr>
          <w:rFonts w:hint="eastAsia" w:ascii="方正楷体简体" w:hAnsi="方正楷体简体" w:eastAsia="方正楷体简体" w:cs="方正楷体简体"/>
          <w:sz w:val="32"/>
          <w:szCs w:val="32"/>
          <w:highlight w:val="none"/>
          <w:lang w:val="zh-CN"/>
        </w:rPr>
        <w:t>部门基本情况</w:t>
      </w:r>
      <w:bookmarkEnd w:id="21"/>
      <w:bookmarkEnd w:id="22"/>
      <w:bookmarkEnd w:id="23"/>
      <w:bookmarkEnd w:id="24"/>
    </w:p>
    <w:p w14:paraId="73EE2A3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25" w:name="_Toc109483835"/>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泸定县退役军人事务局（以下简称：退役军人事务局）属财政全额拨款的一级预算单位，机构性质：机关，单位负责人：刘洪，统一社会信用代码：</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11513322MB1676846J</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。单位所在地：泸定县炉桥镇红军路</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158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号。 </w:t>
      </w:r>
    </w:p>
    <w:p w14:paraId="12D601DB">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highlight w:val="none"/>
          <w:lang w:val="zh-CN" w:eastAsia="zh"/>
        </w:rPr>
      </w:pPr>
      <w:bookmarkStart w:id="26" w:name="_Toc1278"/>
      <w:bookmarkStart w:id="27" w:name="_Toc17750"/>
      <w:bookmarkStart w:id="28" w:name="_Toc31223"/>
      <w:bookmarkStart w:id="29" w:name="_Toc16003"/>
      <w:r>
        <w:rPr>
          <w:rFonts w:hint="eastAsia" w:ascii="方正楷体简体" w:hAnsi="方正楷体简体" w:eastAsia="方正楷体简体" w:cs="方正楷体简体"/>
          <w:sz w:val="32"/>
          <w:szCs w:val="32"/>
          <w:highlight w:val="none"/>
          <w:lang w:val="zh-CN"/>
        </w:rPr>
        <w:t>（二）部门</w:t>
      </w:r>
      <w:bookmarkEnd w:id="26"/>
      <w:bookmarkEnd w:id="27"/>
      <w:bookmarkEnd w:id="28"/>
      <w:r>
        <w:rPr>
          <w:rFonts w:hint="eastAsia" w:ascii="方正楷体简体" w:hAnsi="方正楷体简体" w:eastAsia="方正楷体简体" w:cs="方正楷体简体"/>
          <w:sz w:val="32"/>
          <w:szCs w:val="32"/>
          <w:highlight w:val="none"/>
          <w:lang w:val="zh-CN" w:eastAsia="zh"/>
        </w:rPr>
        <w:t>内设机构及人员概况</w:t>
      </w:r>
      <w:bookmarkEnd w:id="29"/>
    </w:p>
    <w:p w14:paraId="473860F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泸定县退役军人事务局内设办公室、泸定县拥军优属拥政爱民领导小组办公室（拥军优抚与褒扬纪念股）、移交安置和军休服务管理股、就业创业与权益维护股。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年度退役军人事务局编制人数</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人，其中：行政编制</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名，工勤人员控制数</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名，事业人员</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名。实有在职人数</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人，其中公务员</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人，行政工勤</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人，事业人员</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人。 </w:t>
      </w:r>
    </w:p>
    <w:p w14:paraId="58EDA88B">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highlight w:val="none"/>
          <w:lang w:val="zh-CN"/>
        </w:rPr>
      </w:pPr>
      <w:bookmarkStart w:id="30" w:name="_Toc568184988"/>
      <w:bookmarkStart w:id="31" w:name="_Toc16978"/>
      <w:bookmarkStart w:id="32" w:name="_Toc22604"/>
      <w:bookmarkStart w:id="33" w:name="_Toc556"/>
      <w:r>
        <w:rPr>
          <w:rFonts w:hint="eastAsia" w:ascii="方正楷体简体" w:hAnsi="方正楷体简体" w:eastAsia="方正楷体简体" w:cs="方正楷体简体"/>
          <w:sz w:val="32"/>
          <w:szCs w:val="32"/>
          <w:highlight w:val="none"/>
          <w:lang w:val="zh-CN"/>
        </w:rPr>
        <w:t>（三）</w:t>
      </w:r>
      <w:bookmarkEnd w:id="25"/>
      <w:bookmarkEnd w:id="30"/>
      <w:bookmarkEnd w:id="31"/>
      <w:r>
        <w:rPr>
          <w:rFonts w:hint="eastAsia" w:ascii="方正楷体简体" w:hAnsi="方正楷体简体" w:eastAsia="方正楷体简体" w:cs="方正楷体简体"/>
          <w:sz w:val="32"/>
          <w:szCs w:val="32"/>
          <w:highlight w:val="none"/>
          <w:lang w:val="zh-CN"/>
        </w:rPr>
        <w:t>部门职能职责</w:t>
      </w:r>
      <w:bookmarkEnd w:id="32"/>
      <w:bookmarkEnd w:id="33"/>
    </w:p>
    <w:p w14:paraId="3067C62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34" w:name="_Toc109483836"/>
      <w:bookmarkStart w:id="35" w:name="_Toc33"/>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贯彻落实退役军人思想政治、管理保障和安置优抚等法规、规章及退役军人工作政策，拟定实施意见，褒扬彰显退役军人为党、国家和人民牺牲奉献的精神风范和价值导向；</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负责军队转业干部、复员干部、离休退休干部、退役士兵和无军籍退休退职职工的移交安置和自主择业、就业退役军人服务管理工作；</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组织、指导退役军人教育培训工作，承担退役军人和随军随调家属就业创业扶持工作；</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贯彻执行国家、省、州有关退役军人特殊保障政策，起草本地相关实施意见并组织实施；</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组织、协调落实移交地方的离休退休军人、符合条件的其他退役军人和无军籍退休退职职工的住房保障工作，以及退役军人医疗保障、社会保险等待遇保障工作；</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负责伤病残退役军人服务管理和抚恤工作，贯彻执行国家、省、州有关退役军人医疗、疗养、养老等机构的规划政策。承担不适宜继续服役的伤病残军人移交安置、退休安置、供养等工作。组织军供服务保障工作；</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组织、指导拥军优属工作，承担现役军人、退役军人、军队文职人员和军属的优待、抚恤等工作。贯彻执行国家、省、州有关国民党抗战老兵等有关人员优待政策；</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负责烈士及退役军人荣誉奖励、军人公墓和烈士纪念设施的建设管理、纪念活动等工作，依法承担英雄烈士保护相关工作，审核拟列入重点保护单位的烈士纪念建筑物名录，总结表彰和宣扬退役军人、退役军人工作单位和个人先进典型事迹；</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指导并监督检查退役军人相关法律法规和政策措施的落实，组织开展退役军人权益维护和有关人员的帮扶援助工作；</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推动建立退役军人事务分级负责和突发事件应急联动机制，组织、指导退役军人综合服务体系建设。配合指导退役军人党建工作；</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负责职责范围内的安全生产和职业健康、生态环境保护、审批服务便民化工作；</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完成县委、县政府和军方交办的其他任务。</w:t>
      </w:r>
    </w:p>
    <w:p w14:paraId="182957A1">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lang w:val="zh-CN"/>
        </w:rPr>
      </w:pPr>
      <w:bookmarkStart w:id="36" w:name="_Toc13707"/>
      <w:bookmarkStart w:id="37" w:name="_Toc1218480988"/>
      <w:bookmarkStart w:id="38" w:name="_Toc20"/>
      <w:bookmarkStart w:id="39" w:name="_Toc22594"/>
      <w:bookmarkStart w:id="40" w:name="_Toc14896"/>
      <w:bookmarkStart w:id="41" w:name="_Toc16871"/>
      <w:r>
        <w:rPr>
          <w:rFonts w:hint="eastAsia" w:ascii="方正黑体简体" w:hAnsi="方正黑体简体" w:eastAsia="方正黑体简体" w:cs="方正黑体简体"/>
          <w:color w:val="000000"/>
          <w:kern w:val="0"/>
          <w:sz w:val="32"/>
          <w:szCs w:val="32"/>
          <w:highlight w:val="none"/>
          <w:shd w:val="clear" w:color="auto" w:fill="FFFFFF"/>
          <w:lang w:val="zh-CN"/>
        </w:rPr>
        <w:t>二、资金来源及使用情况</w:t>
      </w:r>
      <w:bookmarkEnd w:id="34"/>
      <w:bookmarkEnd w:id="35"/>
      <w:bookmarkEnd w:id="36"/>
      <w:bookmarkEnd w:id="37"/>
      <w:bookmarkEnd w:id="38"/>
      <w:bookmarkEnd w:id="39"/>
      <w:bookmarkEnd w:id="40"/>
      <w:bookmarkEnd w:id="41"/>
      <w:bookmarkStart w:id="42" w:name="_Toc2659"/>
      <w:bookmarkStart w:id="43" w:name="_Toc109483837"/>
    </w:p>
    <w:bookmarkEnd w:id="42"/>
    <w:bookmarkEnd w:id="43"/>
    <w:p w14:paraId="05137B55">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highlight w:val="none"/>
          <w:lang w:val="zh-CN"/>
        </w:rPr>
      </w:pPr>
      <w:bookmarkStart w:id="44" w:name="_Toc29180"/>
      <w:bookmarkStart w:id="45" w:name="_Toc2374"/>
      <w:bookmarkStart w:id="46" w:name="_Toc1949541301"/>
      <w:bookmarkStart w:id="47" w:name="_Toc15898"/>
      <w:bookmarkStart w:id="48" w:name="_Toc25866"/>
      <w:bookmarkStart w:id="49" w:name="_Toc21284"/>
      <w:r>
        <w:rPr>
          <w:rFonts w:hint="eastAsia" w:ascii="方正楷体简体" w:hAnsi="方正楷体简体" w:eastAsia="方正楷体简体" w:cs="方正楷体简体"/>
          <w:sz w:val="32"/>
          <w:szCs w:val="32"/>
          <w:highlight w:val="none"/>
          <w:lang w:val="zh-CN"/>
        </w:rPr>
        <w:t>（一）部门资金收入决算情况</w:t>
      </w:r>
      <w:bookmarkEnd w:id="44"/>
      <w:bookmarkEnd w:id="45"/>
      <w:bookmarkEnd w:id="46"/>
      <w:bookmarkEnd w:id="47"/>
      <w:bookmarkEnd w:id="48"/>
      <w:bookmarkEnd w:id="49"/>
      <w:bookmarkStart w:id="50" w:name="_Toc19132"/>
    </w:p>
    <w:bookmarkEnd w:id="50"/>
    <w:p w14:paraId="576F161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51" w:name="_Toc27073"/>
      <w:bookmarkStart w:id="52" w:name="_Toc109483838"/>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年泸定县退役军人事务局收入总计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601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元，其中：一般公共预算财政拨款收入</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601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万元，其他收入</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p>
    <w:p w14:paraId="5BAE47C4">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highlight w:val="none"/>
          <w:lang w:val="zh-CN"/>
        </w:rPr>
      </w:pPr>
      <w:bookmarkStart w:id="53" w:name="_Toc27782"/>
      <w:bookmarkStart w:id="54" w:name="_Toc19326"/>
      <w:bookmarkStart w:id="55" w:name="_Toc21171"/>
      <w:bookmarkStart w:id="56" w:name="_Toc17751"/>
      <w:bookmarkStart w:id="57" w:name="_Toc349786989"/>
      <w:bookmarkStart w:id="58" w:name="_Toc15694"/>
      <w:r>
        <w:rPr>
          <w:rFonts w:hint="eastAsia" w:ascii="方正楷体简体" w:hAnsi="方正楷体简体" w:eastAsia="方正楷体简体" w:cs="方正楷体简体"/>
          <w:sz w:val="32"/>
          <w:szCs w:val="32"/>
          <w:highlight w:val="none"/>
          <w:lang w:val="zh-CN"/>
        </w:rPr>
        <w:t>（二）部门资金支出决算情况</w:t>
      </w:r>
      <w:bookmarkEnd w:id="51"/>
      <w:bookmarkEnd w:id="52"/>
      <w:bookmarkEnd w:id="53"/>
      <w:bookmarkEnd w:id="54"/>
      <w:bookmarkEnd w:id="55"/>
      <w:bookmarkEnd w:id="56"/>
      <w:bookmarkEnd w:id="57"/>
      <w:bookmarkEnd w:id="58"/>
    </w:p>
    <w:p w14:paraId="48040FE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59" w:name="_Toc24721"/>
      <w:bookmarkStart w:id="60" w:name="_Toc10837"/>
      <w:bookmarkStart w:id="61" w:name="_Toc18390"/>
      <w:bookmarkStart w:id="62" w:name="_Toc1457008154"/>
      <w:bookmarkStart w:id="63" w:name="_Toc109483839"/>
      <w:bookmarkStart w:id="64" w:name="_Toc13841"/>
      <w:bookmarkStart w:id="65" w:name="_Toc809"/>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年泸定县退役军人事务局</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支出</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总计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597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02</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元，其中：基本支出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213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41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万元（人员经费</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196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19</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万元、日常公用经费</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17</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万元），项目支出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383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61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万元。年末结转结余资金</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p>
    <w:p w14:paraId="5EE2173C">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66" w:name="_Toc14253"/>
      <w:r>
        <w:rPr>
          <w:rFonts w:hint="eastAsia" w:ascii="方正黑体简体" w:hAnsi="方正黑体简体" w:eastAsia="方正黑体简体" w:cs="方正黑体简体"/>
          <w:color w:val="000000"/>
          <w:kern w:val="0"/>
          <w:sz w:val="32"/>
          <w:szCs w:val="32"/>
          <w:highlight w:val="none"/>
          <w:shd w:val="clear" w:color="auto" w:fill="FFFFFF"/>
        </w:rPr>
        <w:t>三、部门目标实现情况</w:t>
      </w:r>
      <w:bookmarkEnd w:id="59"/>
      <w:bookmarkEnd w:id="60"/>
      <w:bookmarkEnd w:id="61"/>
      <w:bookmarkEnd w:id="66"/>
    </w:p>
    <w:p w14:paraId="22A2333D">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highlight w:val="none"/>
          <w:lang w:val="zh-CN"/>
        </w:rPr>
      </w:pPr>
      <w:bookmarkStart w:id="67" w:name="_Toc3573"/>
      <w:bookmarkStart w:id="68" w:name="_Toc28011"/>
      <w:bookmarkStart w:id="69" w:name="_Toc1418"/>
      <w:bookmarkStart w:id="70" w:name="_Toc13611"/>
      <w:r>
        <w:rPr>
          <w:rFonts w:hint="eastAsia" w:ascii="方正楷体简体" w:hAnsi="方正楷体简体" w:eastAsia="方正楷体简体" w:cs="方正楷体简体"/>
          <w:sz w:val="32"/>
          <w:szCs w:val="32"/>
          <w:highlight w:val="none"/>
          <w:lang w:val="zh-CN"/>
        </w:rPr>
        <w:t>（一）总体目标</w:t>
      </w:r>
      <w:bookmarkEnd w:id="67"/>
      <w:bookmarkEnd w:id="68"/>
      <w:bookmarkEnd w:id="69"/>
      <w:bookmarkEnd w:id="70"/>
    </w:p>
    <w:p w14:paraId="439467DA">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lang w:val="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宣传贯彻落实退役军人思想政治、管理保障和安置优抚等工作政策法规，负责烈士及退役军人荣誉奖励、军人公墓管理维护、纪念活动等工作；负责军队转业干部、复员干部、离休退休干部、退役士兵和无军籍退休退职职工的接收安置工作和自主择业、就业退役军人服务管理工作；组织指导全县退役军人技能教育培训工作，协调扶持退役军人和随军随调家属就业创业；组织指导全县拥军优属工作，实施国家关于退役军人特殊保障的相关政策，制定并组织实施全县退役军人优抚保障政策；组织指导全县伤病残退役军人服务管理和抚恤工作，承担不适宜继续服役的伤病残军人相关服务工作；监督检查退役军人相关法律法规和政策措施的落实，组织开展退役军人权益维护和有关人员的帮扶援助工作。</w:t>
      </w:r>
    </w:p>
    <w:p w14:paraId="2F60F4FB">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highlight w:val="none"/>
          <w:lang w:val="zh-CN"/>
        </w:rPr>
      </w:pPr>
      <w:bookmarkStart w:id="71" w:name="_Toc11959"/>
      <w:bookmarkStart w:id="72" w:name="_Toc24652"/>
      <w:bookmarkStart w:id="73" w:name="_Toc29006"/>
      <w:bookmarkStart w:id="74" w:name="_Toc132"/>
      <w:r>
        <w:rPr>
          <w:rFonts w:hint="eastAsia" w:ascii="方正楷体简体" w:hAnsi="方正楷体简体" w:eastAsia="方正楷体简体" w:cs="方正楷体简体"/>
          <w:sz w:val="32"/>
          <w:szCs w:val="32"/>
          <w:highlight w:val="none"/>
          <w:lang w:val="zh-CN"/>
        </w:rPr>
        <w:t>（二）具体目标</w:t>
      </w:r>
      <w:bookmarkEnd w:id="71"/>
      <w:bookmarkEnd w:id="72"/>
      <w:bookmarkEnd w:id="73"/>
      <w:bookmarkEnd w:id="74"/>
    </w:p>
    <w:p w14:paraId="35A31268">
      <w:pPr>
        <w:keepNext w:val="0"/>
        <w:keepLines w:val="0"/>
        <w:pageBreakBefore w:val="0"/>
        <w:kinsoku/>
        <w:wordWrap/>
        <w:overflowPunct/>
        <w:topLinePunct w:val="0"/>
        <w:autoSpaceDE/>
        <w:autoSpaceDN/>
        <w:bidi w:val="0"/>
        <w:spacing w:line="600" w:lineRule="exact"/>
        <w:ind w:left="0" w:firstLine="602"/>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75" w:name="_Toc31124"/>
      <w:bookmarkStart w:id="76" w:name="_Toc626"/>
      <w:bookmarkStart w:id="77" w:name="_Toc22727"/>
      <w:bookmarkStart w:id="78" w:name="_Toc20594"/>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一是</w:t>
      </w:r>
      <w:bookmarkEnd w:id="75"/>
      <w:bookmarkEnd w:id="76"/>
      <w:bookmarkEnd w:id="77"/>
      <w:bookmarkEnd w:id="78"/>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严格落实优抚安置政策。落实军休干部职工的政治待遇、经济待遇和医疗补助、加强退役军人及优抚对象动态信息采集、重点优抚对象补定抚资金实现“一卡通”发放工作。</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二是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全面落实尊崇举措。结合常态化联系退役军人制度，扎实开展新兵入伍“四尊崇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、退役军人“五关爱”工作。</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三是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积极开展就业创业培训。组织有就业需求的退役军人参加“泸定县</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年春风行动暨就业援助月专场招聘会”</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采取多种方式广泛宣传“戎耀归蜀”专场招聘会、组织有用工需求的企业和就业需求的退役军人参加“戎耀归蜀”线上专场招聘会。</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四是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精心开展“七一”主题教育活动。认真组织开展“老兵心向党.天府铸戎光”主题宣传教育实践活动。号召退役军人志愿者和社会化拥军单位开展“我为老兵办实事”主题志愿服务活动等。</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五是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扎实推进双拥工作。围绕县委“</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12345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”总体工作思路，印发了双拥工作领导小组、办公室及成员单位职责和双拥创建工作任务分解表，进一步压实了双拥工作责任。</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六是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全面开展系列庆祝活动。通过组织开展“纪念延安双拥运动</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80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周年暨庆祝中国人民解放军建军</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96</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周年”等内容丰富的系列庆祝活动，继承和发扬拥军优属、拥政爱民的光荣传统，进一步巩固发展坚如磐石的军政军民团结关系。</w:t>
      </w:r>
    </w:p>
    <w:p w14:paraId="4C05F5B9">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79" w:name="_Toc28607"/>
      <w:bookmarkStart w:id="80" w:name="_Toc24081"/>
      <w:bookmarkStart w:id="81" w:name="_Toc17536"/>
      <w:bookmarkStart w:id="82" w:name="_Toc6491"/>
      <w:r>
        <w:rPr>
          <w:rFonts w:hint="eastAsia" w:ascii="方正黑体简体" w:hAnsi="方正黑体简体" w:eastAsia="方正黑体简体" w:cs="方正黑体简体"/>
          <w:color w:val="000000"/>
          <w:kern w:val="0"/>
          <w:sz w:val="32"/>
          <w:szCs w:val="32"/>
          <w:highlight w:val="none"/>
          <w:shd w:val="clear" w:color="auto" w:fill="FFFFFF"/>
        </w:rPr>
        <w:t>四、部门整体支出</w:t>
      </w:r>
      <w:r>
        <w:rPr>
          <w:rFonts w:hint="eastAsia" w:ascii="方正黑体简体" w:hAnsi="方正黑体简体" w:eastAsia="方正黑体简体" w:cs="方正黑体简体"/>
          <w:color w:val="000000"/>
          <w:kern w:val="0"/>
          <w:sz w:val="32"/>
          <w:szCs w:val="32"/>
          <w:highlight w:val="none"/>
          <w:shd w:val="clear" w:color="auto" w:fill="FFFFFF"/>
          <w:lang w:val="zh-CN"/>
        </w:rPr>
        <w:t>绩效评价</w:t>
      </w:r>
      <w:r>
        <w:rPr>
          <w:rFonts w:hint="eastAsia" w:ascii="方正黑体简体" w:hAnsi="方正黑体简体" w:eastAsia="方正黑体简体" w:cs="方正黑体简体"/>
          <w:color w:val="000000"/>
          <w:kern w:val="0"/>
          <w:sz w:val="32"/>
          <w:szCs w:val="32"/>
          <w:highlight w:val="none"/>
          <w:shd w:val="clear" w:color="auto" w:fill="FFFFFF"/>
        </w:rPr>
        <w:t>情况</w:t>
      </w:r>
      <w:bookmarkEnd w:id="62"/>
      <w:bookmarkEnd w:id="63"/>
      <w:bookmarkEnd w:id="64"/>
      <w:bookmarkEnd w:id="65"/>
      <w:bookmarkEnd w:id="79"/>
      <w:bookmarkEnd w:id="80"/>
      <w:bookmarkEnd w:id="81"/>
      <w:bookmarkEnd w:id="82"/>
    </w:p>
    <w:p w14:paraId="1BB0A129">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highlight w:val="none"/>
          <w:lang w:val="zh-CN"/>
        </w:rPr>
      </w:pPr>
      <w:bookmarkStart w:id="83" w:name="_Toc29571"/>
      <w:bookmarkStart w:id="84" w:name="_Toc10699"/>
      <w:bookmarkStart w:id="85" w:name="_Toc24977"/>
      <w:bookmarkStart w:id="86" w:name="_Toc11694"/>
      <w:bookmarkStart w:id="87" w:name="_Toc8903"/>
      <w:bookmarkStart w:id="88" w:name="_Toc428273082"/>
      <w:bookmarkStart w:id="89" w:name="_Toc4199"/>
      <w:bookmarkStart w:id="90" w:name="_Toc109483840"/>
      <w:bookmarkStart w:id="91" w:name="_Toc27305"/>
      <w:r>
        <w:rPr>
          <w:rFonts w:hint="eastAsia" w:ascii="方正楷体简体" w:hAnsi="方正楷体简体" w:eastAsia="方正楷体简体" w:cs="方正楷体简体"/>
          <w:sz w:val="32"/>
          <w:szCs w:val="32"/>
          <w:highlight w:val="none"/>
          <w:lang w:val="zh-CN"/>
        </w:rPr>
        <w:t>（一）绩效评价实施过程</w:t>
      </w:r>
      <w:bookmarkEnd w:id="83"/>
      <w:bookmarkEnd w:id="84"/>
      <w:bookmarkEnd w:id="85"/>
      <w:bookmarkEnd w:id="86"/>
    </w:p>
    <w:p w14:paraId="62236B66">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eastAsia" w:ascii="方正仿宋简体" w:hAnsi="方正仿宋简体" w:eastAsia="方正仿宋简体" w:cs="方正仿宋简体"/>
          <w:kern w:val="0"/>
          <w:sz w:val="32"/>
          <w:szCs w:val="32"/>
          <w:highlight w:val="none"/>
          <w:lang w:val="zh-CN" w:bidi="ar"/>
        </w:rPr>
        <w:t>评价小组按照评价日程安排，对</w:t>
      </w:r>
      <w:r>
        <w:rPr>
          <w:rFonts w:hint="eastAsia" w:ascii="方正仿宋简体" w:hAnsi="方正仿宋简体" w:eastAsia="方正仿宋简体" w:cs="方正仿宋简体"/>
          <w:kern w:val="0"/>
          <w:sz w:val="32"/>
          <w:szCs w:val="32"/>
          <w:highlight w:val="none"/>
          <w:lang w:eastAsia="zh" w:bidi="ar"/>
        </w:rPr>
        <w:t>泸定县退役军人事务局</w:t>
      </w:r>
      <w:r>
        <w:rPr>
          <w:rFonts w:hint="eastAsia" w:ascii="方正仿宋简体" w:hAnsi="方正仿宋简体" w:eastAsia="方正仿宋简体" w:cs="方正仿宋简体"/>
          <w:kern w:val="0"/>
          <w:sz w:val="32"/>
          <w:szCs w:val="32"/>
          <w:highlight w:val="none"/>
          <w:lang w:val="zh-CN" w:bidi="ar"/>
        </w:rPr>
        <w:t>提交的评价资料进行认真梳理，测算分析各项指标，汇总评分并形成评价报告。</w:t>
      </w:r>
    </w:p>
    <w:p w14:paraId="03DC092A">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1</w:t>
      </w:r>
      <w:r>
        <w:rPr>
          <w:rFonts w:hint="eastAsia" w:ascii="方正仿宋简体" w:hAnsi="方正仿宋简体" w:eastAsia="方正仿宋简体" w:cs="方正仿宋简体"/>
          <w:kern w:val="0"/>
          <w:sz w:val="32"/>
          <w:szCs w:val="32"/>
          <w:highlight w:val="none"/>
          <w:lang w:val="zh-CN" w:bidi="ar"/>
        </w:rPr>
        <w:t>.对相关资料进行研读，对整体评价有基本的把握和了解，归纳出进一步评价所需的信息供下一步取数参考。</w:t>
      </w:r>
    </w:p>
    <w:p w14:paraId="2B585352">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2</w:t>
      </w:r>
      <w:r>
        <w:rPr>
          <w:rFonts w:hint="eastAsia" w:ascii="方正仿宋简体" w:hAnsi="方正仿宋简体" w:eastAsia="方正仿宋简体" w:cs="方正仿宋简体"/>
          <w:kern w:val="0"/>
          <w:sz w:val="32"/>
          <w:szCs w:val="32"/>
          <w:highlight w:val="none"/>
          <w:lang w:val="zh-CN" w:bidi="ar"/>
        </w:rPr>
        <w:t>.集中对各个评价指标逐一进行分析，以保证取数的准确性。</w:t>
      </w:r>
    </w:p>
    <w:p w14:paraId="76813A11">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3</w:t>
      </w:r>
      <w:r>
        <w:rPr>
          <w:rFonts w:hint="eastAsia" w:ascii="方正仿宋简体" w:hAnsi="方正仿宋简体" w:eastAsia="方正仿宋简体" w:cs="方正仿宋简体"/>
          <w:kern w:val="0"/>
          <w:sz w:val="32"/>
          <w:szCs w:val="32"/>
          <w:highlight w:val="none"/>
          <w:lang w:val="zh-CN" w:bidi="ar"/>
        </w:rPr>
        <w:t>.评价小组汇总分析评价过程中发现的问题并对存在问题进行讨论，根据取得的数据分别计算各评价指标所得分数，形成评价结果。</w:t>
      </w:r>
    </w:p>
    <w:p w14:paraId="569D90BD">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4</w:t>
      </w:r>
      <w:r>
        <w:rPr>
          <w:rFonts w:hint="eastAsia" w:ascii="方正仿宋简体" w:hAnsi="方正仿宋简体" w:eastAsia="方正仿宋简体" w:cs="方正仿宋简体"/>
          <w:kern w:val="0"/>
          <w:sz w:val="32"/>
          <w:szCs w:val="32"/>
          <w:highlight w:val="none"/>
          <w:lang w:val="zh-CN" w:bidi="ar"/>
        </w:rPr>
        <w:t>.根据评价结果，撰写评价报告。</w:t>
      </w:r>
    </w:p>
    <w:p w14:paraId="75C69885">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5</w:t>
      </w:r>
      <w:r>
        <w:rPr>
          <w:rFonts w:hint="eastAsia" w:ascii="方正仿宋简体" w:hAnsi="方正仿宋简体" w:eastAsia="方正仿宋简体" w:cs="方正仿宋简体"/>
          <w:kern w:val="0"/>
          <w:sz w:val="32"/>
          <w:szCs w:val="32"/>
          <w:highlight w:val="none"/>
          <w:lang w:val="zh-CN" w:bidi="ar"/>
        </w:rPr>
        <w:t>.与绩效评价相关者沟通，完善并形成绩效评价报告终稿。</w:t>
      </w:r>
    </w:p>
    <w:p w14:paraId="5ED61BCD">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highlight w:val="none"/>
          <w:lang w:val="zh-CN"/>
        </w:rPr>
      </w:pPr>
      <w:bookmarkStart w:id="92" w:name="_Toc16416"/>
      <w:bookmarkStart w:id="93" w:name="_Toc23900"/>
      <w:bookmarkStart w:id="94" w:name="_Toc12729"/>
      <w:bookmarkStart w:id="95" w:name="_Toc30977"/>
      <w:r>
        <w:rPr>
          <w:rFonts w:hint="eastAsia" w:ascii="方正楷体简体" w:hAnsi="方正楷体简体" w:eastAsia="方正楷体简体" w:cs="方正楷体简体"/>
          <w:sz w:val="32"/>
          <w:szCs w:val="32"/>
          <w:highlight w:val="none"/>
          <w:lang w:val="zh-CN"/>
        </w:rPr>
        <w:t>（二）</w:t>
      </w:r>
      <w:bookmarkEnd w:id="87"/>
      <w:bookmarkEnd w:id="88"/>
      <w:r>
        <w:rPr>
          <w:rFonts w:hint="eastAsia" w:ascii="方正楷体简体" w:hAnsi="方正楷体简体" w:eastAsia="方正楷体简体" w:cs="方正楷体简体"/>
          <w:sz w:val="32"/>
          <w:szCs w:val="32"/>
          <w:highlight w:val="none"/>
          <w:lang w:val="zh-CN"/>
        </w:rPr>
        <w:t>评价结论</w:t>
      </w:r>
      <w:bookmarkEnd w:id="92"/>
      <w:bookmarkEnd w:id="93"/>
      <w:bookmarkEnd w:id="94"/>
      <w:bookmarkEnd w:id="95"/>
    </w:p>
    <w:bookmarkEnd w:id="89"/>
    <w:bookmarkEnd w:id="90"/>
    <w:bookmarkEnd w:id="91"/>
    <w:p w14:paraId="56F5807B">
      <w:pPr>
        <w:keepNext w:val="0"/>
        <w:keepLines w:val="0"/>
        <w:pageBreakBefore w:val="0"/>
        <w:widowControl/>
        <w:kinsoku/>
        <w:wordWrap/>
        <w:overflowPunct/>
        <w:topLinePunct w:val="0"/>
        <w:autoSpaceDE/>
        <w:autoSpaceDN/>
        <w:bidi w:val="0"/>
        <w:spacing w:line="600" w:lineRule="exact"/>
        <w:ind w:left="0" w:firstLine="560" w:firstLineChars="0"/>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2023</w:t>
      </w:r>
      <w:r>
        <w:rPr>
          <w:rFonts w:hint="eastAsia" w:ascii="方正仿宋简体" w:hAnsi="方正仿宋简体" w:eastAsia="方正仿宋简体" w:cs="方正仿宋简体"/>
          <w:kern w:val="0"/>
          <w:sz w:val="32"/>
          <w:szCs w:val="32"/>
          <w:highlight w:val="none"/>
          <w:lang w:val="zh-CN" w:bidi="ar"/>
        </w:rPr>
        <w:t>年，泸定县退役军人事务局根据单位职能职责和年度工作任务目标，认真贯彻落实习近平总书记重要论述精神和国家、省、州退役事务工作会议精神，围绕“让退役军人和其他优抚对象成为全社会尊重的人、让军人成为全社会尊崇的职业”的目标，全面推进退役军人事务领域治理体系和治理能力现代化，提升思想政治、权益维护、优抚褒扬等各项工作。</w:t>
      </w:r>
    </w:p>
    <w:p w14:paraId="234ED5F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bidi="ar"/>
        </w:rPr>
        <w:t>综上所述，</w:t>
      </w:r>
      <w:r>
        <w:rPr>
          <w:rFonts w:hint="eastAsia" w:ascii="方正仿宋简体" w:hAnsi="方正仿宋简体" w:eastAsia="方正仿宋简体" w:cs="方正仿宋简体"/>
          <w:kern w:val="0"/>
          <w:sz w:val="32"/>
          <w:szCs w:val="32"/>
          <w:highlight w:val="none"/>
          <w:lang w:eastAsia="zh" w:bidi="ar"/>
        </w:rPr>
        <w:t>泸定县退役军人事务局</w:t>
      </w:r>
      <w:r>
        <w:rPr>
          <w:rFonts w:hint="eastAsia" w:ascii="方正仿宋简体" w:hAnsi="方正仿宋简体" w:eastAsia="方正仿宋简体" w:cs="方正仿宋简体"/>
          <w:kern w:val="0"/>
          <w:sz w:val="32"/>
          <w:szCs w:val="32"/>
          <w:highlight w:val="none"/>
          <w:lang w:bidi="ar"/>
        </w:rPr>
        <w:t>在维持部门运转的基础上，完成了部门职责范围内的各项工作，部门履职情况较好。</w:t>
      </w:r>
    </w:p>
    <w:p w14:paraId="2272173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kern w:val="0"/>
          <w:sz w:val="32"/>
          <w:szCs w:val="32"/>
          <w:highlight w:val="none"/>
          <w:lang w:bidi="ar"/>
        </w:rPr>
        <w:t>按照设定的评价指标体系，通过对</w:t>
      </w:r>
      <w:r>
        <w:rPr>
          <w:rFonts w:hint="eastAsia" w:ascii="方正仿宋简体" w:hAnsi="方正仿宋简体" w:eastAsia="方正仿宋简体" w:cs="方正仿宋简体"/>
          <w:kern w:val="0"/>
          <w:sz w:val="32"/>
          <w:szCs w:val="32"/>
          <w:highlight w:val="none"/>
          <w:lang w:eastAsia="zh" w:bidi="ar"/>
        </w:rPr>
        <w:t>泸定县退役军人事务局</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bidi="ar"/>
        </w:rPr>
        <w:t>年度部门整体支出情况在预算编制、预算执行、完成结果、</w:t>
      </w:r>
      <w:r>
        <w:rPr>
          <w:rFonts w:hint="eastAsia" w:ascii="方正仿宋简体" w:hAnsi="方正仿宋简体" w:eastAsia="方正仿宋简体" w:cs="方正仿宋简体"/>
          <w:kern w:val="0"/>
          <w:sz w:val="32"/>
          <w:szCs w:val="32"/>
          <w:highlight w:val="none"/>
          <w:lang w:eastAsia="zh" w:bidi="ar"/>
        </w:rPr>
        <w:t>专项预算管理、</w:t>
      </w:r>
      <w:r>
        <w:rPr>
          <w:rFonts w:hint="eastAsia" w:ascii="方正仿宋简体" w:hAnsi="方正仿宋简体" w:eastAsia="方正仿宋简体" w:cs="方正仿宋简体"/>
          <w:kern w:val="0"/>
          <w:sz w:val="32"/>
          <w:szCs w:val="32"/>
          <w:highlight w:val="none"/>
          <w:lang w:bidi="ar"/>
        </w:rPr>
        <w:t>信息公开、整改反馈、自评质量方面进行综合评价，</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bidi="ar"/>
        </w:rPr>
        <w:t>年度</w:t>
      </w:r>
      <w:r>
        <w:rPr>
          <w:rFonts w:hint="eastAsia" w:ascii="方正仿宋简体" w:hAnsi="方正仿宋简体" w:eastAsia="方正仿宋简体" w:cs="方正仿宋简体"/>
          <w:kern w:val="0"/>
          <w:sz w:val="32"/>
          <w:szCs w:val="32"/>
          <w:highlight w:val="none"/>
          <w:lang w:eastAsia="zh" w:bidi="ar"/>
        </w:rPr>
        <w:t>泸定县退役军人事务局</w:t>
      </w:r>
      <w:r>
        <w:rPr>
          <w:rFonts w:hint="eastAsia" w:ascii="方正仿宋简体" w:hAnsi="方正仿宋简体" w:eastAsia="方正仿宋简体" w:cs="方正仿宋简体"/>
          <w:kern w:val="0"/>
          <w:sz w:val="32"/>
          <w:szCs w:val="32"/>
          <w:highlight w:val="none"/>
          <w:lang w:bidi="ar"/>
        </w:rPr>
        <w:t>部门整体支出</w:t>
      </w:r>
      <w:r>
        <w:rPr>
          <w:rFonts w:hint="eastAsia" w:ascii="方正仿宋简体" w:hAnsi="方正仿宋简体" w:eastAsia="方正仿宋简体" w:cs="方正仿宋简体"/>
          <w:sz w:val="32"/>
          <w:szCs w:val="32"/>
          <w:highlight w:val="none"/>
        </w:rPr>
        <w:t>绩效评价指标分</w:t>
      </w: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w:t>
      </w:r>
      <w:r>
        <w:rPr>
          <w:rFonts w:hint="default" w:ascii="Times New Roman" w:hAnsi="Times New Roman" w:eastAsia="方正仿宋简体" w:cs="Times New Roman"/>
          <w:sz w:val="32"/>
          <w:szCs w:val="32"/>
          <w:highlight w:val="none"/>
        </w:rPr>
        <w:t>83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分。详见下表：</w:t>
      </w:r>
    </w:p>
    <w:p w14:paraId="0DF0F684">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
        </w:rPr>
        <w:t>泸定县退役军人事务局</w:t>
      </w:r>
      <w:r>
        <w:rPr>
          <w:rFonts w:hint="default" w:ascii="Times New Roman" w:hAnsi="Times New Roman" w:eastAsia="方正仿宋简体" w:cs="Times New Roman"/>
          <w:sz w:val="32"/>
          <w:szCs w:val="32"/>
          <w:highlight w:val="none"/>
          <w:lang w:eastAsia="zh"/>
        </w:rPr>
        <w:t>2023</w:t>
      </w:r>
      <w:r>
        <w:rPr>
          <w:rFonts w:hint="eastAsia" w:ascii="方正仿宋简体" w:hAnsi="方正仿宋简体" w:eastAsia="方正仿宋简体" w:cs="方正仿宋简体"/>
          <w:sz w:val="32"/>
          <w:szCs w:val="32"/>
          <w:highlight w:val="none"/>
        </w:rPr>
        <w:t>年部门整体支出绩效评价评分表</w:t>
      </w:r>
    </w:p>
    <w:tbl>
      <w:tblPr>
        <w:tblStyle w:val="18"/>
        <w:tblW w:w="8300" w:type="dxa"/>
        <w:jc w:val="center"/>
        <w:tblLayout w:type="fixed"/>
        <w:tblCellMar>
          <w:top w:w="0" w:type="dxa"/>
          <w:left w:w="108" w:type="dxa"/>
          <w:bottom w:w="0" w:type="dxa"/>
          <w:right w:w="108" w:type="dxa"/>
        </w:tblCellMar>
      </w:tblPr>
      <w:tblGrid>
        <w:gridCol w:w="1321"/>
        <w:gridCol w:w="1"/>
        <w:gridCol w:w="1393"/>
        <w:gridCol w:w="1"/>
        <w:gridCol w:w="1839"/>
        <w:gridCol w:w="2"/>
        <w:gridCol w:w="1221"/>
        <w:gridCol w:w="2"/>
        <w:gridCol w:w="1181"/>
        <w:gridCol w:w="3"/>
        <w:gridCol w:w="1323"/>
        <w:gridCol w:w="13"/>
      </w:tblGrid>
      <w:tr w14:paraId="2AD975F2">
        <w:tblPrEx>
          <w:tblCellMar>
            <w:top w:w="0" w:type="dxa"/>
            <w:left w:w="108" w:type="dxa"/>
            <w:bottom w:w="0" w:type="dxa"/>
            <w:right w:w="108" w:type="dxa"/>
          </w:tblCellMar>
        </w:tblPrEx>
        <w:trPr>
          <w:gridAfter w:val="1"/>
          <w:wAfter w:w="6" w:type="pct"/>
          <w:trHeight w:val="680" w:hRule="atLeast"/>
          <w:jc w:val="center"/>
        </w:trPr>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DEA8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一级指标</w:t>
            </w:r>
          </w:p>
        </w:tc>
        <w:tc>
          <w:tcPr>
            <w:tcW w:w="84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A852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w:t>
            </w: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2C97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三级指标</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9798B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分值</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AB76B">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扣分</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B3EEB">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得分</w:t>
            </w:r>
          </w:p>
        </w:tc>
      </w:tr>
      <w:tr w14:paraId="1B86220F">
        <w:tblPrEx>
          <w:tblCellMar>
            <w:top w:w="0" w:type="dxa"/>
            <w:left w:w="108" w:type="dxa"/>
            <w:bottom w:w="0" w:type="dxa"/>
            <w:right w:w="108" w:type="dxa"/>
          </w:tblCellMar>
        </w:tblPrEx>
        <w:trPr>
          <w:gridAfter w:val="1"/>
          <w:wAfter w:w="6" w:type="pct"/>
          <w:trHeight w:val="680" w:hRule="atLeast"/>
          <w:jc w:val="center"/>
        </w:trPr>
        <w:tc>
          <w:tcPr>
            <w:tcW w:w="7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8E7DB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部门预算管理（</w:t>
            </w:r>
            <w:r>
              <w:rPr>
                <w:rFonts w:hint="default" w:ascii="Times New Roman" w:hAnsi="Times New Roman" w:eastAsia="方正仿宋简体" w:cs="Times New Roman"/>
                <w:kern w:val="0"/>
                <w:sz w:val="32"/>
                <w:szCs w:val="32"/>
                <w:highlight w:val="none"/>
                <w:lang w:eastAsia="zh"/>
              </w:rPr>
              <w:t>6</w:t>
            </w: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分）</w:t>
            </w:r>
          </w:p>
        </w:tc>
        <w:tc>
          <w:tcPr>
            <w:tcW w:w="84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797CD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预算编制</w:t>
            </w:r>
          </w:p>
          <w:p w14:paraId="1BB645B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lang w:eastAsia="zh"/>
              </w:rPr>
              <w:t>24</w:t>
            </w:r>
            <w:r>
              <w:rPr>
                <w:rFonts w:hint="eastAsia" w:ascii="方正仿宋简体" w:hAnsi="方正仿宋简体" w:eastAsia="方正仿宋简体" w:cs="方正仿宋简体"/>
                <w:kern w:val="0"/>
                <w:sz w:val="32"/>
                <w:szCs w:val="32"/>
                <w:highlight w:val="none"/>
              </w:rPr>
              <w:t>分）</w:t>
            </w: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9CD3D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目标制定</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6F96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BB82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42C5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 xml:space="preserve"> </w:t>
            </w:r>
            <w:r>
              <w:rPr>
                <w:rFonts w:hint="default" w:ascii="Times New Roman" w:hAnsi="Times New Roman" w:eastAsia="方正仿宋简体" w:cs="Times New Roman"/>
                <w:kern w:val="0"/>
                <w:sz w:val="32"/>
                <w:szCs w:val="32"/>
                <w:highlight w:val="none"/>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104F3066">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5571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BE02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542D15">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目标实现</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27FC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DE15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BC3B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eastAsia" w:ascii="方正仿宋简体" w:hAnsi="方正仿宋简体" w:eastAsia="方正仿宋简体" w:cs="方正仿宋简体"/>
                <w:kern w:val="0"/>
                <w:sz w:val="32"/>
                <w:szCs w:val="32"/>
                <w:highlight w:val="none"/>
                <w:lang w:eastAsia="zh"/>
              </w:rPr>
              <w:t xml:space="preserve"> </w:t>
            </w: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00</w:t>
            </w:r>
            <w:r>
              <w:rPr>
                <w:rFonts w:hint="eastAsia" w:ascii="方正仿宋简体" w:hAnsi="方正仿宋简体" w:eastAsia="方正仿宋简体" w:cs="方正仿宋简体"/>
                <w:kern w:val="0"/>
                <w:sz w:val="32"/>
                <w:szCs w:val="32"/>
                <w:highlight w:val="none"/>
                <w:lang w:eastAsia="zh"/>
              </w:rPr>
              <w:t xml:space="preserve"> </w:t>
            </w:r>
          </w:p>
        </w:tc>
      </w:tr>
      <w:tr w14:paraId="6C929837">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07D77">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A11D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EBA6F1">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编制准确</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0681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5C34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00</w:t>
            </w:r>
            <w:r>
              <w:rPr>
                <w:rFonts w:hint="eastAsia" w:ascii="方正仿宋简体" w:hAnsi="方正仿宋简体" w:eastAsia="方正仿宋简体" w:cs="方正仿宋简体"/>
                <w:kern w:val="0"/>
                <w:sz w:val="32"/>
                <w:szCs w:val="32"/>
                <w:highlight w:val="none"/>
                <w:lang w:eastAsia="zh"/>
              </w:rPr>
              <w:t xml:space="preserve"> </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11F8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r>
      <w:tr w14:paraId="4A51F7CA">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655A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4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132F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预算执行</w:t>
            </w:r>
          </w:p>
          <w:p w14:paraId="12BC661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eastAsia="zh"/>
              </w:rPr>
              <w:t>2</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A5B468">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支出控制</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6E62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6</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74C7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3</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E42B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3</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00</w:t>
            </w:r>
          </w:p>
        </w:tc>
      </w:tr>
      <w:tr w14:paraId="3A894E76">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BD8A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3311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F48EC">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动态调整</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D727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CBB8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0</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35</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43A9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7</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65</w:t>
            </w:r>
          </w:p>
        </w:tc>
      </w:tr>
      <w:tr w14:paraId="49FF9A4C">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3CBE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217E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5B376E">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执行进度</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A5A3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6</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4D55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0</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18</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84158">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5</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82</w:t>
            </w:r>
          </w:p>
        </w:tc>
      </w:tr>
      <w:tr w14:paraId="672B81F4">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F25F8">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4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080D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完成结果</w:t>
            </w:r>
          </w:p>
          <w:p w14:paraId="2B8BD21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eastAsia="zh"/>
              </w:rPr>
              <w:t>16</w:t>
            </w:r>
            <w:r>
              <w:rPr>
                <w:rFonts w:hint="eastAsia" w:ascii="方正仿宋简体" w:hAnsi="方正仿宋简体" w:eastAsia="方正仿宋简体" w:cs="方正仿宋简体"/>
                <w:sz w:val="32"/>
                <w:szCs w:val="32"/>
                <w:highlight w:val="none"/>
                <w:lang w:eastAsia="zh"/>
              </w:rPr>
              <w:t>分</w:t>
            </w:r>
            <w:r>
              <w:rPr>
                <w:rFonts w:hint="eastAsia" w:ascii="方正仿宋简体" w:hAnsi="方正仿宋简体" w:eastAsia="方正仿宋简体" w:cs="方正仿宋简体"/>
                <w:sz w:val="32"/>
                <w:szCs w:val="32"/>
                <w:highlight w:val="none"/>
              </w:rPr>
              <w:t>）</w:t>
            </w: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0753E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预算完成</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9E04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E52E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CN"/>
              </w:rPr>
            </w:pPr>
            <w:r>
              <w:rPr>
                <w:rFonts w:hint="default" w:ascii="Times New Roman" w:hAnsi="Times New Roman" w:eastAsia="方正仿宋简体" w:cs="Times New Roman"/>
                <w:kern w:val="0"/>
                <w:sz w:val="32"/>
                <w:szCs w:val="32"/>
                <w:highlight w:val="none"/>
                <w:lang w:eastAsia="zh"/>
              </w:rPr>
              <w:t>0</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0</w:t>
            </w:r>
            <w:r>
              <w:rPr>
                <w:rFonts w:hint="default" w:ascii="Times New Roman" w:hAnsi="Times New Roman" w:eastAsia="方正仿宋简体" w:cs="Times New Roman"/>
                <w:kern w:val="0"/>
                <w:sz w:val="32"/>
                <w:szCs w:val="32"/>
                <w:highlight w:val="none"/>
                <w:lang w:val="en-US" w:eastAsia="zh-CN"/>
              </w:rPr>
              <w:t>5</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EF72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CN"/>
              </w:rPr>
            </w:pPr>
            <w:r>
              <w:rPr>
                <w:rFonts w:hint="default" w:ascii="Times New Roman" w:hAnsi="Times New Roman" w:eastAsia="方正仿宋简体" w:cs="Times New Roman"/>
                <w:kern w:val="0"/>
                <w:sz w:val="32"/>
                <w:szCs w:val="32"/>
                <w:highlight w:val="none"/>
                <w:lang w:eastAsia="zh"/>
              </w:rPr>
              <w:t>7</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9</w:t>
            </w:r>
            <w:r>
              <w:rPr>
                <w:rFonts w:hint="default" w:ascii="Times New Roman" w:hAnsi="Times New Roman" w:eastAsia="方正仿宋简体" w:cs="Times New Roman"/>
                <w:kern w:val="0"/>
                <w:sz w:val="32"/>
                <w:szCs w:val="32"/>
                <w:highlight w:val="none"/>
                <w:lang w:val="en-US" w:eastAsia="zh-CN"/>
              </w:rPr>
              <w:t>5</w:t>
            </w:r>
          </w:p>
        </w:tc>
      </w:tr>
      <w:tr w14:paraId="0E22C0CC">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B256D1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70A6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B82090">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违规记录</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5FECA">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C7A5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EA8E8">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00</w:t>
            </w:r>
            <w:r>
              <w:rPr>
                <w:rFonts w:hint="eastAsia" w:ascii="方正仿宋简体" w:hAnsi="方正仿宋简体" w:eastAsia="方正仿宋简体" w:cs="方正仿宋简体"/>
                <w:kern w:val="0"/>
                <w:sz w:val="32"/>
                <w:szCs w:val="32"/>
                <w:highlight w:val="none"/>
                <w:lang w:eastAsia="zh"/>
              </w:rPr>
              <w:t xml:space="preserve"> </w:t>
            </w:r>
          </w:p>
        </w:tc>
      </w:tr>
      <w:tr w14:paraId="752C5415">
        <w:tblPrEx>
          <w:tblCellMar>
            <w:top w:w="0" w:type="dxa"/>
            <w:left w:w="108" w:type="dxa"/>
            <w:bottom w:w="0" w:type="dxa"/>
            <w:right w:w="108" w:type="dxa"/>
          </w:tblCellMar>
        </w:tblPrEx>
        <w:trPr>
          <w:gridAfter w:val="1"/>
          <w:wAfter w:w="6" w:type="pct"/>
          <w:trHeight w:val="680" w:hRule="atLeast"/>
          <w:jc w:val="center"/>
        </w:trPr>
        <w:tc>
          <w:tcPr>
            <w:tcW w:w="796" w:type="pct"/>
            <w:vMerge w:val="restart"/>
            <w:tcBorders>
              <w:top w:val="single" w:color="000000" w:sz="4" w:space="0"/>
              <w:left w:val="single" w:color="000000" w:sz="4" w:space="0"/>
              <w:right w:val="single" w:color="000000" w:sz="4" w:space="0"/>
            </w:tcBorders>
            <w:shd w:val="clear" w:color="auto" w:fill="auto"/>
            <w:vAlign w:val="center"/>
          </w:tcPr>
          <w:p w14:paraId="5F0B1E3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lang w:eastAsia="zh"/>
              </w:rPr>
            </w:pPr>
            <w:r>
              <w:rPr>
                <w:rFonts w:hint="eastAsia" w:ascii="方正仿宋简体" w:hAnsi="方正仿宋简体" w:eastAsia="方正仿宋简体" w:cs="方正仿宋简体"/>
                <w:sz w:val="32"/>
                <w:szCs w:val="32"/>
                <w:highlight w:val="none"/>
                <w:lang w:eastAsia="zh"/>
              </w:rPr>
              <w:t>专项预算管理</w:t>
            </w:r>
          </w:p>
          <w:p w14:paraId="2E3B77D0">
            <w:pPr>
              <w:pStyle w:val="36"/>
              <w:keepNext w:val="0"/>
              <w:keepLines w:val="0"/>
              <w:pageBreakBefore w:val="0"/>
              <w:kinsoku/>
              <w:wordWrap/>
              <w:overflowPunct/>
              <w:topLinePunct w:val="0"/>
              <w:autoSpaceDE/>
              <w:autoSpaceDN/>
              <w:bidi w:val="0"/>
              <w:spacing w:line="600" w:lineRule="exact"/>
              <w:ind w:left="0" w:firstLine="0" w:firstLineChars="0"/>
              <w:rPr>
                <w:rFonts w:hint="eastAsia" w:ascii="方正仿宋简体" w:hAnsi="方正仿宋简体" w:eastAsia="方正仿宋简体" w:cs="方正仿宋简体"/>
                <w:sz w:val="32"/>
                <w:szCs w:val="32"/>
                <w:highlight w:val="none"/>
                <w:lang w:eastAsia="zh"/>
              </w:rPr>
            </w:pPr>
            <w:r>
              <w:rPr>
                <w:rFonts w:hint="eastAsia" w:ascii="Times New Roman" w:hAnsi="Times New Roman" w:eastAsia="方正仿宋简体" w:cs="Times New Roman"/>
                <w:sz w:val="32"/>
                <w:szCs w:val="32"/>
                <w:highlight w:val="none"/>
                <w:lang w:eastAsia="zh-CN"/>
              </w:rPr>
              <w:t>（</w:t>
            </w:r>
            <w:r>
              <w:rPr>
                <w:rFonts w:hint="default" w:ascii="Times New Roman" w:hAnsi="Times New Roman" w:eastAsia="方正仿宋简体" w:cs="Times New Roman"/>
                <w:sz w:val="32"/>
                <w:szCs w:val="32"/>
                <w:highlight w:val="none"/>
                <w:lang w:eastAsia="zh"/>
              </w:rPr>
              <w:t>20</w:t>
            </w:r>
            <w:r>
              <w:rPr>
                <w:rFonts w:hint="eastAsia" w:ascii="方正仿宋简体" w:hAnsi="方正仿宋简体" w:eastAsia="方正仿宋简体" w:cs="方正仿宋简体"/>
                <w:sz w:val="32"/>
                <w:szCs w:val="32"/>
                <w:highlight w:val="none"/>
                <w:lang w:eastAsia="zh"/>
              </w:rPr>
              <w:t>分）</w:t>
            </w:r>
          </w:p>
        </w:tc>
        <w:tc>
          <w:tcPr>
            <w:tcW w:w="840" w:type="pct"/>
            <w:gridSpan w:val="2"/>
            <w:vMerge w:val="restart"/>
            <w:tcBorders>
              <w:top w:val="single" w:color="000000" w:sz="4" w:space="0"/>
              <w:left w:val="single" w:color="000000" w:sz="4" w:space="0"/>
              <w:right w:val="single" w:color="000000" w:sz="4" w:space="0"/>
            </w:tcBorders>
            <w:shd w:val="clear" w:color="auto" w:fill="auto"/>
            <w:noWrap/>
            <w:vAlign w:val="center"/>
          </w:tcPr>
          <w:p w14:paraId="3A70320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项目自评报告编制（</w:t>
            </w:r>
            <w:r>
              <w:rPr>
                <w:rFonts w:hint="default" w:ascii="Times New Roman" w:hAnsi="Times New Roman" w:eastAsia="方正仿宋简体" w:cs="Times New Roman"/>
                <w:sz w:val="32"/>
                <w:szCs w:val="32"/>
                <w:highlight w:val="none"/>
              </w:rPr>
              <w:t>20</w:t>
            </w:r>
            <w:r>
              <w:rPr>
                <w:rFonts w:hint="eastAsia" w:ascii="方正仿宋简体" w:hAnsi="方正仿宋简体" w:eastAsia="方正仿宋简体" w:cs="方正仿宋简体"/>
                <w:sz w:val="32"/>
                <w:szCs w:val="32"/>
                <w:highlight w:val="none"/>
              </w:rPr>
              <w:t>分）</w:t>
            </w: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3B99EB">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项目自评报告编制完整性</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CBDB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7CEC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3ACE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10</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00</w:t>
            </w:r>
          </w:p>
        </w:tc>
      </w:tr>
      <w:tr w14:paraId="70F5F5F2">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left w:val="single" w:color="000000" w:sz="4" w:space="0"/>
              <w:bottom w:val="single" w:color="auto" w:sz="4" w:space="0"/>
              <w:right w:val="single" w:color="000000" w:sz="4" w:space="0"/>
            </w:tcBorders>
            <w:shd w:val="clear" w:color="auto" w:fill="auto"/>
            <w:vAlign w:val="center"/>
          </w:tcPr>
          <w:p w14:paraId="69BA1F4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lang w:eastAsia="zh"/>
              </w:rPr>
            </w:pPr>
          </w:p>
        </w:tc>
        <w:tc>
          <w:tcPr>
            <w:tcW w:w="840" w:type="pct"/>
            <w:gridSpan w:val="2"/>
            <w:vMerge w:val="continue"/>
            <w:tcBorders>
              <w:left w:val="single" w:color="000000" w:sz="4" w:space="0"/>
              <w:bottom w:val="single" w:color="000000" w:sz="4" w:space="0"/>
              <w:right w:val="single" w:color="000000" w:sz="4" w:space="0"/>
            </w:tcBorders>
            <w:shd w:val="clear" w:color="auto" w:fill="auto"/>
            <w:noWrap/>
            <w:vAlign w:val="center"/>
          </w:tcPr>
          <w:p w14:paraId="244F3A6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7FE65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项目自评报告编制质量</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58E6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rPr>
              <w:t>1</w:t>
            </w:r>
            <w:r>
              <w:rPr>
                <w:rFonts w:hint="default" w:ascii="Times New Roman" w:hAnsi="Times New Roman" w:eastAsia="方正仿宋简体" w:cs="Times New Roman"/>
                <w:kern w:val="0"/>
                <w:sz w:val="32"/>
                <w:szCs w:val="32"/>
                <w:highlight w:val="none"/>
                <w:lang w:eastAsia="zh"/>
              </w:rPr>
              <w:t>0</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00</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4A84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7D79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1</w:t>
            </w: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00</w:t>
            </w:r>
            <w:r>
              <w:rPr>
                <w:rFonts w:hint="eastAsia" w:ascii="方正仿宋简体" w:hAnsi="方正仿宋简体" w:eastAsia="方正仿宋简体" w:cs="方正仿宋简体"/>
                <w:kern w:val="0"/>
                <w:sz w:val="32"/>
                <w:szCs w:val="32"/>
                <w:highlight w:val="none"/>
                <w:lang w:eastAsia="zh"/>
              </w:rPr>
              <w:t xml:space="preserve"> </w:t>
            </w:r>
          </w:p>
        </w:tc>
      </w:tr>
      <w:tr w14:paraId="22618ACE">
        <w:tblPrEx>
          <w:tblCellMar>
            <w:top w:w="0" w:type="dxa"/>
            <w:left w:w="108" w:type="dxa"/>
            <w:bottom w:w="0" w:type="dxa"/>
            <w:right w:w="108" w:type="dxa"/>
          </w:tblCellMar>
        </w:tblPrEx>
        <w:trPr>
          <w:gridAfter w:val="1"/>
          <w:wAfter w:w="6" w:type="pct"/>
          <w:trHeight w:val="680" w:hRule="atLeast"/>
          <w:jc w:val="center"/>
        </w:trPr>
        <w:tc>
          <w:tcPr>
            <w:tcW w:w="79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E9330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绩效结果应用（</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840"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B58A0E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信息公开</w:t>
            </w:r>
          </w:p>
          <w:p w14:paraId="7221078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2</w:t>
            </w:r>
            <w:r>
              <w:rPr>
                <w:rFonts w:hint="eastAsia" w:ascii="方正仿宋简体" w:hAnsi="方正仿宋简体" w:eastAsia="方正仿宋简体" w:cs="方正仿宋简体"/>
                <w:kern w:val="0"/>
                <w:sz w:val="32"/>
                <w:szCs w:val="32"/>
                <w:highlight w:val="none"/>
              </w:rPr>
              <w:t>分）</w:t>
            </w:r>
          </w:p>
        </w:tc>
        <w:tc>
          <w:tcPr>
            <w:tcW w:w="110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2A581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自评公开</w:t>
            </w:r>
          </w:p>
        </w:tc>
        <w:tc>
          <w:tcPr>
            <w:tcW w:w="737" w:type="pct"/>
            <w:gridSpan w:val="2"/>
            <w:tcBorders>
              <w:top w:val="single" w:color="000000" w:sz="4" w:space="0"/>
              <w:left w:val="single" w:color="auto" w:sz="4" w:space="0"/>
              <w:bottom w:val="single" w:color="000000" w:sz="4" w:space="0"/>
              <w:right w:val="single" w:color="000000" w:sz="4" w:space="0"/>
            </w:tcBorders>
            <w:shd w:val="clear" w:color="auto" w:fill="auto"/>
            <w:noWrap/>
            <w:vAlign w:val="center"/>
          </w:tcPr>
          <w:p w14:paraId="0B82AEB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2</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68C0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6128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2</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00</w:t>
            </w:r>
          </w:p>
        </w:tc>
      </w:tr>
      <w:tr w14:paraId="4FE53B67">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16B88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40" w:type="pct"/>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9B12B7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整改反馈</w:t>
            </w:r>
          </w:p>
          <w:p w14:paraId="4CDE5990">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分）</w:t>
            </w:r>
          </w:p>
        </w:tc>
        <w:tc>
          <w:tcPr>
            <w:tcW w:w="110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1ECC85">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结果整改</w:t>
            </w:r>
          </w:p>
        </w:tc>
        <w:tc>
          <w:tcPr>
            <w:tcW w:w="737" w:type="pct"/>
            <w:gridSpan w:val="2"/>
            <w:tcBorders>
              <w:top w:val="single" w:color="000000" w:sz="4" w:space="0"/>
              <w:left w:val="single" w:color="auto" w:sz="4" w:space="0"/>
              <w:bottom w:val="single" w:color="000000" w:sz="4" w:space="0"/>
              <w:right w:val="single" w:color="000000" w:sz="4" w:space="0"/>
            </w:tcBorders>
            <w:shd w:val="clear" w:color="auto" w:fill="auto"/>
            <w:noWrap/>
            <w:vAlign w:val="center"/>
          </w:tcPr>
          <w:p w14:paraId="7D98D0A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4</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A45D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5ACDB">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3</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p>
        </w:tc>
      </w:tr>
      <w:tr w14:paraId="713E3D3D">
        <w:tblPrEx>
          <w:tblCellMar>
            <w:top w:w="0" w:type="dxa"/>
            <w:left w:w="108" w:type="dxa"/>
            <w:bottom w:w="0" w:type="dxa"/>
            <w:right w:w="108" w:type="dxa"/>
          </w:tblCellMar>
        </w:tblPrEx>
        <w:trPr>
          <w:gridAfter w:val="1"/>
          <w:wAfter w:w="6" w:type="pct"/>
          <w:trHeight w:val="680" w:hRule="atLeast"/>
          <w:jc w:val="center"/>
        </w:trPr>
        <w:tc>
          <w:tcPr>
            <w:tcW w:w="79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24C33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40" w:type="pct"/>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5613AC5">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0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1856BC">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应用反馈</w:t>
            </w:r>
          </w:p>
        </w:tc>
        <w:tc>
          <w:tcPr>
            <w:tcW w:w="737" w:type="pct"/>
            <w:gridSpan w:val="2"/>
            <w:tcBorders>
              <w:top w:val="single" w:color="000000" w:sz="4" w:space="0"/>
              <w:left w:val="single" w:color="auto" w:sz="4" w:space="0"/>
              <w:bottom w:val="single" w:color="000000" w:sz="4" w:space="0"/>
              <w:right w:val="single" w:color="000000" w:sz="4" w:space="0"/>
            </w:tcBorders>
            <w:shd w:val="clear" w:color="auto" w:fill="auto"/>
            <w:noWrap/>
            <w:vAlign w:val="center"/>
          </w:tcPr>
          <w:p w14:paraId="26C4227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4</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C1E7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92A7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4</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p>
        </w:tc>
      </w:tr>
      <w:tr w14:paraId="6C262FAE">
        <w:tblPrEx>
          <w:tblCellMar>
            <w:top w:w="0" w:type="dxa"/>
            <w:left w:w="108" w:type="dxa"/>
            <w:bottom w:w="0" w:type="dxa"/>
            <w:right w:w="108" w:type="dxa"/>
          </w:tblCellMar>
        </w:tblPrEx>
        <w:trPr>
          <w:trHeight w:val="680" w:hRule="atLeast"/>
          <w:jc w:val="center"/>
        </w:trPr>
        <w:tc>
          <w:tcPr>
            <w:tcW w:w="79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BC04797">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自评质量</w:t>
            </w:r>
          </w:p>
          <w:p w14:paraId="1A87649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840" w:type="pct"/>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14:paraId="5729DA21">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自评质量</w:t>
            </w:r>
          </w:p>
          <w:p w14:paraId="7BA1FA7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1109" w:type="pct"/>
            <w:gridSpan w:val="2"/>
            <w:tcBorders>
              <w:top w:val="single" w:color="auto" w:sz="4" w:space="0"/>
              <w:left w:val="nil"/>
              <w:bottom w:val="single" w:color="000000" w:sz="4" w:space="0"/>
              <w:right w:val="single" w:color="000000" w:sz="4" w:space="0"/>
            </w:tcBorders>
            <w:shd w:val="clear" w:color="auto" w:fill="auto"/>
            <w:vAlign w:val="center"/>
          </w:tcPr>
          <w:p w14:paraId="10122583">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自评准确</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5BF5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9977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4</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5631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6</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p>
        </w:tc>
      </w:tr>
      <w:tr w14:paraId="4F873397">
        <w:tblPrEx>
          <w:tblCellMar>
            <w:top w:w="0" w:type="dxa"/>
            <w:left w:w="108" w:type="dxa"/>
            <w:bottom w:w="0" w:type="dxa"/>
            <w:right w:w="108" w:type="dxa"/>
          </w:tblCellMar>
        </w:tblPrEx>
        <w:trPr>
          <w:trHeight w:val="680" w:hRule="atLeast"/>
          <w:jc w:val="center"/>
        </w:trPr>
        <w:tc>
          <w:tcPr>
            <w:tcW w:w="2745"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0225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合计</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3493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D81D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CN"/>
              </w:rPr>
            </w:pPr>
            <w:r>
              <w:rPr>
                <w:rFonts w:hint="default" w:ascii="Times New Roman" w:hAnsi="Times New Roman" w:eastAsia="方正仿宋简体" w:cs="Times New Roman"/>
                <w:kern w:val="0"/>
                <w:sz w:val="32"/>
                <w:szCs w:val="32"/>
                <w:highlight w:val="none"/>
              </w:rPr>
              <w:t>16</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5</w:t>
            </w:r>
            <w:r>
              <w:rPr>
                <w:rFonts w:hint="default" w:ascii="Times New Roman" w:hAnsi="Times New Roman" w:eastAsia="方正仿宋简体" w:cs="Times New Roman"/>
                <w:kern w:val="0"/>
                <w:sz w:val="32"/>
                <w:szCs w:val="32"/>
                <w:highlight w:val="none"/>
                <w:lang w:val="en-US" w:eastAsia="zh-CN"/>
              </w:rPr>
              <w:t>8</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C4A9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CN"/>
              </w:rPr>
            </w:pPr>
            <w:r>
              <w:rPr>
                <w:rFonts w:hint="default" w:ascii="Times New Roman" w:hAnsi="Times New Roman" w:eastAsia="方正仿宋简体" w:cs="Times New Roman"/>
                <w:kern w:val="0"/>
                <w:sz w:val="32"/>
                <w:szCs w:val="32"/>
                <w:highlight w:val="none"/>
              </w:rPr>
              <w:t>83</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4</w:t>
            </w:r>
            <w:r>
              <w:rPr>
                <w:rFonts w:hint="default" w:ascii="Times New Roman" w:hAnsi="Times New Roman" w:eastAsia="方正仿宋简体" w:cs="Times New Roman"/>
                <w:kern w:val="0"/>
                <w:sz w:val="32"/>
                <w:szCs w:val="32"/>
                <w:highlight w:val="none"/>
                <w:lang w:val="en-US" w:eastAsia="zh-CN"/>
              </w:rPr>
              <w:t>2</w:t>
            </w:r>
          </w:p>
        </w:tc>
      </w:tr>
    </w:tbl>
    <w:p w14:paraId="2A437531">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highlight w:val="none"/>
          <w:lang w:val="zh-CN"/>
        </w:rPr>
      </w:pPr>
      <w:bookmarkStart w:id="96" w:name="_Toc16394"/>
      <w:bookmarkStart w:id="97" w:name="_Toc1687911260"/>
      <w:bookmarkStart w:id="98" w:name="_Toc26985"/>
      <w:bookmarkStart w:id="99" w:name="_Toc109483841"/>
      <w:bookmarkStart w:id="100" w:name="_Toc13614"/>
      <w:bookmarkStart w:id="101" w:name="_Toc31945"/>
      <w:bookmarkStart w:id="102" w:name="_Toc28266"/>
      <w:bookmarkStart w:id="103" w:name="_Toc24818"/>
      <w:r>
        <w:rPr>
          <w:rFonts w:hint="eastAsia" w:ascii="方正楷体简体" w:hAnsi="方正楷体简体" w:eastAsia="方正楷体简体" w:cs="方正楷体简体"/>
          <w:sz w:val="32"/>
          <w:szCs w:val="32"/>
          <w:highlight w:val="none"/>
          <w:lang w:val="zh-CN"/>
        </w:rPr>
        <w:t>（三）</w:t>
      </w:r>
      <w:bookmarkEnd w:id="96"/>
      <w:bookmarkEnd w:id="97"/>
      <w:bookmarkEnd w:id="98"/>
      <w:bookmarkEnd w:id="99"/>
      <w:r>
        <w:rPr>
          <w:rFonts w:hint="eastAsia" w:ascii="方正楷体简体" w:hAnsi="方正楷体简体" w:eastAsia="方正楷体简体" w:cs="方正楷体简体"/>
          <w:sz w:val="32"/>
          <w:szCs w:val="32"/>
          <w:highlight w:val="none"/>
          <w:lang w:val="zh-CN"/>
        </w:rPr>
        <w:t>绩效结果应用</w:t>
      </w:r>
      <w:bookmarkEnd w:id="100"/>
    </w:p>
    <w:p w14:paraId="380D8FC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通过对泸定县退役军人事务局的</w:t>
      </w:r>
      <w:r>
        <w:rPr>
          <w:rFonts w:hint="eastAsia" w:ascii="方正仿宋简体" w:hAnsi="方正仿宋简体" w:eastAsia="方正仿宋简体" w:cs="方正仿宋简体"/>
          <w:kern w:val="0"/>
          <w:sz w:val="32"/>
          <w:szCs w:val="32"/>
          <w:highlight w:val="none"/>
          <w:lang w:val="en-US" w:eastAsia="zh-CN" w:bidi="ar"/>
        </w:rPr>
        <w:t>部门</w:t>
      </w:r>
      <w:r>
        <w:rPr>
          <w:rFonts w:hint="eastAsia" w:ascii="方正仿宋简体" w:hAnsi="方正仿宋简体" w:eastAsia="方正仿宋简体" w:cs="方正仿宋简体"/>
          <w:kern w:val="0"/>
          <w:sz w:val="32"/>
          <w:szCs w:val="32"/>
          <w:highlight w:val="none"/>
          <w:lang w:bidi="ar"/>
        </w:rPr>
        <w:t>预算管理、专项预算管理等整体绩效管理情况进行事后评价，最终绩效评价等级为“良”。秉承科学公正、统筹兼顾、激励约束和公开透明财政绩效原则。</w:t>
      </w:r>
      <w:r>
        <w:rPr>
          <w:rFonts w:hint="eastAsia" w:ascii="方正仿宋简体" w:hAnsi="方正仿宋简体" w:eastAsia="方正仿宋简体" w:cs="方正仿宋简体"/>
          <w:kern w:val="0"/>
          <w:sz w:val="32"/>
          <w:szCs w:val="32"/>
          <w:highlight w:val="none"/>
          <w:lang w:eastAsia="zh-CN" w:bidi="ar"/>
        </w:rPr>
        <w:t>我单位</w:t>
      </w:r>
      <w:r>
        <w:rPr>
          <w:rFonts w:hint="eastAsia" w:ascii="方正仿宋简体" w:hAnsi="方正仿宋简体" w:eastAsia="方正仿宋简体" w:cs="方正仿宋简体"/>
          <w:kern w:val="0"/>
          <w:sz w:val="32"/>
          <w:szCs w:val="32"/>
          <w:highlight w:val="none"/>
          <w:lang w:bidi="ar"/>
        </w:rPr>
        <w:t>建议泸定县财政局针对该单位部门预算绩效管理，进一步要求其完善提高绩效自评质量、加强年初预算编制准确性。</w:t>
      </w:r>
    </w:p>
    <w:p w14:paraId="10D2F76F">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highlight w:val="none"/>
          <w:lang w:val="zh-CN"/>
        </w:rPr>
      </w:pPr>
      <w:bookmarkStart w:id="104" w:name="_Toc24771"/>
      <w:r>
        <w:rPr>
          <w:rFonts w:hint="eastAsia" w:ascii="方正楷体简体" w:hAnsi="方正楷体简体" w:eastAsia="方正楷体简体" w:cs="方正楷体简体"/>
          <w:sz w:val="32"/>
          <w:szCs w:val="32"/>
          <w:highlight w:val="none"/>
          <w:lang w:val="zh-CN"/>
        </w:rPr>
        <w:t>（四）评价分析</w:t>
      </w:r>
      <w:bookmarkEnd w:id="101"/>
      <w:bookmarkEnd w:id="102"/>
      <w:bookmarkEnd w:id="103"/>
      <w:bookmarkEnd w:id="104"/>
    </w:p>
    <w:p w14:paraId="086B0D0F">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.预算编制</w:t>
      </w:r>
    </w:p>
    <w:p w14:paraId="0DE0A09D">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二级指标“预算编制”下设三个三级指标分别为：</w:t>
      </w:r>
      <w:r>
        <w:rPr>
          <w:rFonts w:hint="eastAsia" w:ascii="方正仿宋简体" w:hAnsi="方正仿宋简体" w:eastAsia="方正仿宋简体" w:cs="方正仿宋简体"/>
          <w:sz w:val="32"/>
          <w:szCs w:val="32"/>
          <w:highlight w:val="none"/>
        </w:rPr>
        <w:t>目标制定</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目标实现</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编制准确</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7D7E684B">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kern w:val="2"/>
          <w:sz w:val="32"/>
          <w:szCs w:val="32"/>
          <w:highlight w:val="none"/>
          <w:lang w:val="en-US" w:eastAsia="zh-CN" w:bidi="ar-SA"/>
        </w:rPr>
        <w:t>（1）</w:t>
      </w:r>
      <w:r>
        <w:rPr>
          <w:rFonts w:hint="eastAsia" w:ascii="方正仿宋简体" w:hAnsi="方正仿宋简体" w:eastAsia="方正仿宋简体" w:cs="方正仿宋简体"/>
          <w:sz w:val="32"/>
          <w:szCs w:val="32"/>
          <w:highlight w:val="none"/>
        </w:rPr>
        <w:t>目标制定</w:t>
      </w:r>
    </w:p>
    <w:p w14:paraId="75740D76">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根据泸定县退役军人事务局</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年待安置期间退役士兵养老保险、军休干部体检费、立功受奖现役军人奖励金和烈士纪念日和清明公祭活动等</w:t>
      </w:r>
      <w:r>
        <w:rPr>
          <w:rFonts w:hint="default" w:ascii="Times New Roman" w:hAnsi="Times New Roman" w:eastAsia="方正仿宋简体" w:cs="Times New Roman"/>
          <w:kern w:val="0"/>
          <w:sz w:val="32"/>
          <w:szCs w:val="32"/>
          <w:highlight w:val="none"/>
          <w:lang w:bidi="ar"/>
        </w:rPr>
        <w:t>20</w:t>
      </w:r>
      <w:r>
        <w:rPr>
          <w:rFonts w:hint="eastAsia" w:ascii="方正仿宋简体" w:hAnsi="方正仿宋简体" w:eastAsia="方正仿宋简体" w:cs="方正仿宋简体"/>
          <w:kern w:val="0"/>
          <w:sz w:val="32"/>
          <w:szCs w:val="32"/>
          <w:highlight w:val="none"/>
          <w:lang w:bidi="ar"/>
        </w:rPr>
        <w:t>个部门预算项目绩效目标申报表显示，</w:t>
      </w:r>
      <w:r>
        <w:rPr>
          <w:rFonts w:hint="eastAsia" w:ascii="方正仿宋简体" w:hAnsi="方正仿宋简体" w:eastAsia="方正仿宋简体" w:cs="方正仿宋简体"/>
          <w:bCs/>
          <w:sz w:val="32"/>
          <w:szCs w:val="32"/>
          <w:highlight w:val="none"/>
          <w:lang w:val="en-US" w:eastAsia="zh-CN"/>
        </w:rPr>
        <w:t>目标编制</w:t>
      </w:r>
      <w:r>
        <w:rPr>
          <w:rFonts w:hint="eastAsia" w:ascii="方正仿宋简体" w:hAnsi="方正仿宋简体" w:eastAsia="方正仿宋简体" w:cs="方正仿宋简体"/>
          <w:kern w:val="0"/>
          <w:sz w:val="32"/>
          <w:szCs w:val="32"/>
          <w:highlight w:val="none"/>
          <w:lang w:bidi="ar"/>
        </w:rPr>
        <w:t>包括数量指标、质量指标、时效指标、成本指标、社会效益指标、服务对象满意度指标等指标</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bCs/>
          <w:sz w:val="32"/>
          <w:szCs w:val="32"/>
          <w:highlight w:val="none"/>
          <w:lang w:val="en-US" w:eastAsia="zh-CN"/>
        </w:rPr>
        <w:t>绩效目标编制完善，指标设置合理</w:t>
      </w:r>
      <w:r>
        <w:rPr>
          <w:rFonts w:hint="eastAsia" w:ascii="方正仿宋简体" w:hAnsi="方正仿宋简体" w:eastAsia="方正仿宋简体" w:cs="方正仿宋简体"/>
          <w:kern w:val="0"/>
          <w:sz w:val="32"/>
          <w:szCs w:val="32"/>
          <w:highlight w:val="none"/>
          <w:lang w:bidi="ar"/>
        </w:rPr>
        <w:t>。</w:t>
      </w:r>
    </w:p>
    <w:p w14:paraId="003570C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1D33BD4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2</w:t>
      </w:r>
      <w:r>
        <w:rPr>
          <w:rFonts w:hint="eastAsia" w:ascii="方正仿宋简体" w:hAnsi="方正仿宋简体" w:eastAsia="方正仿宋简体" w:cs="方正仿宋简体"/>
          <w:kern w:val="0"/>
          <w:sz w:val="32"/>
          <w:szCs w:val="32"/>
          <w:highlight w:val="none"/>
          <w:lang w:bidi="ar"/>
        </w:rPr>
        <w:t>）目标实现</w:t>
      </w:r>
    </w:p>
    <w:p w14:paraId="64F1683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评价组检查了</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年实施的</w:t>
      </w:r>
      <w:r>
        <w:rPr>
          <w:rFonts w:hint="default" w:ascii="Times New Roman" w:hAnsi="Times New Roman" w:eastAsia="方正仿宋简体" w:cs="Times New Roman"/>
          <w:kern w:val="0"/>
          <w:sz w:val="32"/>
          <w:szCs w:val="32"/>
          <w:highlight w:val="none"/>
          <w:lang w:bidi="ar"/>
        </w:rPr>
        <w:t>20</w:t>
      </w:r>
      <w:r>
        <w:rPr>
          <w:rFonts w:hint="eastAsia" w:ascii="方正仿宋简体" w:hAnsi="方正仿宋简体" w:eastAsia="方正仿宋简体" w:cs="方正仿宋简体"/>
          <w:kern w:val="0"/>
          <w:sz w:val="32"/>
          <w:szCs w:val="32"/>
          <w:highlight w:val="none"/>
          <w:lang w:bidi="ar"/>
        </w:rPr>
        <w:t>个部门预算项目，一共</w:t>
      </w:r>
      <w:r>
        <w:rPr>
          <w:rFonts w:hint="eastAsia" w:ascii="方正仿宋简体" w:hAnsi="方正仿宋简体" w:eastAsia="方正仿宋简体" w:cs="方正仿宋简体"/>
          <w:kern w:val="0"/>
          <w:sz w:val="32"/>
          <w:szCs w:val="32"/>
          <w:highlight w:val="none"/>
          <w:lang w:val="en-US" w:eastAsia="zh-CN" w:bidi="ar"/>
        </w:rPr>
        <w:t>涉及</w:t>
      </w:r>
      <w:r>
        <w:rPr>
          <w:rFonts w:hint="default" w:ascii="Times New Roman" w:hAnsi="Times New Roman" w:eastAsia="方正仿宋简体" w:cs="Times New Roman"/>
          <w:kern w:val="0"/>
          <w:sz w:val="32"/>
          <w:szCs w:val="32"/>
          <w:highlight w:val="none"/>
          <w:lang w:bidi="ar"/>
        </w:rPr>
        <w:t>22</w:t>
      </w:r>
      <w:r>
        <w:rPr>
          <w:rFonts w:hint="eastAsia" w:ascii="方正仿宋简体" w:hAnsi="方正仿宋简体" w:eastAsia="方正仿宋简体" w:cs="方正仿宋简体"/>
          <w:kern w:val="0"/>
          <w:sz w:val="32"/>
          <w:szCs w:val="32"/>
          <w:highlight w:val="none"/>
          <w:lang w:bidi="ar"/>
        </w:rPr>
        <w:t>个数量指标，已全部完成。</w:t>
      </w:r>
    </w:p>
    <w:p w14:paraId="1C3723C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0A635193">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3</w:t>
      </w:r>
      <w:r>
        <w:rPr>
          <w:rFonts w:hint="eastAsia" w:ascii="方正仿宋简体" w:hAnsi="方正仿宋简体" w:eastAsia="方正仿宋简体" w:cs="方正仿宋简体"/>
          <w:kern w:val="0"/>
          <w:sz w:val="32"/>
          <w:szCs w:val="32"/>
          <w:highlight w:val="none"/>
          <w:lang w:bidi="ar"/>
        </w:rPr>
        <w:t>）编制准确</w:t>
      </w:r>
    </w:p>
    <w:p w14:paraId="1F3D193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泸定县退役军人事务局</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年部门全年县级预算调剂金额为</w:t>
      </w:r>
      <w:r>
        <w:rPr>
          <w:rFonts w:hint="default" w:ascii="Times New Roman" w:hAnsi="Times New Roman" w:eastAsia="方正仿宋简体" w:cs="Times New Roman"/>
          <w:kern w:val="0"/>
          <w:sz w:val="32"/>
          <w:szCs w:val="32"/>
          <w:highlight w:val="none"/>
          <w:lang w:bidi="ar"/>
        </w:rPr>
        <w:t>145</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92</w:t>
      </w:r>
      <w:r>
        <w:rPr>
          <w:rFonts w:hint="eastAsia" w:ascii="方正仿宋简体" w:hAnsi="方正仿宋简体" w:eastAsia="方正仿宋简体" w:cs="方正仿宋简体"/>
          <w:kern w:val="0"/>
          <w:sz w:val="32"/>
          <w:szCs w:val="32"/>
          <w:highlight w:val="none"/>
          <w:lang w:bidi="ar"/>
        </w:rPr>
        <w:t>万元，年初部门预算数为</w:t>
      </w:r>
      <w:r>
        <w:rPr>
          <w:rFonts w:hint="default" w:ascii="Times New Roman" w:hAnsi="Times New Roman" w:eastAsia="方正仿宋简体" w:cs="Times New Roman"/>
          <w:kern w:val="0"/>
          <w:sz w:val="32"/>
          <w:szCs w:val="32"/>
          <w:highlight w:val="none"/>
          <w:lang w:bidi="ar"/>
        </w:rPr>
        <w:t>546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50</w:t>
      </w:r>
      <w:r>
        <w:rPr>
          <w:rFonts w:hint="eastAsia" w:ascii="方正仿宋简体" w:hAnsi="方正仿宋简体" w:eastAsia="方正仿宋简体" w:cs="方正仿宋简体"/>
          <w:kern w:val="0"/>
          <w:sz w:val="32"/>
          <w:szCs w:val="32"/>
          <w:highlight w:val="none"/>
          <w:lang w:bidi="ar"/>
        </w:rPr>
        <w:t>万元，预算调剂率为</w:t>
      </w:r>
      <w:r>
        <w:rPr>
          <w:rFonts w:hint="default" w:ascii="Times New Roman" w:hAnsi="Times New Roman" w:eastAsia="方正仿宋简体" w:cs="Times New Roman"/>
          <w:kern w:val="0"/>
          <w:sz w:val="32"/>
          <w:szCs w:val="32"/>
          <w:highlight w:val="none"/>
          <w:lang w:bidi="ar"/>
        </w:rPr>
        <w:t>26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70%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10%</w:t>
      </w:r>
      <w:r>
        <w:rPr>
          <w:rFonts w:hint="eastAsia" w:ascii="方正仿宋简体" w:hAnsi="方正仿宋简体" w:eastAsia="方正仿宋简体" w:cs="方正仿宋简体"/>
          <w:kern w:val="0"/>
          <w:sz w:val="32"/>
          <w:szCs w:val="32"/>
          <w:highlight w:val="none"/>
          <w:lang w:bidi="ar"/>
        </w:rPr>
        <w:t>，扣除</w:t>
      </w:r>
      <w:r>
        <w:rPr>
          <w:rFonts w:hint="default" w:ascii="Times New Roman" w:hAnsi="Times New Roman" w:eastAsia="方正仿宋简体" w:cs="Times New Roman"/>
          <w:kern w:val="0"/>
          <w:sz w:val="32"/>
          <w:szCs w:val="32"/>
          <w:highlight w:val="none"/>
          <w:lang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05FC4DC3">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0</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00</w:t>
      </w:r>
      <w:r>
        <w:rPr>
          <w:rFonts w:hint="eastAsia" w:ascii="方正仿宋简体" w:hAnsi="方正仿宋简体" w:eastAsia="方正仿宋简体" w:cs="方正仿宋简体"/>
          <w:kern w:val="0"/>
          <w:sz w:val="32"/>
          <w:szCs w:val="32"/>
          <w:highlight w:val="none"/>
          <w:lang w:bidi="ar"/>
        </w:rPr>
        <w:t>分。</w:t>
      </w:r>
    </w:p>
    <w:p w14:paraId="3B3FE6F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二级指标“预算</w:t>
      </w:r>
      <w:r>
        <w:rPr>
          <w:rFonts w:hint="eastAsia" w:ascii="方正仿宋简体" w:hAnsi="方正仿宋简体" w:eastAsia="方正仿宋简体" w:cs="方正仿宋简体"/>
          <w:kern w:val="0"/>
          <w:sz w:val="32"/>
          <w:szCs w:val="32"/>
          <w:highlight w:val="none"/>
          <w:lang w:bidi="ar"/>
        </w:rPr>
        <w:t>编制</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eastAsia="zh"/>
        </w:rPr>
        <w:t>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eastAsia="zh"/>
        </w:rPr>
        <w:t>8</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16</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1D8C634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p>
    <w:p w14:paraId="2DC8801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二级指标“预算执行”下设三个三级指标分别为：支出控制、动态调整和执行进度。</w:t>
      </w:r>
    </w:p>
    <w:p w14:paraId="7FE5E2A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）支出控制</w:t>
      </w:r>
    </w:p>
    <w:p w14:paraId="31349EF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泸定县退役军人事务局</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年度部</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门公用经费和非定额公用支出中办公费、差旅费等一共</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个科目，</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年初预算数合计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67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万元，决算报表数合计</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万元，预决算偏差度</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其中</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个科目年初预算数与决算数偏差率超过</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个科目年初预算数与决算数偏差率低于</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个科目</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年初预算数与决算数偏差率位于</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之间，</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指标得分=（</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分。</w:t>
      </w:r>
    </w:p>
    <w:p w14:paraId="4AC27D0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3</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3</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2242A06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）动态调整</w:t>
      </w:r>
    </w:p>
    <w:p w14:paraId="7111423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泸定县退役军人事务局</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年部门绩效监控调整取消额为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，根据</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年可执行指标执行情况表显示当年年度预算总额（县级预算）</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692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42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万元，当年执行数</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689</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42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万元，年末未使用完指标结余注销金额（县级预算）为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万元。指标得分=</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692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42</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65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3E27641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35</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7</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bidi="ar"/>
        </w:rPr>
        <w:t>65</w:t>
      </w:r>
      <w:r>
        <w:rPr>
          <w:rFonts w:hint="eastAsia" w:ascii="方正仿宋简体" w:hAnsi="方正仿宋简体" w:eastAsia="方正仿宋简体" w:cs="方正仿宋简体"/>
          <w:kern w:val="0"/>
          <w:sz w:val="32"/>
          <w:szCs w:val="32"/>
          <w:highlight w:val="none"/>
          <w:lang w:bidi="ar"/>
        </w:rPr>
        <w:t>分。</w:t>
      </w:r>
    </w:p>
    <w:p w14:paraId="0838CF3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）执行进度</w:t>
      </w:r>
    </w:p>
    <w:p w14:paraId="7A324D3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eastAsia="zh-CN" w:bidi="ar"/>
        </w:rPr>
      </w:pPr>
      <w:r>
        <w:rPr>
          <w:rFonts w:hint="eastAsia" w:ascii="方正仿宋简体" w:hAnsi="方正仿宋简体" w:eastAsia="方正仿宋简体" w:cs="方正仿宋简体"/>
          <w:kern w:val="0"/>
          <w:sz w:val="32"/>
          <w:szCs w:val="32"/>
          <w:highlight w:val="none"/>
          <w:lang w:eastAsia="zh" w:bidi="ar"/>
        </w:rPr>
        <w:t>根据</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年可执行指标执行情况表显示当年年度预算总额（县级预算）</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924</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244</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61</w:t>
      </w:r>
      <w:r>
        <w:rPr>
          <w:rFonts w:hint="eastAsia" w:ascii="方正仿宋简体" w:hAnsi="方正仿宋简体" w:eastAsia="方正仿宋简体" w:cs="方正仿宋简体"/>
          <w:kern w:val="0"/>
          <w:sz w:val="32"/>
          <w:szCs w:val="32"/>
          <w:highlight w:val="none"/>
          <w:lang w:eastAsia="zh" w:bidi="ar"/>
        </w:rPr>
        <w:t>元，</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月可执行指标执行情况表显示支出金额为</w:t>
      </w:r>
      <w:r>
        <w:rPr>
          <w:rFonts w:hint="default" w:ascii="Times New Roman" w:hAnsi="Times New Roman" w:eastAsia="方正仿宋简体" w:cs="Times New Roman"/>
          <w:kern w:val="0"/>
          <w:sz w:val="32"/>
          <w:szCs w:val="32"/>
          <w:highlight w:val="none"/>
          <w:lang w:eastAsia="zh" w:bidi="ar"/>
        </w:rPr>
        <w:t>2</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525</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501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95</w:t>
      </w:r>
      <w:r>
        <w:rPr>
          <w:rFonts w:hint="eastAsia" w:ascii="方正仿宋简体" w:hAnsi="方正仿宋简体" w:eastAsia="方正仿宋简体" w:cs="方正仿宋简体"/>
          <w:kern w:val="0"/>
          <w:sz w:val="32"/>
          <w:szCs w:val="32"/>
          <w:highlight w:val="none"/>
          <w:lang w:eastAsia="zh" w:bidi="ar"/>
        </w:rPr>
        <w:t>元，</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月实际执行进度为</w:t>
      </w:r>
      <w:r>
        <w:rPr>
          <w:rFonts w:hint="default" w:ascii="Times New Roman" w:hAnsi="Times New Roman" w:eastAsia="方正仿宋简体" w:cs="Times New Roman"/>
          <w:kern w:val="0"/>
          <w:sz w:val="32"/>
          <w:szCs w:val="32"/>
          <w:highlight w:val="none"/>
          <w:lang w:eastAsia="zh" w:bidi="ar"/>
        </w:rPr>
        <w:t>36</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47%</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9</w:t>
      </w:r>
      <w:r>
        <w:rPr>
          <w:rFonts w:hint="eastAsia" w:ascii="方正仿宋简体" w:hAnsi="方正仿宋简体" w:eastAsia="方正仿宋简体" w:cs="方正仿宋简体"/>
          <w:kern w:val="0"/>
          <w:sz w:val="32"/>
          <w:szCs w:val="32"/>
          <w:highlight w:val="none"/>
          <w:lang w:eastAsia="zh" w:bidi="ar"/>
        </w:rPr>
        <w:t>月可执行指标执行情况表显示支出金额为</w:t>
      </w:r>
      <w:r>
        <w:rPr>
          <w:rFonts w:hint="default" w:ascii="Times New Roman" w:hAnsi="Times New Roman" w:eastAsia="方正仿宋简体" w:cs="Times New Roman"/>
          <w:kern w:val="0"/>
          <w:sz w:val="32"/>
          <w:szCs w:val="32"/>
          <w:highlight w:val="none"/>
          <w:lang w:eastAsia="zh" w:bidi="ar"/>
        </w:rPr>
        <w:t>5</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139</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431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91</w:t>
      </w:r>
      <w:r>
        <w:rPr>
          <w:rFonts w:hint="eastAsia" w:ascii="方正仿宋简体" w:hAnsi="方正仿宋简体" w:eastAsia="方正仿宋简体" w:cs="方正仿宋简体"/>
          <w:kern w:val="0"/>
          <w:sz w:val="32"/>
          <w:szCs w:val="32"/>
          <w:highlight w:val="none"/>
          <w:lang w:eastAsia="zh" w:bidi="ar"/>
        </w:rPr>
        <w:t>元，</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9</w:t>
      </w:r>
      <w:r>
        <w:rPr>
          <w:rFonts w:hint="eastAsia" w:ascii="方正仿宋简体" w:hAnsi="方正仿宋简体" w:eastAsia="方正仿宋简体" w:cs="方正仿宋简体"/>
          <w:kern w:val="0"/>
          <w:sz w:val="32"/>
          <w:szCs w:val="32"/>
          <w:highlight w:val="none"/>
          <w:lang w:eastAsia="zh" w:bidi="ar"/>
        </w:rPr>
        <w:t>月实际执行进度为</w:t>
      </w:r>
      <w:r>
        <w:rPr>
          <w:rFonts w:hint="default" w:ascii="Times New Roman" w:hAnsi="Times New Roman" w:eastAsia="方正仿宋简体" w:cs="Times New Roman"/>
          <w:kern w:val="0"/>
          <w:sz w:val="32"/>
          <w:szCs w:val="32"/>
          <w:highlight w:val="none"/>
          <w:lang w:eastAsia="zh" w:bidi="ar"/>
        </w:rPr>
        <w:t>74</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22%</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11</w:t>
      </w:r>
      <w:r>
        <w:rPr>
          <w:rFonts w:hint="eastAsia" w:ascii="方正仿宋简体" w:hAnsi="方正仿宋简体" w:eastAsia="方正仿宋简体" w:cs="方正仿宋简体"/>
          <w:kern w:val="0"/>
          <w:sz w:val="32"/>
          <w:szCs w:val="32"/>
          <w:highlight w:val="none"/>
          <w:lang w:eastAsia="zh" w:bidi="ar"/>
        </w:rPr>
        <w:t>月可执行指标执行情况表显示支出金额为</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260</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488</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36</w:t>
      </w:r>
      <w:r>
        <w:rPr>
          <w:rFonts w:hint="eastAsia" w:ascii="方正仿宋简体" w:hAnsi="方正仿宋简体" w:eastAsia="方正仿宋简体" w:cs="方正仿宋简体"/>
          <w:kern w:val="0"/>
          <w:sz w:val="32"/>
          <w:szCs w:val="32"/>
          <w:highlight w:val="none"/>
          <w:lang w:eastAsia="zh" w:bidi="ar"/>
        </w:rPr>
        <w:t>元，</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11</w:t>
      </w:r>
      <w:r>
        <w:rPr>
          <w:rFonts w:hint="eastAsia" w:ascii="方正仿宋简体" w:hAnsi="方正仿宋简体" w:eastAsia="方正仿宋简体" w:cs="方正仿宋简体"/>
          <w:kern w:val="0"/>
          <w:sz w:val="32"/>
          <w:szCs w:val="32"/>
          <w:highlight w:val="none"/>
          <w:lang w:eastAsia="zh" w:bidi="ar"/>
        </w:rPr>
        <w:t>月实际执行进度为</w:t>
      </w:r>
      <w:r>
        <w:rPr>
          <w:rFonts w:hint="default" w:ascii="Times New Roman" w:hAnsi="Times New Roman" w:eastAsia="方正仿宋简体" w:cs="Times New Roman"/>
          <w:kern w:val="0"/>
          <w:sz w:val="32"/>
          <w:szCs w:val="32"/>
          <w:highlight w:val="none"/>
          <w:lang w:eastAsia="zh" w:bidi="ar"/>
        </w:rPr>
        <w:t>90</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41%</w:t>
      </w:r>
      <w:r>
        <w:rPr>
          <w:rFonts w:hint="eastAsia" w:ascii="方正仿宋简体" w:hAnsi="方正仿宋简体" w:eastAsia="方正仿宋简体" w:cs="方正仿宋简体"/>
          <w:kern w:val="0"/>
          <w:sz w:val="32"/>
          <w:szCs w:val="32"/>
          <w:highlight w:val="none"/>
          <w:lang w:eastAsia="zh-CN" w:bidi="ar"/>
        </w:rPr>
        <w:t>。</w:t>
      </w:r>
    </w:p>
    <w:p w14:paraId="2BAD8A2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eastAsia="zh-CN" w:bidi="ar"/>
        </w:rPr>
      </w:pPr>
      <w:r>
        <w:rPr>
          <w:rFonts w:hint="eastAsia" w:ascii="方正仿宋简体" w:hAnsi="方正仿宋简体" w:eastAsia="方正仿宋简体" w:cs="方正仿宋简体"/>
          <w:kern w:val="0"/>
          <w:sz w:val="32"/>
          <w:szCs w:val="32"/>
          <w:highlight w:val="none"/>
          <w:lang w:val="en-US" w:eastAsia="zh-CN" w:bidi="ar"/>
        </w:rPr>
        <w:t>综上，以上三个阶段执行进度，</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6</w:t>
      </w:r>
      <w:r>
        <w:rPr>
          <w:rFonts w:hint="eastAsia" w:ascii="方正仿宋简体" w:hAnsi="方正仿宋简体" w:eastAsia="方正仿宋简体" w:cs="方正仿宋简体"/>
          <w:kern w:val="0"/>
          <w:sz w:val="32"/>
          <w:szCs w:val="32"/>
          <w:highlight w:val="none"/>
          <w:lang w:val="en-US" w:eastAsia="zh-CN" w:bidi="ar"/>
        </w:rPr>
        <w:t>月实际支出进度未达到目标进度，</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9</w:t>
      </w:r>
      <w:r>
        <w:rPr>
          <w:rFonts w:hint="eastAsia" w:ascii="方正仿宋简体" w:hAnsi="方正仿宋简体" w:eastAsia="方正仿宋简体" w:cs="方正仿宋简体"/>
          <w:kern w:val="0"/>
          <w:sz w:val="32"/>
          <w:szCs w:val="32"/>
          <w:highlight w:val="none"/>
          <w:lang w:val="en-US" w:eastAsia="zh-CN" w:bidi="ar"/>
        </w:rPr>
        <w:t>月、</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11</w:t>
      </w:r>
      <w:r>
        <w:rPr>
          <w:rFonts w:hint="eastAsia" w:ascii="方正仿宋简体" w:hAnsi="方正仿宋简体" w:eastAsia="方正仿宋简体" w:cs="方正仿宋简体"/>
          <w:kern w:val="0"/>
          <w:sz w:val="32"/>
          <w:szCs w:val="32"/>
          <w:highlight w:val="none"/>
          <w:lang w:val="en-US" w:eastAsia="zh-CN" w:bidi="ar"/>
        </w:rPr>
        <w:t>月实际支出进度均达到目标进度。</w:t>
      </w:r>
    </w:p>
    <w:p w14:paraId="0671E4D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val="en-US" w:eastAsia="zh-CN" w:bidi="ar"/>
        </w:rPr>
        <w:t>此项</w:t>
      </w:r>
      <w:r>
        <w:rPr>
          <w:rFonts w:hint="eastAsia" w:ascii="方正仿宋简体" w:hAnsi="方正仿宋简体" w:eastAsia="方正仿宋简体" w:cs="方正仿宋简体"/>
          <w:kern w:val="0"/>
          <w:sz w:val="32"/>
          <w:szCs w:val="32"/>
          <w:highlight w:val="none"/>
          <w:lang w:eastAsia="zh" w:bidi="ar"/>
        </w:rPr>
        <w:t>指标得分=</w:t>
      </w:r>
      <w:r>
        <w:rPr>
          <w:rFonts w:hint="default" w:ascii="Times New Roman" w:hAnsi="Times New Roman" w:eastAsia="方正仿宋简体" w:cs="Times New Roman"/>
          <w:kern w:val="0"/>
          <w:sz w:val="32"/>
          <w:szCs w:val="32"/>
          <w:highlight w:val="none"/>
          <w:lang w:eastAsia="zh" w:bidi="ar"/>
        </w:rPr>
        <w:t>2</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36</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47%</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40%</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2</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2</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5</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82</w:t>
      </w:r>
      <w:r>
        <w:rPr>
          <w:rFonts w:hint="eastAsia" w:ascii="方正仿宋简体" w:hAnsi="方正仿宋简体" w:eastAsia="方正仿宋简体" w:cs="方正仿宋简体"/>
          <w:kern w:val="0"/>
          <w:sz w:val="32"/>
          <w:szCs w:val="32"/>
          <w:highlight w:val="none"/>
          <w:lang w:eastAsia="zh" w:bidi="ar"/>
        </w:rPr>
        <w:t>分。</w:t>
      </w:r>
    </w:p>
    <w:p w14:paraId="5A64FBF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18</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bidi="ar"/>
        </w:rPr>
        <w:t>5</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82</w:t>
      </w:r>
      <w:r>
        <w:rPr>
          <w:rFonts w:hint="eastAsia" w:ascii="方正仿宋简体" w:hAnsi="方正仿宋简体" w:eastAsia="方正仿宋简体" w:cs="方正仿宋简体"/>
          <w:kern w:val="0"/>
          <w:sz w:val="32"/>
          <w:szCs w:val="32"/>
          <w:highlight w:val="none"/>
          <w:lang w:bidi="ar"/>
        </w:rPr>
        <w:t>分。</w:t>
      </w:r>
    </w:p>
    <w:p w14:paraId="6F23609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sz w:val="32"/>
          <w:szCs w:val="32"/>
          <w:highlight w:val="none"/>
        </w:rPr>
        <w:t>二级指标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eastAsia="zh"/>
        </w:rPr>
        <w:t>2</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eastAsia="zh"/>
        </w:rPr>
        <w:t>3</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53</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16</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47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3B3C5DBD">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完成结果</w:t>
      </w:r>
    </w:p>
    <w:p w14:paraId="15E4E505">
      <w:pPr>
        <w:pStyle w:val="2"/>
        <w:keepNext w:val="0"/>
        <w:keepLines w:val="0"/>
        <w:pageBreakBefore w:val="0"/>
        <w:widowControl w:val="0"/>
        <w:kinsoku/>
        <w:wordWrap/>
        <w:overflowPunct/>
        <w:topLinePunct w:val="0"/>
        <w:autoSpaceDE/>
        <w:autoSpaceDN/>
        <w:bidi w:val="0"/>
        <w:adjustRightInd/>
        <w:snapToGrid/>
        <w:spacing w:after="0" w:line="600" w:lineRule="exact"/>
        <w:ind w:left="0" w:firstLine="640" w:firstLineChars="200"/>
        <w:textAlignment w:val="auto"/>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二级指标“完成结果”下设两个三级指标分别为：预算完成和违规记录。</w:t>
      </w:r>
    </w:p>
    <w:p w14:paraId="09329DA1">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）预算完成</w:t>
      </w:r>
    </w:p>
    <w:p w14:paraId="75D5CE6D">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bidi="ar"/>
        </w:rPr>
        <w:t>泸定县退役军人事务局</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年存在</w:t>
      </w:r>
      <w:r>
        <w:rPr>
          <w:rFonts w:hint="default" w:ascii="Times New Roman" w:hAnsi="Times New Roman" w:eastAsia="方正仿宋简体" w:cs="Times New Roman"/>
          <w:kern w:val="0"/>
          <w:sz w:val="32"/>
          <w:szCs w:val="32"/>
          <w:highlight w:val="none"/>
          <w:lang w:bidi="ar"/>
        </w:rPr>
        <w:t>21</w:t>
      </w:r>
      <w:r>
        <w:rPr>
          <w:rFonts w:hint="eastAsia" w:ascii="方正仿宋简体" w:hAnsi="方正仿宋简体" w:eastAsia="方正仿宋简体" w:cs="方正仿宋简体"/>
          <w:kern w:val="0"/>
          <w:sz w:val="32"/>
          <w:szCs w:val="32"/>
          <w:highlight w:val="none"/>
          <w:lang w:bidi="ar"/>
        </w:rPr>
        <w:t>个部门预算项目，年度预算总额为</w:t>
      </w:r>
      <w:r>
        <w:rPr>
          <w:rFonts w:hint="default" w:ascii="Times New Roman" w:hAnsi="Times New Roman" w:eastAsia="方正仿宋简体" w:cs="Times New Roman"/>
          <w:kern w:val="0"/>
          <w:sz w:val="32"/>
          <w:szCs w:val="32"/>
          <w:highlight w:val="none"/>
          <w:lang w:bidi="ar"/>
        </w:rPr>
        <w:t>485</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21</w:t>
      </w:r>
      <w:r>
        <w:rPr>
          <w:rFonts w:hint="eastAsia" w:ascii="方正仿宋简体" w:hAnsi="方正仿宋简体" w:eastAsia="方正仿宋简体" w:cs="方正仿宋简体"/>
          <w:kern w:val="0"/>
          <w:sz w:val="32"/>
          <w:szCs w:val="32"/>
          <w:highlight w:val="none"/>
          <w:lang w:bidi="ar"/>
        </w:rPr>
        <w:t>万元，已支出</w:t>
      </w:r>
      <w:r>
        <w:rPr>
          <w:rFonts w:hint="default" w:ascii="Times New Roman" w:hAnsi="Times New Roman" w:eastAsia="方正仿宋简体" w:cs="Times New Roman"/>
          <w:kern w:val="0"/>
          <w:sz w:val="32"/>
          <w:szCs w:val="32"/>
          <w:highlight w:val="none"/>
          <w:lang w:bidi="ar"/>
        </w:rPr>
        <w:t>482</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20</w:t>
      </w:r>
      <w:r>
        <w:rPr>
          <w:rFonts w:hint="eastAsia" w:ascii="方正仿宋简体" w:hAnsi="方正仿宋简体" w:eastAsia="方正仿宋简体" w:cs="方正仿宋简体"/>
          <w:kern w:val="0"/>
          <w:sz w:val="32"/>
          <w:szCs w:val="32"/>
          <w:highlight w:val="none"/>
          <w:lang w:bidi="ar"/>
        </w:rPr>
        <w:t>万元，年度预算执行进度为</w:t>
      </w:r>
      <w:r>
        <w:rPr>
          <w:rFonts w:hint="default" w:ascii="Times New Roman" w:hAnsi="Times New Roman" w:eastAsia="方正仿宋简体" w:cs="Times New Roman"/>
          <w:kern w:val="0"/>
          <w:sz w:val="32"/>
          <w:szCs w:val="32"/>
          <w:highlight w:val="none"/>
          <w:lang w:bidi="ar"/>
        </w:rPr>
        <w:t>99</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38%</w:t>
      </w:r>
      <w:r>
        <w:rPr>
          <w:rFonts w:hint="eastAsia" w:ascii="方正仿宋简体" w:hAnsi="方正仿宋简体" w:eastAsia="方正仿宋简体" w:cs="方正仿宋简体"/>
          <w:kern w:val="0"/>
          <w:sz w:val="32"/>
          <w:szCs w:val="32"/>
          <w:highlight w:val="none"/>
          <w:lang w:bidi="ar"/>
        </w:rPr>
        <w:t>。指标得分为=</w:t>
      </w:r>
      <w:r>
        <w:rPr>
          <w:rFonts w:hint="default" w:ascii="Times New Roman" w:hAnsi="Times New Roman" w:eastAsia="方正仿宋简体" w:cs="Times New Roman"/>
          <w:kern w:val="0"/>
          <w:sz w:val="32"/>
          <w:szCs w:val="32"/>
          <w:highlight w:val="none"/>
          <w:lang w:bidi="ar"/>
        </w:rPr>
        <w:t>99</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38%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7</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9</w:t>
      </w:r>
      <w:r>
        <w:rPr>
          <w:rFonts w:hint="default" w:ascii="Times New Roman" w:hAnsi="Times New Roman" w:eastAsia="方正仿宋简体" w:cs="Times New Roman"/>
          <w:kern w:val="0"/>
          <w:sz w:val="32"/>
          <w:szCs w:val="32"/>
          <w:highlight w:val="none"/>
          <w:lang w:val="en-US" w:eastAsia="zh-CN" w:bidi="ar"/>
        </w:rPr>
        <w:t>5</w:t>
      </w:r>
      <w:r>
        <w:rPr>
          <w:rFonts w:hint="eastAsia" w:ascii="方正仿宋简体" w:hAnsi="方正仿宋简体" w:eastAsia="方正仿宋简体" w:cs="方正仿宋简体"/>
          <w:kern w:val="0"/>
          <w:sz w:val="32"/>
          <w:szCs w:val="32"/>
          <w:highlight w:val="none"/>
          <w:lang w:bidi="ar"/>
        </w:rPr>
        <w:t>分。</w:t>
      </w:r>
    </w:p>
    <w:p w14:paraId="265D1A7E">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eastAsia="zh" w:bidi="ar"/>
        </w:rPr>
        <w:t>0</w:t>
      </w:r>
      <w:r>
        <w:rPr>
          <w:rFonts w:hint="default" w:ascii="Times New Roman" w:hAnsi="Times New Roman" w:eastAsia="方正仿宋简体" w:cs="Times New Roman"/>
          <w:kern w:val="0"/>
          <w:sz w:val="32"/>
          <w:szCs w:val="32"/>
          <w:highlight w:val="none"/>
          <w:lang w:val="en-US" w:eastAsia="zh-CN" w:bidi="ar"/>
        </w:rPr>
        <w:t>5</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7</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9</w:t>
      </w:r>
      <w:r>
        <w:rPr>
          <w:rFonts w:hint="default" w:ascii="Times New Roman" w:hAnsi="Times New Roman" w:eastAsia="方正仿宋简体" w:cs="Times New Roman"/>
          <w:kern w:val="0"/>
          <w:sz w:val="32"/>
          <w:szCs w:val="32"/>
          <w:highlight w:val="none"/>
          <w:lang w:val="en-US" w:eastAsia="zh-CN" w:bidi="ar"/>
        </w:rPr>
        <w:t>5</w:t>
      </w:r>
      <w:r>
        <w:rPr>
          <w:rFonts w:hint="eastAsia" w:ascii="方正仿宋简体" w:hAnsi="方正仿宋简体" w:eastAsia="方正仿宋简体" w:cs="方正仿宋简体"/>
          <w:kern w:val="0"/>
          <w:sz w:val="32"/>
          <w:szCs w:val="32"/>
          <w:highlight w:val="none"/>
          <w:lang w:bidi="ar"/>
        </w:rPr>
        <w:t>分。</w:t>
      </w:r>
    </w:p>
    <w:p w14:paraId="5CCE2704">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）违规记录</w:t>
      </w:r>
    </w:p>
    <w:p w14:paraId="6BBBBD16">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泸定县退役军人事务局</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年接受了财政局组织开展的部门整体支出绩效监控，未接受其他监督检查或巡查，</w:t>
      </w:r>
      <w:r>
        <w:rPr>
          <w:rFonts w:hint="eastAsia" w:ascii="方正仿宋简体" w:hAnsi="方正仿宋简体" w:eastAsia="方正仿宋简体" w:cs="方正仿宋简体"/>
          <w:kern w:val="0"/>
          <w:sz w:val="32"/>
          <w:szCs w:val="32"/>
          <w:highlight w:val="none"/>
          <w:lang w:val="en-US" w:eastAsia="zh-CN" w:bidi="ar"/>
        </w:rPr>
        <w:t>不存在重大违规违纪</w:t>
      </w:r>
      <w:r>
        <w:rPr>
          <w:rFonts w:hint="eastAsia" w:ascii="方正仿宋简体" w:hAnsi="方正仿宋简体" w:eastAsia="方正仿宋简体" w:cs="方正仿宋简体"/>
          <w:kern w:val="0"/>
          <w:sz w:val="32"/>
          <w:szCs w:val="32"/>
          <w:highlight w:val="none"/>
          <w:lang w:bidi="ar"/>
        </w:rPr>
        <w:t>的问题。</w:t>
      </w:r>
    </w:p>
    <w:p w14:paraId="1C51DFC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eastAsia="zh" w:bidi="ar"/>
        </w:rPr>
        <w:t>0</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00</w:t>
      </w:r>
      <w:r>
        <w:rPr>
          <w:rFonts w:hint="eastAsia" w:ascii="方正仿宋简体" w:hAnsi="方正仿宋简体" w:eastAsia="方正仿宋简体" w:cs="方正仿宋简体"/>
          <w:kern w:val="0"/>
          <w:sz w:val="32"/>
          <w:szCs w:val="32"/>
          <w:highlight w:val="none"/>
          <w:lang w:bidi="ar"/>
        </w:rPr>
        <w:t>分。</w:t>
      </w:r>
    </w:p>
    <w:p w14:paraId="0C0235E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bidi="ar"/>
        </w:rPr>
        <w:t>二</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级指标“完成结果”指标分共计</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分，此处得分为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9</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4BDA8E46">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专项预算管理</w:t>
      </w:r>
    </w:p>
    <w:p w14:paraId="1A90E57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泸定县退役军人事务局共</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个专项预算项目，</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编制了自评表、自评报告及自评打分表；自评报告编制结构完整，资金计划、到位、使用、项目财务管理、项目组织实施、项目完成、项目效益、存在的问题、相关建议等各项目要素完整，与目标申报表各项指标对应。</w:t>
      </w:r>
    </w:p>
    <w:p w14:paraId="43C04F3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一</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级指标“</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专项预算管理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”指标分共计</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分，此处得分为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43AAC46C">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信息公开</w:t>
      </w:r>
    </w:p>
    <w:p w14:paraId="093E30D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二级指标“信息公开”下设一个三级指标为自评公开。</w:t>
      </w:r>
    </w:p>
    <w:p w14:paraId="31E548A8">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泸定县退役军人事务局已自行组织编制</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年部门整体支出绩效自评报告，</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因</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年决算尚未批复，待决算批复后公开时随同决算报告一并公开。</w:t>
      </w:r>
    </w:p>
    <w:p w14:paraId="44211B9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二级指标“信息公开”</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此项得分为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452D33EC">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整改反馈</w:t>
      </w:r>
    </w:p>
    <w:p w14:paraId="722DAF0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二级指标“整改反馈”下设两个三级指标为：结果整改和应用反馈。</w:t>
      </w:r>
    </w:p>
    <w:p w14:paraId="5DA1D9D8">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年度财政局组织对泸定县退役军人事务局开展了部门整体绩效监控，分析指出“手续费预算执行率均为</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，预测本年度期末已不可能完成，建议该年度及来年调减手续费预算”，退役军人事务局在</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年未对相关预算项目进行调减。</w:t>
      </w:r>
    </w:p>
    <w:p w14:paraId="252F1600">
      <w:pPr>
        <w:keepNext w:val="0"/>
        <w:keepLines w:val="0"/>
        <w:pageBreakBefore w:val="0"/>
        <w:kinsoku/>
        <w:wordWrap/>
        <w:overflowPunct/>
        <w:topLinePunct w:val="0"/>
        <w:autoSpaceDE/>
        <w:autoSpaceDN/>
        <w:bidi w:val="0"/>
        <w:spacing w:line="600" w:lineRule="exact"/>
        <w:ind w:left="0" w:firstLine="560"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二级指标“整改反馈”指标分共计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分，此项得分为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1A6BD25F">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自评质量</w:t>
      </w:r>
    </w:p>
    <w:p w14:paraId="35724E38">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二级指标“自评质量”下设一个三级指标为：自评准确。</w:t>
      </w:r>
    </w:p>
    <w:p w14:paraId="7D2F8DA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eastAsia="zh" w:bidi="ar"/>
        </w:rPr>
        <w:t>泸定县退役军人事务局</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年部门整体支出自评得分为</w:t>
      </w:r>
      <w:r>
        <w:rPr>
          <w:rFonts w:hint="default" w:ascii="Times New Roman" w:hAnsi="Times New Roman" w:eastAsia="方正仿宋简体" w:cs="Times New Roman"/>
          <w:kern w:val="0"/>
          <w:sz w:val="32"/>
          <w:szCs w:val="32"/>
          <w:highlight w:val="none"/>
          <w:lang w:bidi="ar"/>
        </w:rPr>
        <w:t>90</w:t>
      </w:r>
      <w:r>
        <w:rPr>
          <w:rFonts w:hint="eastAsia" w:ascii="方正仿宋简体" w:hAnsi="方正仿宋简体" w:eastAsia="方正仿宋简体" w:cs="方正仿宋简体"/>
          <w:kern w:val="0"/>
          <w:sz w:val="32"/>
          <w:szCs w:val="32"/>
          <w:highlight w:val="none"/>
          <w:lang w:eastAsia="zh" w:bidi="ar"/>
        </w:rPr>
        <w:t>分，评价组抽查得分为</w:t>
      </w:r>
      <w:r>
        <w:rPr>
          <w:rFonts w:hint="default" w:ascii="Times New Roman" w:hAnsi="Times New Roman" w:eastAsia="方正仿宋简体" w:cs="Times New Roman"/>
          <w:kern w:val="0"/>
          <w:sz w:val="32"/>
          <w:szCs w:val="32"/>
          <w:highlight w:val="none"/>
          <w:lang w:bidi="ar"/>
        </w:rPr>
        <w:t>77</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44</w:t>
      </w:r>
      <w:r>
        <w:rPr>
          <w:rFonts w:hint="eastAsia" w:ascii="方正仿宋简体" w:hAnsi="方正仿宋简体" w:eastAsia="方正仿宋简体" w:cs="方正仿宋简体"/>
          <w:kern w:val="0"/>
          <w:sz w:val="32"/>
          <w:szCs w:val="32"/>
          <w:highlight w:val="none"/>
          <w:lang w:eastAsia="zh" w:bidi="ar"/>
        </w:rPr>
        <w:t>分（不含自评准确指标分数），</w:t>
      </w:r>
      <w:r>
        <w:rPr>
          <w:rFonts w:hint="eastAsia" w:ascii="方正仿宋简体" w:hAnsi="方正仿宋简体" w:eastAsia="方正仿宋简体" w:cs="方正仿宋简体"/>
          <w:kern w:val="0"/>
          <w:sz w:val="32"/>
          <w:szCs w:val="32"/>
          <w:highlight w:val="none"/>
          <w:lang w:val="en-US" w:eastAsia="zh-CN" w:bidi="ar"/>
        </w:rPr>
        <w:t>自评差异率为</w:t>
      </w:r>
      <w:r>
        <w:rPr>
          <w:rFonts w:hint="default" w:ascii="Times New Roman" w:hAnsi="Times New Roman" w:eastAsia="方正仿宋简体" w:cs="Times New Roman"/>
          <w:kern w:val="0"/>
          <w:sz w:val="32"/>
          <w:szCs w:val="32"/>
          <w:highlight w:val="none"/>
          <w:lang w:bidi="ar"/>
        </w:rPr>
        <w:t>16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22%</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eastAsia="zh" w:bidi="ar"/>
        </w:rPr>
        <w:t>此项得分为</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00</w:t>
      </w:r>
      <w:r>
        <w:rPr>
          <w:rFonts w:hint="eastAsia" w:ascii="方正仿宋简体" w:hAnsi="方正仿宋简体" w:eastAsia="方正仿宋简体" w:cs="方正仿宋简体"/>
          <w:kern w:val="0"/>
          <w:sz w:val="32"/>
          <w:szCs w:val="32"/>
          <w:highlight w:val="none"/>
          <w:lang w:eastAsia="zh" w:bidi="ar"/>
        </w:rPr>
        <w:t>分。</w:t>
      </w:r>
    </w:p>
    <w:p w14:paraId="245A8C0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二级指标“自评质量”</w:t>
      </w:r>
      <w:r>
        <w:rPr>
          <w:rFonts w:hint="eastAsia" w:ascii="方正仿宋简体" w:hAnsi="方正仿宋简体" w:eastAsia="方正仿宋简体" w:cs="方正仿宋简体"/>
          <w:kern w:val="0"/>
          <w:sz w:val="32"/>
          <w:szCs w:val="32"/>
          <w:highlight w:val="none"/>
          <w:lang w:bidi="ar"/>
        </w:rPr>
        <w:t>指标</w:t>
      </w:r>
      <w:r>
        <w:rPr>
          <w:rFonts w:hint="eastAsia" w:ascii="方正仿宋简体" w:hAnsi="方正仿宋简体" w:eastAsia="方正仿宋简体" w:cs="方正仿宋简体"/>
          <w:sz w:val="32"/>
          <w:szCs w:val="32"/>
          <w:highlight w:val="none"/>
        </w:rPr>
        <w:t>分共计</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eastAsia="zh"/>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bookmarkEnd w:id="2"/>
    <w:p w14:paraId="40B99C5D">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05" w:name="_Toc21218"/>
      <w:bookmarkStart w:id="106" w:name="_Toc248033833"/>
      <w:bookmarkStart w:id="107" w:name="_Toc5060"/>
      <w:bookmarkStart w:id="108" w:name="_Toc4350"/>
      <w:bookmarkStart w:id="109" w:name="_Toc30515"/>
      <w:bookmarkStart w:id="110" w:name="_Toc823448808"/>
      <w:bookmarkStart w:id="111" w:name="_Toc25877"/>
      <w:bookmarkStart w:id="112" w:name="_Toc14032"/>
      <w:bookmarkStart w:id="113" w:name="_Toc8336"/>
      <w:bookmarkStart w:id="114" w:name="_Toc19973"/>
      <w:r>
        <w:rPr>
          <w:rFonts w:hint="eastAsia" w:ascii="方正黑体简体" w:hAnsi="方正黑体简体" w:eastAsia="方正黑体简体" w:cs="方正黑体简体"/>
          <w:color w:val="000000"/>
          <w:kern w:val="0"/>
          <w:sz w:val="32"/>
          <w:szCs w:val="32"/>
          <w:highlight w:val="none"/>
          <w:shd w:val="clear" w:color="auto" w:fill="FFFFFF"/>
        </w:rPr>
        <w:t>五、存在的主要问题</w:t>
      </w:r>
      <w:bookmarkEnd w:id="105"/>
      <w:bookmarkEnd w:id="106"/>
      <w:bookmarkEnd w:id="107"/>
      <w:bookmarkEnd w:id="108"/>
      <w:bookmarkEnd w:id="109"/>
      <w:bookmarkEnd w:id="110"/>
      <w:bookmarkEnd w:id="111"/>
      <w:bookmarkEnd w:id="112"/>
    </w:p>
    <w:p w14:paraId="2BC86ADC">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highlight w:val="none"/>
          <w:lang w:val="zh-CN"/>
        </w:rPr>
      </w:pPr>
      <w:bookmarkStart w:id="115" w:name="_Toc352795849"/>
      <w:r>
        <w:rPr>
          <w:rFonts w:hint="eastAsia" w:ascii="方正楷体简体" w:hAnsi="方正楷体简体" w:eastAsia="方正楷体简体" w:cs="方正楷体简体"/>
          <w:sz w:val="32"/>
          <w:szCs w:val="32"/>
          <w:highlight w:val="none"/>
          <w:lang w:val="zh-CN" w:eastAsia="zh"/>
        </w:rPr>
        <w:t>（一）部门自评评分不准确</w:t>
      </w:r>
    </w:p>
    <w:p w14:paraId="19B92FA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eastAsia="zh" w:bidi="ar"/>
        </w:rPr>
        <w:t>泸定县退役军人事务局</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年部门整体支出自评得分为</w:t>
      </w:r>
      <w:r>
        <w:rPr>
          <w:rFonts w:hint="default" w:ascii="Times New Roman" w:hAnsi="Times New Roman" w:eastAsia="方正仿宋简体" w:cs="Times New Roman"/>
          <w:kern w:val="0"/>
          <w:sz w:val="32"/>
          <w:szCs w:val="32"/>
          <w:highlight w:val="none"/>
          <w:lang w:bidi="ar"/>
        </w:rPr>
        <w:t>90</w:t>
      </w:r>
      <w:r>
        <w:rPr>
          <w:rFonts w:hint="eastAsia" w:ascii="方正仿宋简体" w:hAnsi="方正仿宋简体" w:eastAsia="方正仿宋简体" w:cs="方正仿宋简体"/>
          <w:kern w:val="0"/>
          <w:sz w:val="32"/>
          <w:szCs w:val="32"/>
          <w:highlight w:val="none"/>
          <w:lang w:eastAsia="zh" w:bidi="ar"/>
        </w:rPr>
        <w:t>分，评价组抽查得分为</w:t>
      </w:r>
      <w:r>
        <w:rPr>
          <w:rFonts w:hint="default" w:ascii="Times New Roman" w:hAnsi="Times New Roman" w:eastAsia="方正仿宋简体" w:cs="Times New Roman"/>
          <w:kern w:val="0"/>
          <w:sz w:val="32"/>
          <w:szCs w:val="32"/>
          <w:highlight w:val="none"/>
          <w:lang w:bidi="ar"/>
        </w:rPr>
        <w:t>77</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44</w:t>
      </w:r>
      <w:r>
        <w:rPr>
          <w:rFonts w:hint="eastAsia" w:ascii="方正仿宋简体" w:hAnsi="方正仿宋简体" w:eastAsia="方正仿宋简体" w:cs="方正仿宋简体"/>
          <w:kern w:val="0"/>
          <w:sz w:val="32"/>
          <w:szCs w:val="32"/>
          <w:highlight w:val="none"/>
          <w:lang w:eastAsia="zh" w:bidi="ar"/>
        </w:rPr>
        <w:t>分（不含自评准确指标分数），</w:t>
      </w:r>
      <w:r>
        <w:rPr>
          <w:rFonts w:hint="eastAsia" w:ascii="方正仿宋简体" w:hAnsi="方正仿宋简体" w:eastAsia="方正仿宋简体" w:cs="方正仿宋简体"/>
          <w:kern w:val="0"/>
          <w:sz w:val="32"/>
          <w:szCs w:val="32"/>
          <w:highlight w:val="none"/>
          <w:lang w:val="en-US" w:eastAsia="zh-CN" w:bidi="ar"/>
        </w:rPr>
        <w:t>自评准确差异率</w:t>
      </w:r>
      <w:r>
        <w:rPr>
          <w:rFonts w:hint="default" w:ascii="Times New Roman" w:hAnsi="Times New Roman" w:eastAsia="方正仿宋简体" w:cs="Times New Roman"/>
          <w:kern w:val="0"/>
          <w:sz w:val="32"/>
          <w:szCs w:val="32"/>
          <w:highlight w:val="none"/>
          <w:lang w:val="en-US" w:eastAsia="zh-CN" w:bidi="ar"/>
        </w:rPr>
        <w:t>16</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22%</w:t>
      </w:r>
      <w:r>
        <w:rPr>
          <w:rFonts w:hint="eastAsia" w:ascii="方正仿宋简体" w:hAnsi="方正仿宋简体" w:eastAsia="方正仿宋简体" w:cs="方正仿宋简体"/>
          <w:kern w:val="0"/>
          <w:sz w:val="32"/>
          <w:szCs w:val="32"/>
          <w:highlight w:val="none"/>
          <w:lang w:bidi="ar"/>
        </w:rPr>
        <w:t>。</w:t>
      </w:r>
    </w:p>
    <w:p w14:paraId="3D7941DD">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highlight w:val="none"/>
          <w:lang w:val="zh-CN" w:eastAsia="zh"/>
        </w:rPr>
      </w:pPr>
      <w:r>
        <w:rPr>
          <w:rFonts w:hint="eastAsia" w:ascii="方正楷体简体" w:hAnsi="方正楷体简体" w:eastAsia="方正楷体简体" w:cs="方正楷体简体"/>
          <w:sz w:val="32"/>
          <w:szCs w:val="32"/>
          <w:highlight w:val="none"/>
          <w:lang w:val="zh-CN" w:eastAsia="zh"/>
        </w:rPr>
        <w:t>（二）年初预算编制不够准确</w:t>
      </w:r>
    </w:p>
    <w:p w14:paraId="4AACA0A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eastAsia="zh" w:bidi="ar"/>
        </w:rPr>
        <w:t>泸定县退役军人事务局</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年年初申报县级部门预算</w:t>
      </w:r>
      <w:r>
        <w:rPr>
          <w:rFonts w:hint="default" w:ascii="Times New Roman" w:hAnsi="Times New Roman" w:eastAsia="方正仿宋简体" w:cs="Times New Roman"/>
          <w:kern w:val="0"/>
          <w:sz w:val="32"/>
          <w:szCs w:val="32"/>
          <w:highlight w:val="none"/>
          <w:lang w:bidi="ar"/>
        </w:rPr>
        <w:t>546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50</w:t>
      </w:r>
      <w:r>
        <w:rPr>
          <w:rFonts w:hint="eastAsia" w:ascii="方正仿宋简体" w:hAnsi="方正仿宋简体" w:eastAsia="方正仿宋简体" w:cs="方正仿宋简体"/>
          <w:kern w:val="0"/>
          <w:sz w:val="32"/>
          <w:szCs w:val="32"/>
          <w:highlight w:val="none"/>
          <w:lang w:bidi="ar"/>
        </w:rPr>
        <w:t>万元，全年县级预算调剂金额</w:t>
      </w:r>
      <w:r>
        <w:rPr>
          <w:rFonts w:hint="default" w:ascii="Times New Roman" w:hAnsi="Times New Roman" w:eastAsia="方正仿宋简体" w:cs="Times New Roman"/>
          <w:kern w:val="0"/>
          <w:sz w:val="32"/>
          <w:szCs w:val="32"/>
          <w:highlight w:val="none"/>
          <w:lang w:bidi="ar"/>
        </w:rPr>
        <w:t>145</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92</w:t>
      </w:r>
      <w:r>
        <w:rPr>
          <w:rFonts w:hint="eastAsia" w:ascii="方正仿宋简体" w:hAnsi="方正仿宋简体" w:eastAsia="方正仿宋简体" w:cs="方正仿宋简体"/>
          <w:kern w:val="0"/>
          <w:sz w:val="32"/>
          <w:szCs w:val="32"/>
          <w:highlight w:val="none"/>
          <w:lang w:bidi="ar"/>
        </w:rPr>
        <w:t>万元，调剂金额较高。</w:t>
      </w:r>
      <w:r>
        <w:rPr>
          <w:rFonts w:hint="eastAsia" w:ascii="方正仿宋简体" w:hAnsi="方正仿宋简体" w:eastAsia="方正仿宋简体" w:cs="方正仿宋简体"/>
          <w:kern w:val="0"/>
          <w:sz w:val="32"/>
          <w:szCs w:val="32"/>
          <w:highlight w:val="none"/>
          <w:lang w:eastAsia="zh" w:bidi="ar"/>
        </w:rPr>
        <w:t>定额公用经费中高海拔取暖费、公务接待费，非定额公用经费中办公费、培训费偏差率超</w:t>
      </w:r>
      <w:r>
        <w:rPr>
          <w:rFonts w:hint="default" w:ascii="Times New Roman" w:hAnsi="Times New Roman" w:eastAsia="方正仿宋简体" w:cs="Times New Roman"/>
          <w:kern w:val="0"/>
          <w:sz w:val="32"/>
          <w:szCs w:val="32"/>
          <w:highlight w:val="none"/>
          <w:lang w:bidi="ar"/>
        </w:rPr>
        <w:t>7</w:t>
      </w:r>
      <w:r>
        <w:rPr>
          <w:rFonts w:hint="default" w:ascii="Times New Roman" w:hAnsi="Times New Roman" w:eastAsia="方正仿宋简体" w:cs="Times New Roman"/>
          <w:kern w:val="0"/>
          <w:sz w:val="32"/>
          <w:szCs w:val="32"/>
          <w:highlight w:val="none"/>
          <w:lang w:val="en-US" w:eastAsia="zh-CN" w:bidi="ar"/>
        </w:rPr>
        <w:t>0</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00</w:t>
      </w:r>
      <w:r>
        <w:rPr>
          <w:rFonts w:hint="default" w:ascii="Times New Roman" w:hAnsi="Times New Roman" w:eastAsia="方正仿宋简体" w:cs="Times New Roman"/>
          <w:kern w:val="0"/>
          <w:sz w:val="32"/>
          <w:szCs w:val="32"/>
          <w:highlight w:val="none"/>
          <w:lang w:bidi="ar"/>
        </w:rPr>
        <w:t>%</w:t>
      </w:r>
      <w:r>
        <w:rPr>
          <w:rFonts w:hint="eastAsia" w:ascii="方正仿宋简体" w:hAnsi="方正仿宋简体" w:eastAsia="方正仿宋简体" w:cs="方正仿宋简体"/>
          <w:kern w:val="0"/>
          <w:sz w:val="32"/>
          <w:szCs w:val="32"/>
          <w:highlight w:val="none"/>
          <w:lang w:bidi="ar"/>
        </w:rPr>
        <w:t>。</w:t>
      </w:r>
    </w:p>
    <w:bookmarkEnd w:id="115"/>
    <w:p w14:paraId="07E47388">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16" w:name="_Toc22968"/>
      <w:bookmarkStart w:id="117" w:name="_Toc31629"/>
      <w:bookmarkStart w:id="118" w:name="_Toc10426"/>
      <w:bookmarkStart w:id="119" w:name="_Toc771997543"/>
      <w:bookmarkStart w:id="120" w:name="_Toc15651"/>
      <w:bookmarkStart w:id="121" w:name="_Toc3240"/>
      <w:bookmarkStart w:id="122" w:name="_Toc464104487"/>
      <w:bookmarkStart w:id="123" w:name="_Toc2080"/>
      <w:r>
        <w:rPr>
          <w:rFonts w:hint="eastAsia" w:ascii="方正黑体简体" w:hAnsi="方正黑体简体" w:eastAsia="方正黑体简体" w:cs="方正黑体简体"/>
          <w:color w:val="000000"/>
          <w:kern w:val="0"/>
          <w:sz w:val="32"/>
          <w:szCs w:val="32"/>
          <w:highlight w:val="none"/>
          <w:shd w:val="clear" w:color="auto" w:fill="FFFFFF"/>
        </w:rPr>
        <w:t>六、相关措施建议</w:t>
      </w:r>
      <w:bookmarkEnd w:id="116"/>
      <w:bookmarkEnd w:id="117"/>
      <w:bookmarkEnd w:id="118"/>
      <w:bookmarkEnd w:id="119"/>
      <w:bookmarkEnd w:id="120"/>
      <w:bookmarkEnd w:id="121"/>
      <w:bookmarkEnd w:id="122"/>
      <w:bookmarkEnd w:id="123"/>
    </w:p>
    <w:p w14:paraId="148493CF">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highlight w:val="none"/>
          <w:lang w:val="zh-CN"/>
        </w:rPr>
      </w:pPr>
      <w:bookmarkStart w:id="124" w:name="_Toc10202"/>
      <w:bookmarkStart w:id="125" w:name="_Toc19941"/>
      <w:bookmarkStart w:id="126" w:name="_Toc25014"/>
      <w:bookmarkStart w:id="127" w:name="_Toc19759"/>
      <w:bookmarkStart w:id="128" w:name="_Toc10383"/>
      <w:r>
        <w:rPr>
          <w:rFonts w:hint="eastAsia" w:ascii="方正楷体简体" w:hAnsi="方正楷体简体" w:eastAsia="方正楷体简体" w:cs="方正楷体简体"/>
          <w:sz w:val="32"/>
          <w:szCs w:val="32"/>
          <w:highlight w:val="none"/>
          <w:lang w:val="zh-CN" w:eastAsia="zh"/>
        </w:rPr>
        <w:t>（一）针对</w:t>
      </w:r>
      <w:r>
        <w:rPr>
          <w:rFonts w:hint="eastAsia" w:ascii="方正楷体简体" w:hAnsi="方正楷体简体" w:eastAsia="方正楷体简体" w:cs="方正楷体简体"/>
          <w:sz w:val="32"/>
          <w:szCs w:val="32"/>
          <w:highlight w:val="none"/>
          <w:lang w:val="zh-CN"/>
        </w:rPr>
        <w:t>“</w:t>
      </w:r>
      <w:r>
        <w:rPr>
          <w:rFonts w:hint="eastAsia" w:ascii="方正楷体简体" w:hAnsi="方正楷体简体" w:eastAsia="方正楷体简体" w:cs="方正楷体简体"/>
          <w:sz w:val="32"/>
          <w:szCs w:val="32"/>
          <w:highlight w:val="none"/>
          <w:lang w:val="zh-CN" w:eastAsia="zh"/>
        </w:rPr>
        <w:t>部门自评评分不准确</w:t>
      </w:r>
      <w:r>
        <w:rPr>
          <w:rFonts w:hint="eastAsia" w:ascii="方正楷体简体" w:hAnsi="方正楷体简体" w:eastAsia="方正楷体简体" w:cs="方正楷体简体"/>
          <w:sz w:val="32"/>
          <w:szCs w:val="32"/>
          <w:highlight w:val="none"/>
          <w:lang w:val="zh-CN"/>
        </w:rPr>
        <w:t>”的建议</w:t>
      </w:r>
    </w:p>
    <w:p w14:paraId="2595CA7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kern w:val="0"/>
          <w:sz w:val="32"/>
          <w:szCs w:val="32"/>
          <w:highlight w:val="none"/>
          <w:shd w:val="clear" w:color="auto" w:fill="FFFFFF"/>
        </w:rPr>
      </w:pPr>
      <w:r>
        <w:rPr>
          <w:rFonts w:hint="eastAsia" w:ascii="方正仿宋简体" w:hAnsi="方正仿宋简体" w:eastAsia="方正仿宋简体" w:cs="方正仿宋简体"/>
          <w:kern w:val="0"/>
          <w:sz w:val="32"/>
          <w:szCs w:val="32"/>
          <w:highlight w:val="none"/>
          <w:lang w:val="en-US" w:eastAsia="zh-CN" w:bidi="ar"/>
        </w:rPr>
        <w:t>建议：</w:t>
      </w:r>
      <w:r>
        <w:rPr>
          <w:rFonts w:hint="eastAsia" w:ascii="方正仿宋简体" w:hAnsi="方正仿宋简体" w:eastAsia="方正仿宋简体" w:cs="方正仿宋简体"/>
          <w:kern w:val="0"/>
          <w:sz w:val="32"/>
          <w:szCs w:val="32"/>
          <w:highlight w:val="none"/>
          <w:lang w:eastAsia="zh" w:bidi="ar"/>
        </w:rPr>
        <w:t>泸定县退役军人事务局应仔细研读部门绩效指标体系中评价内容与公式，严格按照该内容进行评分。</w:t>
      </w:r>
    </w:p>
    <w:p w14:paraId="3D27369A">
      <w:pPr>
        <w:keepNext w:val="0"/>
        <w:keepLines w:val="0"/>
        <w:pageBreakBefore w:val="0"/>
        <w:kinsoku/>
        <w:wordWrap/>
        <w:overflowPunct/>
        <w:topLinePunct w:val="0"/>
        <w:autoSpaceDE/>
        <w:autoSpaceDN/>
        <w:bidi w:val="0"/>
        <w:spacing w:line="600" w:lineRule="exact"/>
        <w:ind w:left="0" w:firstLine="600"/>
        <w:outlineLvl w:val="1"/>
        <w:rPr>
          <w:rFonts w:hint="eastAsia" w:ascii="方正楷体简体" w:hAnsi="方正楷体简体" w:eastAsia="方正楷体简体" w:cs="方正楷体简体"/>
          <w:sz w:val="32"/>
          <w:szCs w:val="32"/>
          <w:highlight w:val="none"/>
          <w:lang w:val="zh-CN" w:eastAsia="zh"/>
        </w:rPr>
      </w:pPr>
      <w:r>
        <w:rPr>
          <w:rFonts w:hint="eastAsia" w:ascii="方正楷体简体" w:hAnsi="方正楷体简体" w:eastAsia="方正楷体简体" w:cs="方正楷体简体"/>
          <w:sz w:val="32"/>
          <w:szCs w:val="32"/>
          <w:highlight w:val="none"/>
          <w:lang w:val="zh-CN" w:eastAsia="zh"/>
        </w:rPr>
        <w:t>（二）针对“年初预算编制不够精准”的建议</w:t>
      </w:r>
    </w:p>
    <w:p w14:paraId="246699F3">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lang w:val="en-US" w:eastAsia="zh-CN"/>
        </w:rPr>
        <w:t>建议：</w:t>
      </w:r>
      <w:r>
        <w:rPr>
          <w:rFonts w:hint="eastAsia" w:ascii="方正仿宋简体" w:hAnsi="方正仿宋简体" w:eastAsia="方正仿宋简体" w:cs="方正仿宋简体"/>
          <w:sz w:val="32"/>
          <w:szCs w:val="32"/>
          <w:highlight w:val="none"/>
          <w:lang w:eastAsia="zh"/>
        </w:rPr>
        <w:t>泸定县退役军人事务局</w:t>
      </w:r>
      <w:r>
        <w:rPr>
          <w:rFonts w:hint="eastAsia" w:ascii="方正仿宋简体" w:hAnsi="方正仿宋简体" w:eastAsia="方正仿宋简体" w:cs="方正仿宋简体"/>
          <w:sz w:val="32"/>
          <w:szCs w:val="32"/>
          <w:highlight w:val="none"/>
        </w:rPr>
        <w:t>应加</w:t>
      </w:r>
      <w:r>
        <w:rPr>
          <w:rFonts w:hint="eastAsia" w:ascii="方正仿宋简体" w:hAnsi="方正仿宋简体" w:eastAsia="方正仿宋简体" w:cs="方正仿宋简体"/>
          <w:sz w:val="32"/>
          <w:szCs w:val="32"/>
          <w:highlight w:val="none"/>
          <w:lang w:eastAsia="zh"/>
        </w:rPr>
        <w:t>强年初整体预算、公用经费及部门预算项目中非定额公用支出的年初预算编制</w:t>
      </w:r>
      <w:r>
        <w:rPr>
          <w:rFonts w:hint="eastAsia" w:ascii="方正仿宋简体" w:hAnsi="方正仿宋简体" w:eastAsia="方正仿宋简体" w:cs="方正仿宋简体"/>
          <w:sz w:val="32"/>
          <w:szCs w:val="32"/>
          <w:highlight w:val="none"/>
          <w:lang w:eastAsia="zh" w:bidi="ar"/>
        </w:rPr>
        <w:t>，确保财政资金得到充分利用</w:t>
      </w:r>
      <w:r>
        <w:rPr>
          <w:rFonts w:hint="eastAsia" w:ascii="方正仿宋简体" w:hAnsi="方正仿宋简体" w:eastAsia="方正仿宋简体" w:cs="方正仿宋简体"/>
          <w:sz w:val="32"/>
          <w:szCs w:val="32"/>
          <w:highlight w:val="none"/>
        </w:rPr>
        <w:t>。</w:t>
      </w:r>
    </w:p>
    <w:p w14:paraId="7B8F565B">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sz w:val="32"/>
          <w:szCs w:val="32"/>
          <w:highlight w:val="none"/>
          <w:lang w:eastAsia="zh"/>
        </w:rPr>
      </w:pPr>
    </w:p>
    <w:p w14:paraId="44F0EDA0">
      <w:pPr>
        <w:pStyle w:val="2"/>
        <w:keepNext w:val="0"/>
        <w:keepLines w:val="0"/>
        <w:pageBreakBefore w:val="0"/>
        <w:widowControl w:val="0"/>
        <w:kinsoku/>
        <w:wordWrap/>
        <w:overflowPunct/>
        <w:topLinePunct w:val="0"/>
        <w:autoSpaceDE/>
        <w:autoSpaceDN/>
        <w:bidi w:val="0"/>
        <w:adjustRightInd/>
        <w:snapToGrid/>
        <w:spacing w:after="0" w:line="600" w:lineRule="exact"/>
        <w:ind w:left="1598" w:leftChars="228" w:hanging="960" w:hangingChars="3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eastAsia="zh"/>
        </w:rPr>
        <w:t>附件：泸定县退役军人事务局部门整体支出绩效评价指标</w:t>
      </w:r>
      <w:r>
        <w:rPr>
          <w:rFonts w:hint="eastAsia" w:ascii="方正仿宋简体" w:hAnsi="方正仿宋简体" w:eastAsia="方正仿宋简体" w:cs="方正仿宋简体"/>
          <w:sz w:val="32"/>
          <w:szCs w:val="32"/>
          <w:highlight w:val="none"/>
          <w:lang w:val="en-US" w:eastAsia="zh-CN"/>
        </w:rPr>
        <w:t>体系表（评分表）</w:t>
      </w:r>
    </w:p>
    <w:p w14:paraId="0DE60DEF">
      <w:pPr>
        <w:pStyle w:val="2"/>
        <w:rPr>
          <w:rFonts w:hint="eastAsia" w:ascii="方正仿宋简体" w:hAnsi="方正仿宋简体" w:eastAsia="方正仿宋简体" w:cs="方正仿宋简体"/>
          <w:sz w:val="32"/>
          <w:szCs w:val="32"/>
          <w:highlight w:val="none"/>
          <w:lang w:val="en-US" w:eastAsia="zh-CN"/>
        </w:rPr>
      </w:pPr>
      <w:bookmarkStart w:id="129" w:name="_GoBack"/>
      <w:bookmarkEnd w:id="129"/>
    </w:p>
    <w:p w14:paraId="0D1EBAEF">
      <w:pPr>
        <w:rPr>
          <w:rFonts w:hint="eastAsia"/>
          <w:highlight w:val="none"/>
          <w:lang w:eastAsia="zh"/>
        </w:rPr>
      </w:pPr>
    </w:p>
    <w:bookmarkEnd w:id="113"/>
    <w:bookmarkEnd w:id="114"/>
    <w:bookmarkEnd w:id="124"/>
    <w:bookmarkEnd w:id="125"/>
    <w:bookmarkEnd w:id="126"/>
    <w:bookmarkEnd w:id="127"/>
    <w:bookmarkEnd w:id="128"/>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p>
    <w:p w14:paraId="06EB047F">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sectPr>
      <w:headerReference r:id="rId5" w:type="default"/>
      <w:footerReference r:id="rId6" w:type="default"/>
      <w:pgSz w:w="11906" w:h="16838"/>
      <w:pgMar w:top="2098" w:right="1531" w:bottom="1871" w:left="1531" w:header="850" w:footer="992" w:gutter="0"/>
      <w:pgNumType w:fmt="decimal" w:start="1"/>
      <w:cols w:space="0"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443CD7C-0F0A-4239-BA0B-D6269C7E90D6}"/>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embedRegular r:id="rId2" w:fontKey="{6050A5AC-AA8A-444C-B88B-0EAFA0238F49}"/>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3" w:fontKey="{6E5F1A52-7F5C-4B42-A917-061D687087A4}"/>
  </w:font>
  <w:font w:name="方正小标宋简体">
    <w:panose1 w:val="03000509000000000000"/>
    <w:charset w:val="86"/>
    <w:family w:val="auto"/>
    <w:pitch w:val="default"/>
    <w:sig w:usb0="00000001" w:usb1="080E0000" w:usb2="00000000" w:usb3="00000000" w:csb0="00040000" w:csb1="00000000"/>
    <w:embedRegular r:id="rId4" w:fontKey="{20CA3752-255F-48F9-B7ED-10C04EC02B76}"/>
  </w:font>
  <w:font w:name="方正楷体简体">
    <w:panose1 w:val="02000000000000000000"/>
    <w:charset w:val="86"/>
    <w:family w:val="auto"/>
    <w:pitch w:val="default"/>
    <w:sig w:usb0="00000001" w:usb1="080E0000" w:usb2="00000000" w:usb3="00000000" w:csb0="00040000" w:csb1="00000000"/>
    <w:embedRegular r:id="rId5" w:fontKey="{9AAC5482-94C4-4B7C-848C-CBA5EC437E5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62B5A">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5399D7">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045399D7">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8A651">
    <w:pPr>
      <w:pBdr>
        <w:top w:val="none" w:color="auto" w:sz="0" w:space="1"/>
        <w:left w:val="none" w:color="auto" w:sz="0" w:space="4"/>
        <w:bottom w:val="none" w:color="auto" w:sz="0" w:space="1"/>
        <w:right w:val="none" w:color="auto" w:sz="0" w:space="4"/>
      </w:pBdr>
      <w:tabs>
        <w:tab w:val="center" w:pos="4153"/>
        <w:tab w:val="right" w:pos="8306"/>
      </w:tabs>
      <w:snapToGrid w:val="0"/>
      <w:ind w:firstLine="0" w:firstLineChars="0"/>
      <w:rPr>
        <w:rFonts w:ascii="Calibri" w:hAnsi="Calibri" w:eastAsia="宋体" w:cs="Times New Roman"/>
        <w:sz w:val="18"/>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502C63"/>
    <w:multiLevelType w:val="singleLevel"/>
    <w:tmpl w:val="8B502C63"/>
    <w:lvl w:ilvl="0" w:tentative="0">
      <w:start w:val="3"/>
      <w:numFmt w:val="decimal"/>
      <w:suff w:val="nothing"/>
      <w:lvlText w:val="%1."/>
      <w:lvlJc w:val="left"/>
      <w:pPr>
        <w:ind w:left="0" w:firstLine="640"/>
      </w:pPr>
      <w:rPr>
        <w:rFonts w:hint="default" w:ascii="Times New Roman" w:hAnsi="Times New Roman" w:cs="Times New Roman"/>
        <w:sz w:val="32"/>
        <w:szCs w:val="32"/>
      </w:r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6625B"/>
    <w:rsid w:val="000663C7"/>
    <w:rsid w:val="00072D71"/>
    <w:rsid w:val="00097BF8"/>
    <w:rsid w:val="000C45D6"/>
    <w:rsid w:val="000C4C8F"/>
    <w:rsid w:val="000C754C"/>
    <w:rsid w:val="000E2AA0"/>
    <w:rsid w:val="00127F9D"/>
    <w:rsid w:val="001338DC"/>
    <w:rsid w:val="00145DD7"/>
    <w:rsid w:val="00147C82"/>
    <w:rsid w:val="00163525"/>
    <w:rsid w:val="001640F1"/>
    <w:rsid w:val="00172A27"/>
    <w:rsid w:val="00184C8D"/>
    <w:rsid w:val="001A6E39"/>
    <w:rsid w:val="001B33A7"/>
    <w:rsid w:val="001B4151"/>
    <w:rsid w:val="00202FA3"/>
    <w:rsid w:val="00236D1D"/>
    <w:rsid w:val="00252077"/>
    <w:rsid w:val="002540F4"/>
    <w:rsid w:val="002626B7"/>
    <w:rsid w:val="00272C1D"/>
    <w:rsid w:val="002E0E82"/>
    <w:rsid w:val="002F7B42"/>
    <w:rsid w:val="00312793"/>
    <w:rsid w:val="0032304E"/>
    <w:rsid w:val="00365431"/>
    <w:rsid w:val="003655C8"/>
    <w:rsid w:val="003F0E80"/>
    <w:rsid w:val="004010D9"/>
    <w:rsid w:val="004267A7"/>
    <w:rsid w:val="00443DB6"/>
    <w:rsid w:val="00451894"/>
    <w:rsid w:val="00452C50"/>
    <w:rsid w:val="004549BF"/>
    <w:rsid w:val="00456E7B"/>
    <w:rsid w:val="004624B5"/>
    <w:rsid w:val="005B0DF9"/>
    <w:rsid w:val="005C0F19"/>
    <w:rsid w:val="005D0FB9"/>
    <w:rsid w:val="00610FBA"/>
    <w:rsid w:val="0061480A"/>
    <w:rsid w:val="00646411"/>
    <w:rsid w:val="006572B8"/>
    <w:rsid w:val="006702AB"/>
    <w:rsid w:val="006729CA"/>
    <w:rsid w:val="00672EE0"/>
    <w:rsid w:val="0067664F"/>
    <w:rsid w:val="006E2F08"/>
    <w:rsid w:val="00714E8A"/>
    <w:rsid w:val="007221E5"/>
    <w:rsid w:val="00722D5A"/>
    <w:rsid w:val="00747EAD"/>
    <w:rsid w:val="00752D72"/>
    <w:rsid w:val="00757BEA"/>
    <w:rsid w:val="00797939"/>
    <w:rsid w:val="007A1FB6"/>
    <w:rsid w:val="007E5CD9"/>
    <w:rsid w:val="007F71B9"/>
    <w:rsid w:val="00804DDE"/>
    <w:rsid w:val="0084568E"/>
    <w:rsid w:val="00846B6A"/>
    <w:rsid w:val="0085230D"/>
    <w:rsid w:val="0085646D"/>
    <w:rsid w:val="00870DA1"/>
    <w:rsid w:val="0088162A"/>
    <w:rsid w:val="00893B53"/>
    <w:rsid w:val="008956AD"/>
    <w:rsid w:val="008B2190"/>
    <w:rsid w:val="008D697A"/>
    <w:rsid w:val="00926D78"/>
    <w:rsid w:val="00934B72"/>
    <w:rsid w:val="00950253"/>
    <w:rsid w:val="00963AA7"/>
    <w:rsid w:val="00970070"/>
    <w:rsid w:val="009960B3"/>
    <w:rsid w:val="0099716E"/>
    <w:rsid w:val="009A37F3"/>
    <w:rsid w:val="009B5855"/>
    <w:rsid w:val="009B6ABE"/>
    <w:rsid w:val="009C31B7"/>
    <w:rsid w:val="009F700D"/>
    <w:rsid w:val="00A1757E"/>
    <w:rsid w:val="00A50F65"/>
    <w:rsid w:val="00A60B13"/>
    <w:rsid w:val="00AD1C0E"/>
    <w:rsid w:val="00AD2935"/>
    <w:rsid w:val="00AD64C4"/>
    <w:rsid w:val="00AE1EFF"/>
    <w:rsid w:val="00B11E73"/>
    <w:rsid w:val="00B17F2F"/>
    <w:rsid w:val="00B335B9"/>
    <w:rsid w:val="00B33889"/>
    <w:rsid w:val="00B618AC"/>
    <w:rsid w:val="00B7197A"/>
    <w:rsid w:val="00BB44E8"/>
    <w:rsid w:val="00BB4B64"/>
    <w:rsid w:val="00BD4194"/>
    <w:rsid w:val="00BF1745"/>
    <w:rsid w:val="00BF1B07"/>
    <w:rsid w:val="00BF55A4"/>
    <w:rsid w:val="00C46DF1"/>
    <w:rsid w:val="00C54B59"/>
    <w:rsid w:val="00C809F3"/>
    <w:rsid w:val="00CB3663"/>
    <w:rsid w:val="00CE07E9"/>
    <w:rsid w:val="00CF395F"/>
    <w:rsid w:val="00D10437"/>
    <w:rsid w:val="00D2410B"/>
    <w:rsid w:val="00D33BD1"/>
    <w:rsid w:val="00D35534"/>
    <w:rsid w:val="00D56E50"/>
    <w:rsid w:val="00D67483"/>
    <w:rsid w:val="00DA67EF"/>
    <w:rsid w:val="00DB247B"/>
    <w:rsid w:val="00E56977"/>
    <w:rsid w:val="00E56B08"/>
    <w:rsid w:val="00E73CED"/>
    <w:rsid w:val="00E77AE8"/>
    <w:rsid w:val="00EB673D"/>
    <w:rsid w:val="00ED4547"/>
    <w:rsid w:val="00EE1A30"/>
    <w:rsid w:val="00EE3529"/>
    <w:rsid w:val="00F80E20"/>
    <w:rsid w:val="00FA512F"/>
    <w:rsid w:val="00FF076D"/>
    <w:rsid w:val="015B3238"/>
    <w:rsid w:val="0174274A"/>
    <w:rsid w:val="01AE1362"/>
    <w:rsid w:val="0209008E"/>
    <w:rsid w:val="0221101D"/>
    <w:rsid w:val="028212C5"/>
    <w:rsid w:val="02B56978"/>
    <w:rsid w:val="034B0AC6"/>
    <w:rsid w:val="03BD26AA"/>
    <w:rsid w:val="03C46413"/>
    <w:rsid w:val="03F043C9"/>
    <w:rsid w:val="03F5560D"/>
    <w:rsid w:val="05370DC3"/>
    <w:rsid w:val="05704583"/>
    <w:rsid w:val="05AE5131"/>
    <w:rsid w:val="06E2185D"/>
    <w:rsid w:val="074574B7"/>
    <w:rsid w:val="077F711D"/>
    <w:rsid w:val="0815093A"/>
    <w:rsid w:val="08280844"/>
    <w:rsid w:val="08321414"/>
    <w:rsid w:val="08CA0DBA"/>
    <w:rsid w:val="0AA10A64"/>
    <w:rsid w:val="0AAA2B3A"/>
    <w:rsid w:val="0BD10723"/>
    <w:rsid w:val="0C82214A"/>
    <w:rsid w:val="0CC90B55"/>
    <w:rsid w:val="0CCC0032"/>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7E3CE8"/>
    <w:rsid w:val="0F895427"/>
    <w:rsid w:val="0FA36556"/>
    <w:rsid w:val="10607EBA"/>
    <w:rsid w:val="10A609B0"/>
    <w:rsid w:val="10BB33AB"/>
    <w:rsid w:val="10C177C0"/>
    <w:rsid w:val="10FB12CE"/>
    <w:rsid w:val="11034D52"/>
    <w:rsid w:val="11641A35"/>
    <w:rsid w:val="11A54F88"/>
    <w:rsid w:val="1256364C"/>
    <w:rsid w:val="12F71BB3"/>
    <w:rsid w:val="13445E84"/>
    <w:rsid w:val="13463C67"/>
    <w:rsid w:val="134E407D"/>
    <w:rsid w:val="136916A0"/>
    <w:rsid w:val="140A2038"/>
    <w:rsid w:val="144B4CE8"/>
    <w:rsid w:val="14827494"/>
    <w:rsid w:val="14DA48CB"/>
    <w:rsid w:val="155B04E5"/>
    <w:rsid w:val="15762967"/>
    <w:rsid w:val="15C0420D"/>
    <w:rsid w:val="16310CFC"/>
    <w:rsid w:val="16521418"/>
    <w:rsid w:val="167B192A"/>
    <w:rsid w:val="16BA737C"/>
    <w:rsid w:val="170C121B"/>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F776D6"/>
    <w:rsid w:val="1B0B2AA5"/>
    <w:rsid w:val="1BDF6BC8"/>
    <w:rsid w:val="1C2C3D72"/>
    <w:rsid w:val="1C535707"/>
    <w:rsid w:val="1C580E62"/>
    <w:rsid w:val="1C975E00"/>
    <w:rsid w:val="1D046172"/>
    <w:rsid w:val="1D4F18C5"/>
    <w:rsid w:val="1D9A1CE4"/>
    <w:rsid w:val="1DD67D6F"/>
    <w:rsid w:val="1ED16069"/>
    <w:rsid w:val="1ED24185"/>
    <w:rsid w:val="1ED35C04"/>
    <w:rsid w:val="1ED903FD"/>
    <w:rsid w:val="1EE16233"/>
    <w:rsid w:val="1EFB57A6"/>
    <w:rsid w:val="1F406C39"/>
    <w:rsid w:val="1FD20322"/>
    <w:rsid w:val="1FE92B41"/>
    <w:rsid w:val="1FF98ADA"/>
    <w:rsid w:val="1FFEDEEE"/>
    <w:rsid w:val="201E1FEE"/>
    <w:rsid w:val="202E7632"/>
    <w:rsid w:val="20533B33"/>
    <w:rsid w:val="207456E4"/>
    <w:rsid w:val="20CB7E98"/>
    <w:rsid w:val="21CC56B8"/>
    <w:rsid w:val="21F711A6"/>
    <w:rsid w:val="22460F43"/>
    <w:rsid w:val="22612BC4"/>
    <w:rsid w:val="2297354C"/>
    <w:rsid w:val="22F7E8FF"/>
    <w:rsid w:val="234C0C7F"/>
    <w:rsid w:val="23F46FD7"/>
    <w:rsid w:val="24283899"/>
    <w:rsid w:val="24436E8F"/>
    <w:rsid w:val="248C4080"/>
    <w:rsid w:val="24C04FDC"/>
    <w:rsid w:val="25F533FB"/>
    <w:rsid w:val="26331263"/>
    <w:rsid w:val="263F3713"/>
    <w:rsid w:val="265058AE"/>
    <w:rsid w:val="265F3B15"/>
    <w:rsid w:val="269C2300"/>
    <w:rsid w:val="271534C4"/>
    <w:rsid w:val="271E56C4"/>
    <w:rsid w:val="27391076"/>
    <w:rsid w:val="273B0505"/>
    <w:rsid w:val="277338DD"/>
    <w:rsid w:val="27AAD4A3"/>
    <w:rsid w:val="27EBC72D"/>
    <w:rsid w:val="27F31AB9"/>
    <w:rsid w:val="27F60C89"/>
    <w:rsid w:val="27FFC5C7"/>
    <w:rsid w:val="282B56B9"/>
    <w:rsid w:val="28371A2F"/>
    <w:rsid w:val="284452E7"/>
    <w:rsid w:val="28757938"/>
    <w:rsid w:val="28950ECF"/>
    <w:rsid w:val="291B3F45"/>
    <w:rsid w:val="294B0B24"/>
    <w:rsid w:val="29581F66"/>
    <w:rsid w:val="29942B89"/>
    <w:rsid w:val="2A0E67EA"/>
    <w:rsid w:val="2A14341E"/>
    <w:rsid w:val="2A257690"/>
    <w:rsid w:val="2A817549"/>
    <w:rsid w:val="2ADB2B70"/>
    <w:rsid w:val="2B625A5F"/>
    <w:rsid w:val="2B9716ED"/>
    <w:rsid w:val="2BBE5215"/>
    <w:rsid w:val="2BD70482"/>
    <w:rsid w:val="2C2F0835"/>
    <w:rsid w:val="2CBB4441"/>
    <w:rsid w:val="2CC80ED2"/>
    <w:rsid w:val="2CD1263C"/>
    <w:rsid w:val="2CF37A27"/>
    <w:rsid w:val="2CF74E38"/>
    <w:rsid w:val="2D241E80"/>
    <w:rsid w:val="2D32459D"/>
    <w:rsid w:val="2D324D1A"/>
    <w:rsid w:val="2D525A3B"/>
    <w:rsid w:val="2D6319D3"/>
    <w:rsid w:val="2DE812E1"/>
    <w:rsid w:val="2E750BE6"/>
    <w:rsid w:val="2E7B50BC"/>
    <w:rsid w:val="2EAE40F8"/>
    <w:rsid w:val="2ED1320F"/>
    <w:rsid w:val="2F040BD9"/>
    <w:rsid w:val="2F3274A5"/>
    <w:rsid w:val="2FBBA5AB"/>
    <w:rsid w:val="2FEF2A5C"/>
    <w:rsid w:val="3052247A"/>
    <w:rsid w:val="3090670D"/>
    <w:rsid w:val="312B48AF"/>
    <w:rsid w:val="32A47AB4"/>
    <w:rsid w:val="32CB27BC"/>
    <w:rsid w:val="33105381"/>
    <w:rsid w:val="33322B1B"/>
    <w:rsid w:val="336B6A5B"/>
    <w:rsid w:val="337B49B9"/>
    <w:rsid w:val="33EB569F"/>
    <w:rsid w:val="33FA0C54"/>
    <w:rsid w:val="34113BD6"/>
    <w:rsid w:val="34140406"/>
    <w:rsid w:val="342C7375"/>
    <w:rsid w:val="349E076A"/>
    <w:rsid w:val="34B42BB5"/>
    <w:rsid w:val="34C73C1C"/>
    <w:rsid w:val="350D6544"/>
    <w:rsid w:val="36001598"/>
    <w:rsid w:val="360308FA"/>
    <w:rsid w:val="36870F62"/>
    <w:rsid w:val="369B1CB2"/>
    <w:rsid w:val="36BF54EC"/>
    <w:rsid w:val="36C17759"/>
    <w:rsid w:val="36DC449D"/>
    <w:rsid w:val="36F56951"/>
    <w:rsid w:val="37D16B8B"/>
    <w:rsid w:val="37E36263"/>
    <w:rsid w:val="37EE368E"/>
    <w:rsid w:val="382F62A9"/>
    <w:rsid w:val="38C96200"/>
    <w:rsid w:val="38D85C62"/>
    <w:rsid w:val="390E6F8C"/>
    <w:rsid w:val="39374DDA"/>
    <w:rsid w:val="393C614A"/>
    <w:rsid w:val="39411EEC"/>
    <w:rsid w:val="39935632"/>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B744C0"/>
    <w:rsid w:val="3DFC2E05"/>
    <w:rsid w:val="3E3E04F4"/>
    <w:rsid w:val="3E432DCF"/>
    <w:rsid w:val="3E4B3EA4"/>
    <w:rsid w:val="3E8E1632"/>
    <w:rsid w:val="3F5605BF"/>
    <w:rsid w:val="3F7B5870"/>
    <w:rsid w:val="3FAD280D"/>
    <w:rsid w:val="3FAFC9F3"/>
    <w:rsid w:val="3FBD0AA0"/>
    <w:rsid w:val="3FBFE8A3"/>
    <w:rsid w:val="3FBFF11E"/>
    <w:rsid w:val="3FC78042"/>
    <w:rsid w:val="3FCF6EEE"/>
    <w:rsid w:val="3FD523C9"/>
    <w:rsid w:val="3FDFF9A1"/>
    <w:rsid w:val="3FFA9567"/>
    <w:rsid w:val="3FFB64EB"/>
    <w:rsid w:val="3FFBC9EC"/>
    <w:rsid w:val="3FFDEF72"/>
    <w:rsid w:val="3FFFEA14"/>
    <w:rsid w:val="400D7690"/>
    <w:rsid w:val="4069560F"/>
    <w:rsid w:val="412070D7"/>
    <w:rsid w:val="41DC7289"/>
    <w:rsid w:val="41FD2ABB"/>
    <w:rsid w:val="421C165C"/>
    <w:rsid w:val="428B71EF"/>
    <w:rsid w:val="42A2347D"/>
    <w:rsid w:val="43251644"/>
    <w:rsid w:val="43802285"/>
    <w:rsid w:val="43A7F1A6"/>
    <w:rsid w:val="43D2284D"/>
    <w:rsid w:val="43ED42A2"/>
    <w:rsid w:val="44865DC2"/>
    <w:rsid w:val="44986F84"/>
    <w:rsid w:val="44A86EA6"/>
    <w:rsid w:val="44B03869"/>
    <w:rsid w:val="44FE2B7A"/>
    <w:rsid w:val="45221C05"/>
    <w:rsid w:val="455812EC"/>
    <w:rsid w:val="456F5F37"/>
    <w:rsid w:val="45761D23"/>
    <w:rsid w:val="4593493B"/>
    <w:rsid w:val="459B16D3"/>
    <w:rsid w:val="459E4A6E"/>
    <w:rsid w:val="45F31D67"/>
    <w:rsid w:val="45FF29D4"/>
    <w:rsid w:val="462A15BD"/>
    <w:rsid w:val="4633306D"/>
    <w:rsid w:val="46625636"/>
    <w:rsid w:val="46E2098A"/>
    <w:rsid w:val="4712301E"/>
    <w:rsid w:val="47970F04"/>
    <w:rsid w:val="48D56225"/>
    <w:rsid w:val="49D23684"/>
    <w:rsid w:val="49F243D5"/>
    <w:rsid w:val="4A3F0AC3"/>
    <w:rsid w:val="4AFA2C7B"/>
    <w:rsid w:val="4B0435C5"/>
    <w:rsid w:val="4B58271A"/>
    <w:rsid w:val="4B6B11A9"/>
    <w:rsid w:val="4B9C6B82"/>
    <w:rsid w:val="4BD702C0"/>
    <w:rsid w:val="4BDE4024"/>
    <w:rsid w:val="4C1635B0"/>
    <w:rsid w:val="4C907F6D"/>
    <w:rsid w:val="4CAE35BE"/>
    <w:rsid w:val="4CFC2039"/>
    <w:rsid w:val="4D6E449B"/>
    <w:rsid w:val="4DC112FA"/>
    <w:rsid w:val="4EEF8CF5"/>
    <w:rsid w:val="4F0A34DF"/>
    <w:rsid w:val="4F5F5C7E"/>
    <w:rsid w:val="4F7241B1"/>
    <w:rsid w:val="4FCD04DF"/>
    <w:rsid w:val="4FF7181A"/>
    <w:rsid w:val="4FFBD132"/>
    <w:rsid w:val="4FFE309A"/>
    <w:rsid w:val="507D0BBC"/>
    <w:rsid w:val="507E6B2A"/>
    <w:rsid w:val="51290B58"/>
    <w:rsid w:val="51381763"/>
    <w:rsid w:val="51960840"/>
    <w:rsid w:val="51E2208C"/>
    <w:rsid w:val="52265F38"/>
    <w:rsid w:val="52EF2BDF"/>
    <w:rsid w:val="535B753F"/>
    <w:rsid w:val="542944A1"/>
    <w:rsid w:val="543748C0"/>
    <w:rsid w:val="54B716A8"/>
    <w:rsid w:val="55516FE9"/>
    <w:rsid w:val="55681707"/>
    <w:rsid w:val="55AC2CD2"/>
    <w:rsid w:val="55B812E3"/>
    <w:rsid w:val="55D82153"/>
    <w:rsid w:val="561A2F05"/>
    <w:rsid w:val="568E0804"/>
    <w:rsid w:val="56A7003A"/>
    <w:rsid w:val="571D6CFE"/>
    <w:rsid w:val="575D29C4"/>
    <w:rsid w:val="577B4EF8"/>
    <w:rsid w:val="57950BEC"/>
    <w:rsid w:val="579A41D9"/>
    <w:rsid w:val="57BD01C5"/>
    <w:rsid w:val="57BE73BD"/>
    <w:rsid w:val="57C56C55"/>
    <w:rsid w:val="57CA120E"/>
    <w:rsid w:val="57E13BCA"/>
    <w:rsid w:val="57EAF5E5"/>
    <w:rsid w:val="57F438E3"/>
    <w:rsid w:val="57F63133"/>
    <w:rsid w:val="58334AD1"/>
    <w:rsid w:val="5864421C"/>
    <w:rsid w:val="5901172B"/>
    <w:rsid w:val="59561F19"/>
    <w:rsid w:val="596B1981"/>
    <w:rsid w:val="59821BED"/>
    <w:rsid w:val="59CF4D9E"/>
    <w:rsid w:val="5A7A3092"/>
    <w:rsid w:val="5AB4383C"/>
    <w:rsid w:val="5AED719F"/>
    <w:rsid w:val="5B0A7A07"/>
    <w:rsid w:val="5B1433B1"/>
    <w:rsid w:val="5B353327"/>
    <w:rsid w:val="5B3C271A"/>
    <w:rsid w:val="5B3F384B"/>
    <w:rsid w:val="5B5F5E1B"/>
    <w:rsid w:val="5B7B2A0D"/>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753C8C"/>
    <w:rsid w:val="5E7C5B9B"/>
    <w:rsid w:val="5EB1D3F4"/>
    <w:rsid w:val="5EDB5F93"/>
    <w:rsid w:val="5F246AEA"/>
    <w:rsid w:val="5F3B183F"/>
    <w:rsid w:val="5F562031"/>
    <w:rsid w:val="5F774ACC"/>
    <w:rsid w:val="5F9C373E"/>
    <w:rsid w:val="5FAE61AA"/>
    <w:rsid w:val="5FBF7263"/>
    <w:rsid w:val="5FCF84ED"/>
    <w:rsid w:val="5FDFC83C"/>
    <w:rsid w:val="5FF7A0DE"/>
    <w:rsid w:val="5FFB6F3A"/>
    <w:rsid w:val="60017C7C"/>
    <w:rsid w:val="6020741B"/>
    <w:rsid w:val="608914CC"/>
    <w:rsid w:val="6094289E"/>
    <w:rsid w:val="60F11867"/>
    <w:rsid w:val="615C16D6"/>
    <w:rsid w:val="618A3DC3"/>
    <w:rsid w:val="61C15430"/>
    <w:rsid w:val="62102CE3"/>
    <w:rsid w:val="62222B09"/>
    <w:rsid w:val="62311D7E"/>
    <w:rsid w:val="62350D51"/>
    <w:rsid w:val="627C5614"/>
    <w:rsid w:val="62BA758E"/>
    <w:rsid w:val="62BB6119"/>
    <w:rsid w:val="62D11B87"/>
    <w:rsid w:val="630D7F41"/>
    <w:rsid w:val="636C18B0"/>
    <w:rsid w:val="63806FD3"/>
    <w:rsid w:val="63A71F74"/>
    <w:rsid w:val="64FE5F84"/>
    <w:rsid w:val="652F1904"/>
    <w:rsid w:val="658FBDC6"/>
    <w:rsid w:val="65BF660F"/>
    <w:rsid w:val="65C7404D"/>
    <w:rsid w:val="65F17436"/>
    <w:rsid w:val="66C0483B"/>
    <w:rsid w:val="66CC410D"/>
    <w:rsid w:val="66EE54A9"/>
    <w:rsid w:val="67152FB8"/>
    <w:rsid w:val="67551304"/>
    <w:rsid w:val="675FA277"/>
    <w:rsid w:val="676254A4"/>
    <w:rsid w:val="678D0D6C"/>
    <w:rsid w:val="67AB4C59"/>
    <w:rsid w:val="67D8ED11"/>
    <w:rsid w:val="684306E9"/>
    <w:rsid w:val="68723580"/>
    <w:rsid w:val="68994500"/>
    <w:rsid w:val="69172000"/>
    <w:rsid w:val="697F1380"/>
    <w:rsid w:val="699A1F8A"/>
    <w:rsid w:val="69A93917"/>
    <w:rsid w:val="6A4A3BFD"/>
    <w:rsid w:val="6B43739A"/>
    <w:rsid w:val="6BBBEF49"/>
    <w:rsid w:val="6BFFA4D9"/>
    <w:rsid w:val="6C196A9A"/>
    <w:rsid w:val="6C75429C"/>
    <w:rsid w:val="6C7D23DE"/>
    <w:rsid w:val="6C862912"/>
    <w:rsid w:val="6CFA1652"/>
    <w:rsid w:val="6CFD7E08"/>
    <w:rsid w:val="6D0F4A6A"/>
    <w:rsid w:val="6D3D4391"/>
    <w:rsid w:val="6D8E68B6"/>
    <w:rsid w:val="6D97F2C7"/>
    <w:rsid w:val="6DB91B96"/>
    <w:rsid w:val="6DCD214C"/>
    <w:rsid w:val="6E3C3302"/>
    <w:rsid w:val="6E7E0482"/>
    <w:rsid w:val="6E7F1593"/>
    <w:rsid w:val="6EC3F98A"/>
    <w:rsid w:val="6EFE7E0F"/>
    <w:rsid w:val="6F5F3DDC"/>
    <w:rsid w:val="6FBF4705"/>
    <w:rsid w:val="6FC06BC3"/>
    <w:rsid w:val="6FC24E02"/>
    <w:rsid w:val="6FCD2B35"/>
    <w:rsid w:val="6FEFDAF3"/>
    <w:rsid w:val="6FF31238"/>
    <w:rsid w:val="6FF658FB"/>
    <w:rsid w:val="6FFB1FF0"/>
    <w:rsid w:val="6FFEF6BD"/>
    <w:rsid w:val="6FFF439D"/>
    <w:rsid w:val="70756248"/>
    <w:rsid w:val="70E817A2"/>
    <w:rsid w:val="70EF71B7"/>
    <w:rsid w:val="70FAFB2A"/>
    <w:rsid w:val="710969DC"/>
    <w:rsid w:val="716138A0"/>
    <w:rsid w:val="71753151"/>
    <w:rsid w:val="71A73D3E"/>
    <w:rsid w:val="71D4087A"/>
    <w:rsid w:val="71E34413"/>
    <w:rsid w:val="71FE401B"/>
    <w:rsid w:val="723C46B5"/>
    <w:rsid w:val="727D4F24"/>
    <w:rsid w:val="72822E9E"/>
    <w:rsid w:val="72A146DD"/>
    <w:rsid w:val="72A70FAA"/>
    <w:rsid w:val="72DD1E82"/>
    <w:rsid w:val="73113F43"/>
    <w:rsid w:val="734944D8"/>
    <w:rsid w:val="7357511D"/>
    <w:rsid w:val="737446DD"/>
    <w:rsid w:val="737A3B75"/>
    <w:rsid w:val="737C1264"/>
    <w:rsid w:val="739B12EB"/>
    <w:rsid w:val="74BD7426"/>
    <w:rsid w:val="74D774D1"/>
    <w:rsid w:val="74E42203"/>
    <w:rsid w:val="751F197F"/>
    <w:rsid w:val="75297601"/>
    <w:rsid w:val="752C5839"/>
    <w:rsid w:val="758650B4"/>
    <w:rsid w:val="759E9462"/>
    <w:rsid w:val="75AB7F59"/>
    <w:rsid w:val="75D9457B"/>
    <w:rsid w:val="75FA142B"/>
    <w:rsid w:val="7613520C"/>
    <w:rsid w:val="76937428"/>
    <w:rsid w:val="76EEE66D"/>
    <w:rsid w:val="76EF82A2"/>
    <w:rsid w:val="76FBFBCD"/>
    <w:rsid w:val="77245415"/>
    <w:rsid w:val="77503BA8"/>
    <w:rsid w:val="77BDFB3C"/>
    <w:rsid w:val="77BF2551"/>
    <w:rsid w:val="77CB4ADD"/>
    <w:rsid w:val="77EBA1E2"/>
    <w:rsid w:val="77EDAE60"/>
    <w:rsid w:val="77F50D0E"/>
    <w:rsid w:val="77FCCDF3"/>
    <w:rsid w:val="782E0A91"/>
    <w:rsid w:val="788E7EA5"/>
    <w:rsid w:val="78F74A7F"/>
    <w:rsid w:val="78FFB9FC"/>
    <w:rsid w:val="7922343B"/>
    <w:rsid w:val="7926388B"/>
    <w:rsid w:val="79521C10"/>
    <w:rsid w:val="795E17F1"/>
    <w:rsid w:val="795FF9E4"/>
    <w:rsid w:val="79D42C0A"/>
    <w:rsid w:val="79FFF26D"/>
    <w:rsid w:val="7A267238"/>
    <w:rsid w:val="7A30225F"/>
    <w:rsid w:val="7A3751A1"/>
    <w:rsid w:val="7AD5E80B"/>
    <w:rsid w:val="7AE7FD2B"/>
    <w:rsid w:val="7AF3D7EA"/>
    <w:rsid w:val="7AFE98C0"/>
    <w:rsid w:val="7B0A37F3"/>
    <w:rsid w:val="7B2EC99E"/>
    <w:rsid w:val="7B3E4BF5"/>
    <w:rsid w:val="7B5FCCF2"/>
    <w:rsid w:val="7B676EB1"/>
    <w:rsid w:val="7B93031C"/>
    <w:rsid w:val="7BB3345A"/>
    <w:rsid w:val="7BBE09F0"/>
    <w:rsid w:val="7BCF7C7E"/>
    <w:rsid w:val="7BD61AD5"/>
    <w:rsid w:val="7BF9C739"/>
    <w:rsid w:val="7BFB259B"/>
    <w:rsid w:val="7BFF3B4A"/>
    <w:rsid w:val="7BFF440A"/>
    <w:rsid w:val="7BFF8FB5"/>
    <w:rsid w:val="7BFFA679"/>
    <w:rsid w:val="7BFFD53E"/>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D74B9"/>
    <w:rsid w:val="7EF62516"/>
    <w:rsid w:val="7EFC64D7"/>
    <w:rsid w:val="7EFFE568"/>
    <w:rsid w:val="7F1F71A2"/>
    <w:rsid w:val="7F4B6054"/>
    <w:rsid w:val="7F5ABD7A"/>
    <w:rsid w:val="7F5CEBBD"/>
    <w:rsid w:val="7F5DB861"/>
    <w:rsid w:val="7F7D7081"/>
    <w:rsid w:val="7F824F8C"/>
    <w:rsid w:val="7F9D850C"/>
    <w:rsid w:val="7FBF1A71"/>
    <w:rsid w:val="7FDFB4E3"/>
    <w:rsid w:val="7FDFE4A1"/>
    <w:rsid w:val="7FE7A296"/>
    <w:rsid w:val="7FEF3380"/>
    <w:rsid w:val="7FF7A244"/>
    <w:rsid w:val="7FF91AE9"/>
    <w:rsid w:val="7FFF02AB"/>
    <w:rsid w:val="7FFF3A16"/>
    <w:rsid w:val="7FFF5A94"/>
    <w:rsid w:val="7FFFB13A"/>
    <w:rsid w:val="83FF91AF"/>
    <w:rsid w:val="8AF62299"/>
    <w:rsid w:val="8D9E5958"/>
    <w:rsid w:val="8FEBAE37"/>
    <w:rsid w:val="8FF55BDD"/>
    <w:rsid w:val="8FF8B082"/>
    <w:rsid w:val="9D777A88"/>
    <w:rsid w:val="9FFC6A98"/>
    <w:rsid w:val="9FFF4B72"/>
    <w:rsid w:val="9FFFDD1B"/>
    <w:rsid w:val="9FFFED75"/>
    <w:rsid w:val="A4FE2DAB"/>
    <w:rsid w:val="AD3B6A3F"/>
    <w:rsid w:val="AFB7C169"/>
    <w:rsid w:val="AFE10A07"/>
    <w:rsid w:val="AFFE6005"/>
    <w:rsid w:val="B3D1EF1A"/>
    <w:rsid w:val="B67FA2C2"/>
    <w:rsid w:val="B6FC2E9B"/>
    <w:rsid w:val="B7E7B2A0"/>
    <w:rsid w:val="B7EB1F3F"/>
    <w:rsid w:val="B9EB0C7F"/>
    <w:rsid w:val="B9FBD9F7"/>
    <w:rsid w:val="BB7A0635"/>
    <w:rsid w:val="BBD563B5"/>
    <w:rsid w:val="BBFE7B1E"/>
    <w:rsid w:val="BBFF130D"/>
    <w:rsid w:val="BBFFDCD7"/>
    <w:rsid w:val="BCDCE214"/>
    <w:rsid w:val="BDAD1B8A"/>
    <w:rsid w:val="BDB9A1BB"/>
    <w:rsid w:val="BDD256F3"/>
    <w:rsid w:val="BDDB841D"/>
    <w:rsid w:val="BDFFCF40"/>
    <w:rsid w:val="BE7D5B73"/>
    <w:rsid w:val="BEEC8E32"/>
    <w:rsid w:val="BF76E962"/>
    <w:rsid w:val="BF7E0626"/>
    <w:rsid w:val="C76803D6"/>
    <w:rsid w:val="C77B49A1"/>
    <w:rsid w:val="CB9B34A2"/>
    <w:rsid w:val="CBB3A44B"/>
    <w:rsid w:val="CFFECBF1"/>
    <w:rsid w:val="D1D7B40E"/>
    <w:rsid w:val="D267D29C"/>
    <w:rsid w:val="D3ECC95C"/>
    <w:rsid w:val="D3ED3C8A"/>
    <w:rsid w:val="D6C76697"/>
    <w:rsid w:val="D70AFC06"/>
    <w:rsid w:val="D763A4C3"/>
    <w:rsid w:val="D7DD1870"/>
    <w:rsid w:val="D7FFFE51"/>
    <w:rsid w:val="D96FFBF2"/>
    <w:rsid w:val="D9BFE668"/>
    <w:rsid w:val="D9F7E4F1"/>
    <w:rsid w:val="DA6CDFCE"/>
    <w:rsid w:val="DAFFE3D0"/>
    <w:rsid w:val="DB7F72A7"/>
    <w:rsid w:val="DBFF9A6B"/>
    <w:rsid w:val="DCDBFDC9"/>
    <w:rsid w:val="DD27FCAC"/>
    <w:rsid w:val="DD2D3FF7"/>
    <w:rsid w:val="DDCC86CA"/>
    <w:rsid w:val="DE5FCC40"/>
    <w:rsid w:val="DEFD6240"/>
    <w:rsid w:val="DEFF9AA2"/>
    <w:rsid w:val="DF5F6244"/>
    <w:rsid w:val="DF7A9663"/>
    <w:rsid w:val="DFFE046B"/>
    <w:rsid w:val="E5B7349A"/>
    <w:rsid w:val="E5FFA019"/>
    <w:rsid w:val="E6DD0BF9"/>
    <w:rsid w:val="E7D6CC62"/>
    <w:rsid w:val="E9EB8228"/>
    <w:rsid w:val="EBD71829"/>
    <w:rsid w:val="EBDE771E"/>
    <w:rsid w:val="EC6F8A7D"/>
    <w:rsid w:val="ECF71556"/>
    <w:rsid w:val="ED574481"/>
    <w:rsid w:val="EDBD7309"/>
    <w:rsid w:val="EDDFEE17"/>
    <w:rsid w:val="EDFDC52D"/>
    <w:rsid w:val="EEDBFCB9"/>
    <w:rsid w:val="EEDF5C73"/>
    <w:rsid w:val="EEE953BD"/>
    <w:rsid w:val="EFB7FA07"/>
    <w:rsid w:val="EFDD9E34"/>
    <w:rsid w:val="EFEC0D03"/>
    <w:rsid w:val="EFF9121F"/>
    <w:rsid w:val="F3ADDA25"/>
    <w:rsid w:val="F4FEB764"/>
    <w:rsid w:val="F5DCD828"/>
    <w:rsid w:val="F6FFEE89"/>
    <w:rsid w:val="F77F6848"/>
    <w:rsid w:val="F77FB31B"/>
    <w:rsid w:val="F79FF762"/>
    <w:rsid w:val="F7D8FE1B"/>
    <w:rsid w:val="F7F540A6"/>
    <w:rsid w:val="F7F99798"/>
    <w:rsid w:val="F7FF2F46"/>
    <w:rsid w:val="F7FF624F"/>
    <w:rsid w:val="F897D5FA"/>
    <w:rsid w:val="F8A20F1B"/>
    <w:rsid w:val="F8A3F081"/>
    <w:rsid w:val="F8DF9610"/>
    <w:rsid w:val="F8ED456B"/>
    <w:rsid w:val="F8FC959D"/>
    <w:rsid w:val="F9FE23CE"/>
    <w:rsid w:val="FB559FC3"/>
    <w:rsid w:val="FBED19C4"/>
    <w:rsid w:val="FBED27CB"/>
    <w:rsid w:val="FCFF72EF"/>
    <w:rsid w:val="FD77E073"/>
    <w:rsid w:val="FDA3C67D"/>
    <w:rsid w:val="FDBFCCB1"/>
    <w:rsid w:val="FDD9D42C"/>
    <w:rsid w:val="FDE76F5F"/>
    <w:rsid w:val="FDF3AA99"/>
    <w:rsid w:val="FDF70401"/>
    <w:rsid w:val="FDFBBA80"/>
    <w:rsid w:val="FE9A4642"/>
    <w:rsid w:val="FEAF7B3A"/>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Normal Indent"/>
    <w:basedOn w:val="1"/>
    <w:unhideWhenUsed/>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0"/>
  </w:style>
  <w:style w:type="paragraph" w:styleId="8">
    <w:name w:val="Body Text Indent"/>
    <w:basedOn w:val="1"/>
    <w:link w:val="40"/>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6"/>
    <w:unhideWhenUsed/>
    <w:qFormat/>
    <w:uiPriority w:val="99"/>
    <w:pPr>
      <w:tabs>
        <w:tab w:val="center" w:pos="4153"/>
        <w:tab w:val="right" w:pos="8306"/>
      </w:tabs>
      <w:snapToGrid w:val="0"/>
      <w:jc w:val="left"/>
    </w:pPr>
    <w:rPr>
      <w:sz w:val="18"/>
      <w:szCs w:val="18"/>
    </w:rPr>
  </w:style>
  <w:style w:type="paragraph" w:styleId="12">
    <w:name w:val="header"/>
    <w:basedOn w:val="1"/>
    <w:next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39"/>
    <w:qFormat/>
    <w:uiPriority w:val="10"/>
    <w:pPr>
      <w:spacing w:before="240" w:after="60"/>
      <w:jc w:val="center"/>
      <w:outlineLvl w:val="0"/>
    </w:pPr>
    <w:rPr>
      <w:rFonts w:ascii="Arial" w:hAnsi="Arial"/>
      <w:b/>
      <w:sz w:val="32"/>
    </w:rPr>
  </w:style>
  <w:style w:type="paragraph" w:styleId="17">
    <w:name w:val="Body Text First Indent 2"/>
    <w:basedOn w:val="2"/>
    <w:next w:val="1"/>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常用样式（方正仿宋简）"/>
    <w:basedOn w:val="1"/>
    <w:qFormat/>
    <w:uiPriority w:val="0"/>
    <w:pPr>
      <w:spacing w:line="560" w:lineRule="exact"/>
      <w:ind w:firstLine="640"/>
    </w:pPr>
    <w:rPr>
      <w:rFonts w:eastAsia="方正仿宋简体"/>
      <w:sz w:val="32"/>
    </w:rPr>
  </w:style>
  <w:style w:type="character" w:customStyle="1" w:styleId="25">
    <w:name w:val="页眉 字符"/>
    <w:basedOn w:val="20"/>
    <w:link w:val="12"/>
    <w:qFormat/>
    <w:uiPriority w:val="99"/>
    <w:rPr>
      <w:sz w:val="18"/>
      <w:szCs w:val="18"/>
    </w:rPr>
  </w:style>
  <w:style w:type="character" w:customStyle="1" w:styleId="26">
    <w:name w:val="页脚 字符"/>
    <w:basedOn w:val="20"/>
    <w:link w:val="11"/>
    <w:qFormat/>
    <w:uiPriority w:val="99"/>
    <w:rPr>
      <w:sz w:val="18"/>
      <w:szCs w:val="18"/>
    </w:rPr>
  </w:style>
  <w:style w:type="character" w:customStyle="1" w:styleId="27">
    <w:name w:val="font11"/>
    <w:basedOn w:val="20"/>
    <w:qFormat/>
    <w:uiPriority w:val="0"/>
    <w:rPr>
      <w:rFonts w:hint="eastAsia" w:ascii="宋体" w:hAnsi="宋体" w:eastAsia="宋体" w:cs="宋体"/>
      <w:color w:val="000000"/>
      <w:sz w:val="21"/>
      <w:szCs w:val="21"/>
      <w:u w:val="none"/>
    </w:rPr>
  </w:style>
  <w:style w:type="character" w:customStyle="1" w:styleId="28">
    <w:name w:val="font01"/>
    <w:basedOn w:val="20"/>
    <w:qFormat/>
    <w:uiPriority w:val="0"/>
    <w:rPr>
      <w:rFonts w:hint="default" w:ascii="Calibri" w:hAnsi="Calibri" w:cs="Calibri"/>
      <w:color w:val="000000"/>
      <w:sz w:val="21"/>
      <w:szCs w:val="21"/>
      <w:u w:val="none"/>
    </w:rPr>
  </w:style>
  <w:style w:type="character" w:customStyle="1" w:styleId="29">
    <w:name w:val="font71"/>
    <w:basedOn w:val="20"/>
    <w:qFormat/>
    <w:uiPriority w:val="0"/>
    <w:rPr>
      <w:rFonts w:hint="eastAsia" w:ascii="仿宋" w:hAnsi="仿宋" w:eastAsia="仿宋" w:cs="仿宋"/>
      <w:b/>
      <w:color w:val="000000"/>
      <w:sz w:val="24"/>
      <w:szCs w:val="24"/>
      <w:u w:val="none"/>
    </w:rPr>
  </w:style>
  <w:style w:type="character" w:customStyle="1" w:styleId="30">
    <w:name w:val="font51"/>
    <w:basedOn w:val="20"/>
    <w:qFormat/>
    <w:uiPriority w:val="0"/>
    <w:rPr>
      <w:rFonts w:hint="eastAsia" w:ascii="仿宋" w:hAnsi="仿宋" w:eastAsia="仿宋" w:cs="仿宋"/>
      <w:color w:val="000000"/>
      <w:sz w:val="24"/>
      <w:szCs w:val="24"/>
      <w:u w:val="none"/>
    </w:rPr>
  </w:style>
  <w:style w:type="character" w:customStyle="1" w:styleId="31">
    <w:name w:val="font31"/>
    <w:basedOn w:val="20"/>
    <w:qFormat/>
    <w:uiPriority w:val="0"/>
    <w:rPr>
      <w:rFonts w:hint="eastAsia" w:ascii="宋体" w:hAnsi="宋体" w:eastAsia="宋体" w:cs="宋体"/>
      <w:b/>
      <w:color w:val="000000"/>
      <w:sz w:val="22"/>
      <w:szCs w:val="22"/>
      <w:u w:val="none"/>
    </w:rPr>
  </w:style>
  <w:style w:type="character" w:customStyle="1" w:styleId="32">
    <w:name w:val="font21"/>
    <w:basedOn w:val="20"/>
    <w:qFormat/>
    <w:uiPriority w:val="0"/>
    <w:rPr>
      <w:rFonts w:hint="eastAsia" w:ascii="宋体" w:hAnsi="宋体" w:eastAsia="宋体" w:cs="宋体"/>
      <w:color w:val="000000"/>
      <w:sz w:val="20"/>
      <w:szCs w:val="20"/>
      <w:u w:val="none"/>
    </w:rPr>
  </w:style>
  <w:style w:type="character" w:customStyle="1" w:styleId="33">
    <w:name w:val="font41"/>
    <w:basedOn w:val="20"/>
    <w:qFormat/>
    <w:uiPriority w:val="0"/>
    <w:rPr>
      <w:rFonts w:hint="default" w:ascii="Times New Roman" w:hAnsi="Times New Roman" w:cs="Times New Roman"/>
      <w:b/>
      <w:color w:val="000000"/>
      <w:sz w:val="20"/>
      <w:szCs w:val="20"/>
      <w:u w:val="none"/>
    </w:r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6">
    <w:name w:val="表格"/>
    <w:basedOn w:val="1"/>
    <w:qFormat/>
    <w:uiPriority w:val="0"/>
    <w:rPr>
      <w:rFonts w:hint="eastAsia"/>
      <w:kern w:val="0"/>
      <w:sz w:val="24"/>
      <w:szCs w:val="20"/>
    </w:rPr>
  </w:style>
  <w:style w:type="paragraph" w:customStyle="1" w:styleId="37">
    <w:name w:val="正文文本1"/>
    <w:basedOn w:val="1"/>
    <w:qFormat/>
    <w:uiPriority w:val="0"/>
    <w:pPr>
      <w:spacing w:line="386" w:lineRule="auto"/>
    </w:pPr>
    <w:rPr>
      <w:rFonts w:ascii="楷体" w:hAnsi="楷体" w:eastAsia="楷体" w:cs="楷体"/>
      <w:sz w:val="19"/>
      <w:szCs w:val="19"/>
      <w:lang w:val="zh-CN" w:bidi="zh-CN"/>
    </w:rPr>
  </w:style>
  <w:style w:type="paragraph" w:customStyle="1" w:styleId="38">
    <w:name w:val="页眉或页脚 (2)"/>
    <w:basedOn w:val="1"/>
    <w:qFormat/>
    <w:uiPriority w:val="0"/>
    <w:rPr>
      <w:rFonts w:eastAsia="Times New Roman" w:cs="Times New Roman"/>
      <w:sz w:val="20"/>
      <w:szCs w:val="20"/>
      <w:lang w:val="zh-CN" w:bidi="zh-CN"/>
    </w:rPr>
  </w:style>
  <w:style w:type="character" w:customStyle="1" w:styleId="39">
    <w:name w:val="标题 字符"/>
    <w:basedOn w:val="20"/>
    <w:link w:val="16"/>
    <w:qFormat/>
    <w:uiPriority w:val="0"/>
    <w:rPr>
      <w:rFonts w:ascii="等线 Light" w:hAnsi="等线 Light" w:eastAsia="等线 Light" w:cs="Times New Roman"/>
      <w:b/>
      <w:bCs/>
      <w:kern w:val="2"/>
      <w:sz w:val="32"/>
      <w:szCs w:val="32"/>
    </w:rPr>
  </w:style>
  <w:style w:type="character" w:customStyle="1" w:styleId="40">
    <w:name w:val="正文文本缩进 字符"/>
    <w:basedOn w:val="20"/>
    <w:link w:val="8"/>
    <w:qFormat/>
    <w:uiPriority w:val="0"/>
    <w:rPr>
      <w:kern w:val="2"/>
      <w:sz w:val="32"/>
      <w:szCs w:val="24"/>
    </w:rPr>
  </w:style>
  <w:style w:type="paragraph" w:customStyle="1" w:styleId="41">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2">
    <w:name w:val="修订2"/>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3">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1610</Words>
  <Characters>1750</Characters>
  <Lines>56</Lines>
  <Paragraphs>15</Paragraphs>
  <TotalTime>0</TotalTime>
  <ScaleCrop>false</ScaleCrop>
  <LinksUpToDate>false</LinksUpToDate>
  <CharactersWithSpaces>1755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2020-04-11T23:49:00Z</dcterms:created>
  <dc:creator>ZC</dc:creator>
  <cp:lastModifiedBy>李国宝</cp:lastModifiedBy>
  <cp:lastPrinted>2024-11-08T08:41:00Z</cp:lastPrinted>
  <dcterms:modified xsi:type="dcterms:W3CDTF">2025-01-07T09:10:27Z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