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3EA06">
      <w:pPr>
        <w:spacing w:line="560" w:lineRule="exact"/>
        <w:rPr>
          <w:rFonts w:ascii="Times New Roman" w:hAnsi="Times New Roman" w:eastAsia="仿宋" w:cs="Times New Roman"/>
          <w:highlight w:val="none"/>
        </w:rPr>
      </w:pPr>
      <w:bookmarkStart w:id="0" w:name="_Toc32467"/>
      <w:bookmarkStart w:id="1" w:name="_Toc22314"/>
      <w:bookmarkStart w:id="2" w:name="_Toc29524"/>
      <w:bookmarkStart w:id="3" w:name="_Toc14462_WPSOffice_Level1"/>
    </w:p>
    <w:p w14:paraId="5F7D26E2">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default" w:ascii="Times New Roman" w:hAnsi="Times New Roman" w:eastAsia="方正仿宋简体" w:cs="Times New Roman"/>
          <w:sz w:val="32"/>
          <w:szCs w:val="32"/>
          <w:highlight w:val="none"/>
        </w:rPr>
      </w:pPr>
    </w:p>
    <w:p w14:paraId="0ECC0FFD">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default" w:ascii="Times New Roman" w:hAnsi="Times New Roman" w:eastAsia="方正仿宋简体" w:cs="Times New Roman"/>
          <w:sz w:val="32"/>
          <w:szCs w:val="32"/>
          <w:highlight w:val="none"/>
        </w:rPr>
      </w:pPr>
    </w:p>
    <w:p w14:paraId="66BDD8FB">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default" w:ascii="Times New Roman" w:hAnsi="Times New Roman" w:eastAsia="方正仿宋简体" w:cs="Times New Roman"/>
          <w:sz w:val="32"/>
          <w:szCs w:val="32"/>
          <w:highlight w:val="none"/>
        </w:rPr>
      </w:pPr>
    </w:p>
    <w:p w14:paraId="4C55D975">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default" w:ascii="Times New Roman" w:hAnsi="Times New Roman" w:eastAsia="方正仿宋简体" w:cs="Times New Roman"/>
          <w:sz w:val="32"/>
          <w:szCs w:val="32"/>
          <w:highlight w:val="none"/>
        </w:rPr>
      </w:pPr>
    </w:p>
    <w:p w14:paraId="3E0D7CD9">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542EBEBF">
      <w:pPr>
        <w:keepNext w:val="0"/>
        <w:keepLines w:val="0"/>
        <w:pageBreakBefore w:val="0"/>
        <w:widowControl/>
        <w:kinsoku/>
        <w:wordWrap/>
        <w:overflowPunct/>
        <w:topLinePunct w:val="0"/>
        <w:autoSpaceDE/>
        <w:autoSpaceDN/>
        <w:bidi w:val="0"/>
        <w:adjustRightInd/>
        <w:snapToGrid/>
        <w:spacing w:line="600" w:lineRule="exact"/>
        <w:ind w:left="419" w:leftChars="0" w:right="0" w:rightChars="0" w:hanging="419" w:hangingChars="131"/>
        <w:jc w:val="left"/>
        <w:textAlignment w:val="auto"/>
        <w:rPr>
          <w:rFonts w:hint="default" w:ascii="Times New Roman" w:hAnsi="Times New Roman" w:eastAsia="方正仿宋简体" w:cs="Times New Roman"/>
          <w:color w:val="333333"/>
          <w:kern w:val="0"/>
          <w:sz w:val="32"/>
          <w:szCs w:val="32"/>
          <w:highlight w:val="none"/>
        </w:rPr>
      </w:pPr>
    </w:p>
    <w:p w14:paraId="058A4D07">
      <w:pPr>
        <w:keepNext w:val="0"/>
        <w:keepLines w:val="0"/>
        <w:pageBreakBefore w:val="0"/>
        <w:widowControl/>
        <w:kinsoku/>
        <w:wordWrap/>
        <w:overflowPunct/>
        <w:topLinePunct w:val="0"/>
        <w:autoSpaceDE/>
        <w:autoSpaceDN/>
        <w:bidi w:val="0"/>
        <w:adjustRightInd/>
        <w:snapToGrid/>
        <w:spacing w:line="600" w:lineRule="exact"/>
        <w:ind w:left="419" w:leftChars="0" w:right="0" w:rightChars="0" w:hanging="419" w:hangingChars="131"/>
        <w:jc w:val="left"/>
        <w:textAlignment w:val="auto"/>
        <w:rPr>
          <w:rFonts w:hint="default" w:ascii="Times New Roman" w:hAnsi="Times New Roman" w:eastAsia="方正仿宋简体" w:cs="Times New Roman"/>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0BF8D87A">
      <w:pPr>
        <w:keepNext w:val="0"/>
        <w:keepLines w:val="0"/>
        <w:pageBreakBefore w:val="0"/>
        <w:widowControl/>
        <w:kinsoku/>
        <w:wordWrap/>
        <w:overflowPunct/>
        <w:topLinePunct w:val="0"/>
        <w:autoSpaceDE/>
        <w:autoSpaceDN/>
        <w:bidi w:val="0"/>
        <w:adjustRightInd/>
        <w:snapToGrid/>
        <w:spacing w:line="600" w:lineRule="exact"/>
        <w:ind w:right="0" w:rightChars="0"/>
        <w:textAlignment w:val="auto"/>
        <w:rPr>
          <w:rFonts w:hint="default" w:ascii="Times New Roman" w:hAnsi="Times New Roman" w:eastAsia="方正仿宋简体" w:cs="Times New Roman"/>
          <w:color w:val="333333"/>
          <w:kern w:val="0"/>
          <w:sz w:val="32"/>
          <w:szCs w:val="32"/>
          <w:highlight w:val="none"/>
          <w:lang w:val="en-US" w:eastAsia="zh-CN"/>
        </w:rPr>
      </w:pPr>
      <w:r>
        <w:rPr>
          <w:rFonts w:hint="default" w:ascii="Times New Roman" w:hAnsi="Times New Roman" w:eastAsia="方正仿宋简体" w:cs="Times New Roman"/>
          <w:color w:val="333333"/>
          <w:kern w:val="0"/>
          <w:sz w:val="32"/>
          <w:szCs w:val="32"/>
          <w:highlight w:val="none"/>
        </w:rPr>
        <w:t>被评价单位名称：泸定县</w:t>
      </w:r>
      <w:r>
        <w:rPr>
          <w:rFonts w:hint="default" w:ascii="Times New Roman" w:hAnsi="Times New Roman" w:eastAsia="方正仿宋简体" w:cs="Times New Roman"/>
          <w:color w:val="333333"/>
          <w:kern w:val="0"/>
          <w:sz w:val="32"/>
          <w:szCs w:val="32"/>
          <w:highlight w:val="none"/>
          <w:lang w:val="en-US" w:eastAsia="zh-CN"/>
        </w:rPr>
        <w:t>卫生健康局</w:t>
      </w:r>
    </w:p>
    <w:p w14:paraId="69CCA469">
      <w:pPr>
        <w:keepNext w:val="0"/>
        <w:keepLines w:val="0"/>
        <w:pageBreakBefore w:val="0"/>
        <w:widowControl/>
        <w:kinsoku/>
        <w:wordWrap/>
        <w:overflowPunct/>
        <w:topLinePunct w:val="0"/>
        <w:autoSpaceDE/>
        <w:autoSpaceDN/>
        <w:bidi w:val="0"/>
        <w:adjustRightInd/>
        <w:snapToGrid/>
        <w:spacing w:line="600" w:lineRule="exact"/>
        <w:ind w:right="0" w:rightChars="0"/>
        <w:jc w:val="left"/>
        <w:textAlignment w:val="auto"/>
        <w:rPr>
          <w:rFonts w:hint="default" w:ascii="Times New Roman" w:hAnsi="Times New Roman" w:eastAsia="方正仿宋简体" w:cs="Times New Roman"/>
          <w:color w:val="333333"/>
          <w:kern w:val="0"/>
          <w:sz w:val="32"/>
          <w:szCs w:val="32"/>
          <w:highlight w:val="none"/>
        </w:rPr>
      </w:pPr>
      <w:r>
        <w:rPr>
          <w:rFonts w:hint="default" w:ascii="Times New Roman" w:hAnsi="Times New Roman" w:eastAsia="方正仿宋简体" w:cs="Times New Roman"/>
          <w:color w:val="333333"/>
          <w:kern w:val="0"/>
          <w:sz w:val="32"/>
          <w:szCs w:val="32"/>
          <w:highlight w:val="none"/>
        </w:rPr>
        <w:t>评价政策：基本公共卫生服务项目</w:t>
      </w:r>
    </w:p>
    <w:p w14:paraId="13924755">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方正仿宋简体" w:cs="Times New Roman"/>
          <w:sz w:val="32"/>
          <w:szCs w:val="32"/>
          <w:highlight w:val="none"/>
        </w:rPr>
      </w:pPr>
    </w:p>
    <w:p w14:paraId="7AF1A093">
      <w:pPr>
        <w:pStyle w:val="2"/>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方正仿宋简体" w:cs="Times New Roman"/>
          <w:sz w:val="32"/>
          <w:szCs w:val="32"/>
          <w:highlight w:val="none"/>
        </w:rPr>
      </w:pPr>
    </w:p>
    <w:p w14:paraId="4C3D988A">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default" w:ascii="Times New Roman" w:hAnsi="Times New Roman" w:eastAsia="方正仿宋简体" w:cs="Times New Roman"/>
          <w:color w:val="333333"/>
          <w:sz w:val="32"/>
          <w:szCs w:val="32"/>
          <w:highlight w:val="none"/>
        </w:rPr>
      </w:pPr>
      <w:r>
        <w:rPr>
          <w:rFonts w:hint="default" w:ascii="Times New Roman" w:hAnsi="Times New Roman" w:eastAsia="方正仿宋简体" w:cs="Times New Roman"/>
          <w:color w:val="333333"/>
          <w:sz w:val="32"/>
          <w:szCs w:val="32"/>
          <w:highlight w:val="none"/>
        </w:rPr>
        <w:br w:type="page"/>
      </w:r>
    </w:p>
    <w:p w14:paraId="15A5BC84">
      <w:pPr>
        <w:keepNext w:val="0"/>
        <w:keepLines w:val="0"/>
        <w:pageBreakBefore w:val="0"/>
        <w:kinsoku/>
        <w:wordWrap/>
        <w:overflowPunct/>
        <w:autoSpaceDE/>
        <w:autoSpaceDN/>
        <w:bidi w:val="0"/>
        <w:spacing w:line="600" w:lineRule="exact"/>
        <w:ind w:left="0" w:leftChars="0" w:right="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泸定县卫生健康局基本公共卫生服务政策</w:t>
      </w:r>
    </w:p>
    <w:bookmarkEnd w:id="0"/>
    <w:p w14:paraId="557F7FFE">
      <w:pPr>
        <w:keepNext w:val="0"/>
        <w:keepLines w:val="0"/>
        <w:pageBreakBefore w:val="0"/>
        <w:kinsoku/>
        <w:wordWrap/>
        <w:overflowPunct/>
        <w:autoSpaceDE/>
        <w:autoSpaceDN/>
        <w:bidi w:val="0"/>
        <w:spacing w:line="600" w:lineRule="exact"/>
        <w:ind w:left="0" w:leftChars="0" w:right="0"/>
        <w:jc w:val="center"/>
        <w:rPr>
          <w:rFonts w:hint="eastAsia" w:ascii="方正小标宋简体" w:hAnsi="方正小标宋简体" w:eastAsia="方正小标宋简体" w:cs="方正小标宋简体"/>
          <w:sz w:val="44"/>
          <w:szCs w:val="44"/>
          <w:highlight w:val="none"/>
        </w:rPr>
      </w:pPr>
      <w:bookmarkStart w:id="4" w:name="_Toc27398"/>
      <w:r>
        <w:rPr>
          <w:rFonts w:hint="eastAsia" w:ascii="方正小标宋简体" w:hAnsi="方正小标宋简体" w:eastAsia="方正小标宋简体" w:cs="方正小标宋简体"/>
          <w:sz w:val="44"/>
          <w:szCs w:val="44"/>
          <w:highlight w:val="none"/>
        </w:rPr>
        <w:t>绩效评价报告</w:t>
      </w:r>
      <w:bookmarkEnd w:id="1"/>
      <w:bookmarkEnd w:id="2"/>
      <w:bookmarkEnd w:id="4"/>
    </w:p>
    <w:p w14:paraId="60FF51BA">
      <w:pPr>
        <w:keepNext w:val="0"/>
        <w:keepLines w:val="0"/>
        <w:pageBreakBefore w:val="0"/>
        <w:widowControl/>
        <w:kinsoku/>
        <w:wordWrap/>
        <w:overflowPunct/>
        <w:autoSpaceDE/>
        <w:autoSpaceDN/>
        <w:bidi w:val="0"/>
        <w:adjustRightInd w:val="0"/>
        <w:snapToGrid w:val="0"/>
        <w:spacing w:line="600" w:lineRule="exact"/>
        <w:ind w:left="0" w:leftChars="0" w:right="0"/>
        <w:jc w:val="center"/>
        <w:rPr>
          <w:rFonts w:hint="eastAsia" w:ascii="方正仿宋简体" w:hAnsi="方正仿宋简体" w:eastAsia="方正仿宋简体" w:cs="方正仿宋简体"/>
          <w:sz w:val="32"/>
          <w:szCs w:val="32"/>
          <w:highlight w:val="none"/>
        </w:rPr>
      </w:pPr>
    </w:p>
    <w:p w14:paraId="321101CF">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fr-FR"/>
        </w:rPr>
      </w:pPr>
      <w:bookmarkStart w:id="5" w:name="_Toc6252"/>
      <w:bookmarkStart w:id="6" w:name="_Toc8938"/>
      <w:bookmarkStart w:id="7" w:name="_Toc26210"/>
    </w:p>
    <w:p w14:paraId="6E46C699">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《泸定县财政局关于开展</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年度政策性绩效评价工作的通知》（泸财〔</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rPr>
        <w:t>号）</w:t>
      </w:r>
      <w:r>
        <w:rPr>
          <w:rFonts w:hint="eastAsia" w:ascii="方正仿宋简体" w:hAnsi="方正仿宋简体" w:eastAsia="方正仿宋简体" w:cs="方正仿宋简体"/>
          <w:color w:val="auto"/>
          <w:sz w:val="32"/>
          <w:szCs w:val="32"/>
          <w:highlight w:val="none"/>
          <w:lang w:val="fr-FR"/>
        </w:rPr>
        <w:t>文件要求，</w:t>
      </w:r>
      <w:r>
        <w:rPr>
          <w:rFonts w:hint="eastAsia" w:ascii="方正仿宋简体" w:hAnsi="方正仿宋简体" w:eastAsia="方正仿宋简体" w:cs="方正仿宋简体"/>
          <w:color w:val="auto"/>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泸定县卫生健康局</w:t>
      </w:r>
      <w:r>
        <w:rPr>
          <w:rFonts w:hint="eastAsia" w:ascii="方正仿宋简体" w:hAnsi="方正仿宋简体" w:eastAsia="方正仿宋简体" w:cs="方正仿宋简体"/>
          <w:sz w:val="32"/>
          <w:szCs w:val="32"/>
          <w:highlight w:val="none"/>
          <w:lang w:val="fr-FR"/>
        </w:rPr>
        <w:t>“</w:t>
      </w:r>
      <w:r>
        <w:rPr>
          <w:rFonts w:hint="eastAsia" w:ascii="方正仿宋简体" w:hAnsi="方正仿宋简体" w:eastAsia="方正仿宋简体" w:cs="方正仿宋简体"/>
          <w:sz w:val="32"/>
          <w:szCs w:val="32"/>
          <w:highlight w:val="none"/>
          <w:lang w:eastAsia="zh-CN"/>
        </w:rPr>
        <w:t>基本公共卫生服务</w:t>
      </w:r>
      <w:r>
        <w:rPr>
          <w:rFonts w:hint="eastAsia" w:ascii="方正仿宋简体" w:hAnsi="方正仿宋简体" w:eastAsia="方正仿宋简体" w:cs="方正仿宋简体"/>
          <w:sz w:val="32"/>
          <w:szCs w:val="32"/>
          <w:highlight w:val="none"/>
          <w:lang w:val="fr-FR"/>
        </w:rPr>
        <w:t>”</w:t>
      </w:r>
      <w:r>
        <w:rPr>
          <w:rFonts w:hint="eastAsia" w:ascii="方正仿宋简体" w:hAnsi="方正仿宋简体" w:eastAsia="方正仿宋简体" w:cs="方正仿宋简体"/>
          <w:sz w:val="32"/>
          <w:szCs w:val="32"/>
          <w:highlight w:val="none"/>
        </w:rPr>
        <w:t>政策进行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泸定县卫生健康局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对其提供的绩效评价相关资料的真实性、合法性和完整性负责；我们的责任是依据《中共中央国务院关于全面实施预</w:t>
      </w:r>
      <w:r>
        <w:rPr>
          <w:rFonts w:hint="eastAsia" w:ascii="方正仿宋简体" w:hAnsi="方正仿宋简体" w:eastAsia="方正仿宋简体" w:cs="方正仿宋简体"/>
          <w:color w:val="auto"/>
          <w:sz w:val="32"/>
          <w:szCs w:val="32"/>
          <w:highlight w:val="none"/>
          <w:lang w:val="fr-FR"/>
        </w:rPr>
        <w:t>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rPr>
        <w:t>和《泸定县财政局关于开展</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年度政策性绩效评价工作的通知》（泸财〔</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rPr>
        <w:t>号）</w:t>
      </w:r>
      <w:r>
        <w:rPr>
          <w:rFonts w:hint="eastAsia" w:ascii="方正仿宋简体" w:hAnsi="方正仿宋简体" w:eastAsia="方正仿宋简体" w:cs="方正仿宋简体"/>
          <w:color w:val="auto"/>
          <w:sz w:val="32"/>
          <w:szCs w:val="32"/>
          <w:highlight w:val="none"/>
          <w:lang w:val="fr-FR"/>
        </w:rPr>
        <w:t>文件要求，结合</w:t>
      </w:r>
      <w:r>
        <w:rPr>
          <w:rFonts w:hint="eastAsia" w:ascii="方正仿宋简体" w:hAnsi="方正仿宋简体" w:eastAsia="方正仿宋简体" w:cs="方正仿宋简体"/>
          <w:color w:val="auto"/>
          <w:sz w:val="32"/>
          <w:szCs w:val="32"/>
          <w:highlight w:val="none"/>
          <w:lang w:eastAsia="zh-CN"/>
        </w:rPr>
        <w:t>泸定县卫生健康局</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CN"/>
        </w:rPr>
        <w:t>基本公共卫生服务</w:t>
      </w:r>
      <w:r>
        <w:rPr>
          <w:rFonts w:hint="eastAsia" w:ascii="方正仿宋简体" w:hAnsi="方正仿宋简体" w:eastAsia="方正仿宋简体" w:cs="方正仿宋简体"/>
          <w:color w:val="auto"/>
          <w:sz w:val="32"/>
          <w:szCs w:val="32"/>
          <w:highlight w:val="none"/>
        </w:rPr>
        <w:t>”政策</w:t>
      </w:r>
      <w:r>
        <w:rPr>
          <w:rFonts w:hint="eastAsia" w:ascii="方正仿宋简体" w:hAnsi="方正仿宋简体" w:eastAsia="方正仿宋简体" w:cs="方正仿宋简体"/>
          <w:color w:val="auto"/>
          <w:sz w:val="32"/>
          <w:szCs w:val="32"/>
          <w:highlight w:val="none"/>
          <w:lang w:val="fr-FR"/>
        </w:rPr>
        <w:t>的实际情况，对该项目进行绩效评价，并出具绩效评价报告，现将相关情况报告如下：</w:t>
      </w:r>
    </w:p>
    <w:bookmarkEnd w:id="5"/>
    <w:bookmarkEnd w:id="6"/>
    <w:bookmarkEnd w:id="7"/>
    <w:p w14:paraId="095ECE02">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8" w:name="_Toc8555"/>
      <w:bookmarkStart w:id="9" w:name="_Toc12185"/>
      <w:bookmarkStart w:id="10" w:name="_Toc30020"/>
      <w:r>
        <w:rPr>
          <w:rFonts w:hint="eastAsia" w:ascii="方正黑体简体" w:hAnsi="方正黑体简体" w:eastAsia="方正黑体简体" w:cs="方正黑体简体"/>
          <w:color w:val="auto"/>
          <w:kern w:val="0"/>
          <w:sz w:val="32"/>
          <w:szCs w:val="32"/>
          <w:highlight w:val="none"/>
          <w:shd w:val="clear" w:color="auto" w:fill="FFFFFF"/>
        </w:rPr>
        <w:t>一、</w:t>
      </w:r>
      <w:bookmarkEnd w:id="8"/>
      <w:r>
        <w:rPr>
          <w:rFonts w:hint="eastAsia" w:ascii="方正黑体简体" w:hAnsi="方正黑体简体" w:eastAsia="方正黑体简体" w:cs="方正黑体简体"/>
          <w:color w:val="auto"/>
          <w:kern w:val="0"/>
          <w:sz w:val="32"/>
          <w:szCs w:val="32"/>
          <w:highlight w:val="none"/>
          <w:shd w:val="clear" w:color="auto" w:fill="FFFFFF"/>
        </w:rPr>
        <w:t>基本情况</w:t>
      </w:r>
      <w:bookmarkEnd w:id="9"/>
      <w:bookmarkEnd w:id="10"/>
    </w:p>
    <w:p w14:paraId="6D53F634">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1"/>
        <w:rPr>
          <w:rFonts w:hint="eastAsia" w:ascii="方正楷体简体" w:hAnsi="方正楷体简体" w:eastAsia="方正楷体简体" w:cs="方正楷体简体"/>
          <w:color w:val="auto"/>
          <w:sz w:val="32"/>
          <w:szCs w:val="32"/>
          <w:highlight w:val="none"/>
          <w:shd w:val="clear" w:color="auto" w:fill="FFFFFF"/>
        </w:rPr>
      </w:pPr>
      <w:bookmarkStart w:id="11" w:name="_Toc16549"/>
      <w:bookmarkStart w:id="12" w:name="_Toc30550"/>
      <w:bookmarkStart w:id="13" w:name="_Toc20349"/>
      <w:r>
        <w:rPr>
          <w:rFonts w:hint="eastAsia" w:ascii="方正楷体简体" w:hAnsi="方正楷体简体" w:eastAsia="方正楷体简体" w:cs="方正楷体简体"/>
          <w:color w:val="auto"/>
          <w:kern w:val="0"/>
          <w:sz w:val="32"/>
          <w:szCs w:val="32"/>
          <w:highlight w:val="none"/>
          <w:shd w:val="clear" w:color="auto" w:fill="FFFFFF"/>
          <w:lang w:val="zh-CN"/>
        </w:rPr>
        <w:t>（一）</w:t>
      </w:r>
      <w:bookmarkEnd w:id="11"/>
      <w:r>
        <w:rPr>
          <w:rFonts w:hint="eastAsia" w:ascii="方正楷体简体" w:hAnsi="方正楷体简体" w:eastAsia="方正楷体简体" w:cs="方正楷体简体"/>
          <w:color w:val="auto"/>
          <w:kern w:val="0"/>
          <w:sz w:val="32"/>
          <w:szCs w:val="32"/>
          <w:highlight w:val="none"/>
          <w:shd w:val="clear" w:color="auto" w:fill="FFFFFF"/>
        </w:rPr>
        <w:t>政策概况</w:t>
      </w:r>
      <w:bookmarkEnd w:id="12"/>
      <w:bookmarkEnd w:id="13"/>
    </w:p>
    <w:p w14:paraId="1A7A1F64">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rPr>
      </w:pPr>
      <w:bookmarkStart w:id="14" w:name="_Toc12470"/>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.政策背景</w:t>
      </w:r>
      <w:bookmarkEnd w:id="14"/>
    </w:p>
    <w:p w14:paraId="5D468BCB">
      <w:pPr>
        <w:pStyle w:val="2"/>
        <w:keepNext w:val="0"/>
        <w:keepLines w:val="0"/>
        <w:pageBreakBefore w:val="0"/>
        <w:kinsoku/>
        <w:wordWrap/>
        <w:overflowPunct/>
        <w:autoSpaceDE/>
        <w:autoSpaceDN/>
        <w:bidi w:val="0"/>
        <w:spacing w:line="600" w:lineRule="exact"/>
        <w:ind w:left="0" w:leftChars="0" w:right="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w:t>
      </w:r>
      <w:r>
        <w:rPr>
          <w:rFonts w:hint="eastAsia" w:ascii="方正仿宋简体" w:hAnsi="方正仿宋简体" w:eastAsia="方正仿宋简体" w:cs="方正仿宋简体"/>
          <w:color w:val="auto"/>
          <w:sz w:val="32"/>
          <w:szCs w:val="32"/>
          <w:highlight w:val="none"/>
          <w:lang w:eastAsia="zh-CN"/>
        </w:rPr>
        <w:t>泸定县国民经济和社会发展第十四个五年规划和二〇三五年远景目标纲要</w:t>
      </w:r>
      <w:r>
        <w:rPr>
          <w:rFonts w:hint="eastAsia" w:ascii="方正仿宋简体" w:hAnsi="方正仿宋简体" w:eastAsia="方正仿宋简体" w:cs="方正仿宋简体"/>
          <w:color w:val="auto"/>
          <w:sz w:val="32"/>
          <w:szCs w:val="32"/>
          <w:highlight w:val="none"/>
          <w:lang w:val="en-US" w:eastAsia="zh-CN"/>
        </w:rPr>
        <w:t>》明确，</w:t>
      </w:r>
      <w:r>
        <w:rPr>
          <w:rFonts w:hint="eastAsia" w:ascii="方正仿宋简体" w:hAnsi="方正仿宋简体" w:eastAsia="方正仿宋简体" w:cs="方正仿宋简体"/>
          <w:color w:val="auto"/>
          <w:sz w:val="32"/>
          <w:szCs w:val="32"/>
          <w:highlight w:val="none"/>
          <w:lang w:eastAsia="zh-CN"/>
        </w:rPr>
        <w:t>“</w:t>
      </w:r>
      <w:r>
        <w:rPr>
          <w:rFonts w:hint="eastAsia" w:ascii="方正仿宋简体" w:hAnsi="方正仿宋简体" w:eastAsia="方正仿宋简体" w:cs="方正仿宋简体"/>
          <w:color w:val="auto"/>
          <w:sz w:val="32"/>
          <w:szCs w:val="32"/>
          <w:highlight w:val="none"/>
        </w:rPr>
        <w:t>实施公共卫生能力提升行动，改善疾控基础条件</w:t>
      </w:r>
      <w:r>
        <w:rPr>
          <w:rFonts w:hint="eastAsia" w:ascii="方正仿宋简体" w:hAnsi="方正仿宋简体" w:eastAsia="方正仿宋简体" w:cs="方正仿宋简体"/>
          <w:color w:val="auto"/>
          <w:sz w:val="32"/>
          <w:szCs w:val="32"/>
          <w:highlight w:val="none"/>
          <w:lang w:eastAsia="zh-CN"/>
        </w:rPr>
        <w:t>……加强地方病和传染病综合防治，提升慢性病和职业病管理服务质量，重视精神卫生和心理健康。深入开展爱国卫生运动，推进健康城市、健康乡村建设，促进全民养成文明健康生活方式。”，</w:t>
      </w:r>
      <w:r>
        <w:rPr>
          <w:rFonts w:hint="eastAsia" w:ascii="方正仿宋简体" w:hAnsi="方正仿宋简体" w:eastAsia="方正仿宋简体" w:cs="方正仿宋简体"/>
          <w:color w:val="auto"/>
          <w:sz w:val="32"/>
          <w:szCs w:val="32"/>
          <w:highlight w:val="none"/>
          <w:lang w:val="en-US" w:eastAsia="zh-CN"/>
        </w:rPr>
        <w:t>结合《甘孜州财政局甘孜州卫生健康委员会甘孜州医疗保障局关于转发〈财政厅省卫生健康委省医疗保障局关于印发基本公共卫生服务等</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 xml:space="preserve"> 项补助资金管理办法的通知〉》（甘财社〔</w:t>
      </w:r>
      <w:r>
        <w:rPr>
          <w:rFonts w:hint="default" w:ascii="Times New Roman" w:hAnsi="Times New Roman" w:eastAsia="方正仿宋简体" w:cs="Times New Roman"/>
          <w:color w:val="auto"/>
          <w:sz w:val="32"/>
          <w:szCs w:val="32"/>
          <w:highlight w:val="none"/>
          <w:lang w:val="en-US" w:eastAsia="zh-CN"/>
        </w:rPr>
        <w:t>2019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112</w:t>
      </w:r>
      <w:r>
        <w:rPr>
          <w:rFonts w:hint="eastAsia" w:ascii="方正仿宋简体" w:hAnsi="方正仿宋简体" w:eastAsia="方正仿宋简体" w:cs="方正仿宋简体"/>
          <w:color w:val="auto"/>
          <w:sz w:val="32"/>
          <w:szCs w:val="32"/>
          <w:highlight w:val="none"/>
          <w:lang w:val="en-US" w:eastAsia="zh-CN"/>
        </w:rPr>
        <w:t>号）以及《泸定县财政局关于批复</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年部门预算的通知》（泸财〔</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 xml:space="preserve">号）、《甘孜州财政局生健康委关于下达 </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 xml:space="preserve"> 年州级卫生健康专项补助资金的通知》（甘财社〔</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号）、《甘孜州财政局孜州卫生健康委关于下达公共卫生特别服务岗省级补助资金的通知》（甘财社〔</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96</w:t>
      </w:r>
      <w:r>
        <w:rPr>
          <w:rFonts w:hint="eastAsia" w:ascii="方正仿宋简体" w:hAnsi="方正仿宋简体" w:eastAsia="方正仿宋简体" w:cs="方正仿宋简体"/>
          <w:color w:val="auto"/>
          <w:sz w:val="32"/>
          <w:szCs w:val="32"/>
          <w:highlight w:val="none"/>
          <w:lang w:val="en-US" w:eastAsia="zh-CN"/>
        </w:rPr>
        <w:t>号）、《甘孜州财政局孜州卫生健康委关于下达公共卫生特别服务岗省级补助资金的通知》（甘财社〔</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98</w:t>
      </w:r>
      <w:r>
        <w:rPr>
          <w:rFonts w:hint="eastAsia" w:ascii="方正仿宋简体" w:hAnsi="方正仿宋简体" w:eastAsia="方正仿宋简体" w:cs="方正仿宋简体"/>
          <w:color w:val="auto"/>
          <w:sz w:val="32"/>
          <w:szCs w:val="32"/>
          <w:highlight w:val="none"/>
          <w:lang w:val="en-US" w:eastAsia="zh-CN"/>
        </w:rPr>
        <w:t>号）、《甘孜州财政局孜州卫生健康委关于下达</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年基本公共卫生服务中央和省级补助资金的通知》（甘财社〔</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43</w:t>
      </w:r>
      <w:r>
        <w:rPr>
          <w:rFonts w:hint="eastAsia" w:ascii="方正仿宋简体" w:hAnsi="方正仿宋简体" w:eastAsia="方正仿宋简体" w:cs="方正仿宋简体"/>
          <w:color w:val="auto"/>
          <w:sz w:val="32"/>
          <w:szCs w:val="32"/>
          <w:highlight w:val="none"/>
          <w:lang w:val="en-US" w:eastAsia="zh-CN"/>
        </w:rPr>
        <w:t>号）资金文件，县卫健局依据省级政策文件实施该项政策。</w:t>
      </w:r>
    </w:p>
    <w:p w14:paraId="25076469">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.政策依据</w:t>
      </w:r>
    </w:p>
    <w:p w14:paraId="0C76DDFB">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sz w:val="32"/>
          <w:szCs w:val="32"/>
          <w:highlight w:val="none"/>
        </w:rPr>
        <w:t>关于批复</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年部门预算的通知》（泸财〔</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13</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16BD89D5">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《甘孜州财政局生健康委关于下达 </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年州级卫生健康专项补助资金的通知》（甘财社〔</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7736B669">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）《甘孜州财政局孜州卫生健康委关于下达公共卫生特别服务岗省级补助资金的通知》（甘财社〔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96</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3E85BA68">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）《甘孜州财政局孜州卫生健康委关于下达公共卫生特别服务岗省级补助资金的通知》（甘财社〔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11C43367">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）《甘孜州财政局孜州卫生健康委关于下达</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年基本公共卫生服务中央和省级补助资金的通知》（甘财社〔</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2D3BAC38">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）《关于转发省卫生健康委、省财政厅、省中医药管理局</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关于做好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年四川省基本公共卫生服务工作的通知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的通知》（甘卫函〔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282</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3EA69189">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eastAsia="zh-CN"/>
        </w:rPr>
        <w:t>）《四川省基本公共卫生服务补助资金管理办法》。</w:t>
      </w:r>
    </w:p>
    <w:p w14:paraId="381B4F4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.政策内容及实施情况</w:t>
      </w:r>
    </w:p>
    <w:p w14:paraId="6561D716">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）被评价单位</w:t>
      </w:r>
    </w:p>
    <w:p w14:paraId="5A700132">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泸定县卫生健康局</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en-US" w:eastAsia="zh-CN"/>
        </w:rPr>
        <w:t>以下简称：县卫健局</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，机构性质：机关；统一社会信用代码：</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11513322008978214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K</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，机构地址：泸定县泸桥镇田坝村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组</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38</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55A010A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）政策内容</w:t>
      </w:r>
    </w:p>
    <w:p w14:paraId="73DC81F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根据《关于转发省卫生健康委、省财政厅、省中医药管理局〈关于做好</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年四川省基本公共卫生服务工作的通知〉的通知》（甘卫函〔</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282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号）文件</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明确</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年人均基本公共卫生服务项目经费补助标准为</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94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元（含民族地区卫生十年行动计划人均</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元），其中</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元用于主要由社区卫生服务中心、乡镇卫生院和村卫生室等基层医疗卫生机构提供服务的基本公共卫生服务项目，剩余</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元用于开展地方病防治、职业病防治、重大疾病及危害因素监测、疾病预防控制、妇幼健康服务等</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项其他基本公共卫生服务项目。</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年新增</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元经费重点支</w:t>
      </w:r>
      <w:r>
        <w:rPr>
          <w:rFonts w:hint="eastAsia" w:ascii="方正仿宋简体" w:hAnsi="方正仿宋简体" w:eastAsia="方正仿宋简体" w:cs="方正仿宋简体"/>
          <w:color w:val="auto"/>
          <w:sz w:val="32"/>
          <w:szCs w:val="32"/>
          <w:highlight w:val="none"/>
          <w:lang w:eastAsia="zh-CN"/>
        </w:rPr>
        <w:t>持地方强化老年人、儿童的基本公共卫生服务</w:t>
      </w:r>
      <w:r>
        <w:rPr>
          <w:rFonts w:hint="eastAsia" w:ascii="方正仿宋简体" w:hAnsi="方正仿宋简体" w:eastAsia="方正仿宋简体" w:cs="方正仿宋简体"/>
          <w:color w:val="auto"/>
          <w:sz w:val="32"/>
          <w:szCs w:val="32"/>
          <w:highlight w:val="none"/>
        </w:rPr>
        <w:t>。</w:t>
      </w:r>
    </w:p>
    <w:p w14:paraId="55FAF398">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）政策实施情况</w:t>
      </w:r>
    </w:p>
    <w:p w14:paraId="5B99C03F">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政策由县卫健局主管，资金拨付到各乡镇卫生院具体执行，通过县卫健局提供泸定县疾病预防控制中心职业病防治、泸定县冷碛镇中心卫生院老年健康与医养结合服务</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政策实施资料</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政策</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资金主要为经常性支出，如</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政策执行过程中发生的</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办公费、差旅费、培训费等。</w:t>
      </w:r>
    </w:p>
    <w:p w14:paraId="02E04AE4">
      <w:pPr>
        <w:keepNext w:val="0"/>
        <w:keepLines w:val="0"/>
        <w:pageBreakBefore w:val="0"/>
        <w:kinsoku/>
        <w:wordWrap/>
        <w:overflowPunct/>
        <w:topLine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5" w:name="_Toc21685"/>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rPr>
        <w:t>二</w:t>
      </w:r>
      <w:r>
        <w:rPr>
          <w:rFonts w:hint="eastAsia" w:ascii="方正楷体简体" w:hAnsi="方正楷体简体" w:eastAsia="方正楷体简体" w:cs="方正楷体简体"/>
          <w:color w:val="000000"/>
          <w:kern w:val="0"/>
          <w:sz w:val="32"/>
          <w:szCs w:val="32"/>
          <w:highlight w:val="none"/>
          <w:shd w:val="clear" w:color="auto" w:fill="FFFFFF"/>
          <w:lang w:val="zh-CN"/>
        </w:rPr>
        <w:t>）资金投入及使用情况</w:t>
      </w:r>
      <w:bookmarkEnd w:id="15"/>
    </w:p>
    <w:p w14:paraId="4393F197">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16"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根据资金文件，</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年共计下达基本公共卫生服务政策资</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855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96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万元，结合县卫健局可执行指标执行情况表，基本公共卫生服务预算数</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764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万元，实际支出</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737</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万元，资金使用率</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96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17A5C718">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7" w:name="_Toc11158"/>
      <w:r>
        <w:rPr>
          <w:rFonts w:hint="eastAsia" w:ascii="方正黑体简体" w:hAnsi="方正黑体简体" w:eastAsia="方正黑体简体" w:cs="方正黑体简体"/>
          <w:color w:val="auto"/>
          <w:kern w:val="0"/>
          <w:sz w:val="32"/>
          <w:szCs w:val="32"/>
          <w:highlight w:val="none"/>
          <w:shd w:val="clear" w:color="auto" w:fill="FFFFFF"/>
        </w:rPr>
        <w:t>二、绩效评价工作开展情况</w:t>
      </w:r>
      <w:bookmarkEnd w:id="16"/>
      <w:bookmarkEnd w:id="17"/>
    </w:p>
    <w:p w14:paraId="1A9FE61D">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rPr>
      </w:pPr>
      <w:bookmarkStart w:id="18" w:name="_Toc3977"/>
      <w:bookmarkStart w:id="19" w:name="_Toc19659"/>
      <w:r>
        <w:rPr>
          <w:rFonts w:hint="eastAsia" w:ascii="方正楷体简体" w:hAnsi="方正楷体简体" w:eastAsia="方正楷体简体" w:cs="方正楷体简体"/>
          <w:sz w:val="32"/>
          <w:szCs w:val="32"/>
          <w:highlight w:val="none"/>
        </w:rPr>
        <w:t>（一）绩效评价目的、对象和范围</w:t>
      </w:r>
      <w:bookmarkEnd w:id="18"/>
      <w:bookmarkEnd w:id="19"/>
    </w:p>
    <w:p w14:paraId="497D987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20" w:name="_Toc1815"/>
      <w:bookmarkStart w:id="21" w:name="_Toc16152"/>
      <w:bookmarkStart w:id="22" w:name="_Toc16228"/>
      <w:r>
        <w:rPr>
          <w:rFonts w:hint="default" w:ascii="Times New Roman" w:hAnsi="Times New Roman" w:eastAsia="方正仿宋简体" w:cs="Times New Roman"/>
          <w:color w:val="000000"/>
          <w:sz w:val="32"/>
          <w:szCs w:val="32"/>
          <w:highlight w:val="none"/>
          <w:shd w:val="clear" w:color="auto" w:fill="FFFFFF"/>
        </w:rPr>
        <w:t>1</w:t>
      </w:r>
      <w:r>
        <w:rPr>
          <w:rFonts w:hint="eastAsia" w:ascii="方正仿宋简体" w:hAnsi="方正仿宋简体" w:eastAsia="方正仿宋简体" w:cs="方正仿宋简体"/>
          <w:color w:val="000000"/>
          <w:sz w:val="32"/>
          <w:szCs w:val="32"/>
          <w:highlight w:val="none"/>
          <w:shd w:val="clear" w:color="auto" w:fill="FFFFFF"/>
        </w:rPr>
        <w:t>.绩效评价的目的</w:t>
      </w:r>
      <w:bookmarkEnd w:id="20"/>
      <w:bookmarkEnd w:id="21"/>
      <w:bookmarkEnd w:id="22"/>
    </w:p>
    <w:p w14:paraId="677F17E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绩效评价是全过程预算绩效管理的重要环节，预算绩效管理主体根据设定的绩效目标，运用科学、合理的绩效评价指标、评价标准和评价方法，对政策的设计、执行和效果进行客观、公正的测算、分析和评判，从而提高财政资源配置效率和使用效益。本次通过对泸定县卫生健康局“基本公共卫生服务”政策的绩效评价，以期达到以下评价目的：</w:t>
      </w:r>
    </w:p>
    <w:p w14:paraId="6F9F7A64">
      <w:pPr>
        <w:keepNext w:val="0"/>
        <w:keepLines w:val="0"/>
        <w:pageBreakBefore w:val="0"/>
        <w:numPr>
          <w:ilvl w:val="0"/>
          <w:numId w:val="2"/>
        </w:numPr>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w:t>
      </w:r>
      <w:r>
        <w:rPr>
          <w:rFonts w:hint="eastAsia" w:ascii="方正仿宋简体" w:hAnsi="方正仿宋简体" w:eastAsia="方正仿宋简体" w:cs="方正仿宋简体"/>
          <w:color w:val="000000"/>
          <w:sz w:val="32"/>
          <w:szCs w:val="32"/>
          <w:highlight w:val="none"/>
          <w:shd w:val="clear" w:color="auto" w:fill="FFFFFF"/>
          <w:lang w:eastAsia="zh-CN"/>
        </w:rPr>
        <w:t>基本公共卫生服务</w:t>
      </w:r>
      <w:r>
        <w:rPr>
          <w:rFonts w:hint="eastAsia" w:ascii="方正仿宋简体" w:hAnsi="方正仿宋简体" w:eastAsia="方正仿宋简体" w:cs="方正仿宋简体"/>
          <w:color w:val="000000"/>
          <w:sz w:val="32"/>
          <w:szCs w:val="32"/>
          <w:highlight w:val="none"/>
          <w:shd w:val="clear" w:color="auto" w:fill="FFFFFF"/>
        </w:rPr>
        <w:t>”政策的设计是否符合受益对象的需求，是否与上级政策一致，补助标准是否合理。</w:t>
      </w:r>
    </w:p>
    <w:p w14:paraId="758E7605">
      <w:pPr>
        <w:keepNext w:val="0"/>
        <w:keepLines w:val="0"/>
        <w:pageBreakBefore w:val="0"/>
        <w:numPr>
          <w:ilvl w:val="0"/>
          <w:numId w:val="2"/>
        </w:numPr>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考察政策的实际完成情况，评估是否达到预期目标，如未达到预期目标，则对未完成原因进行分析，并提出针对性建议；</w:t>
      </w:r>
    </w:p>
    <w:p w14:paraId="74F987E8">
      <w:pPr>
        <w:keepNext w:val="0"/>
        <w:keepLines w:val="0"/>
        <w:pageBreakBefore w:val="0"/>
        <w:numPr>
          <w:ilvl w:val="0"/>
          <w:numId w:val="2"/>
        </w:numPr>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考察政策的执行过程是否合法、合规，财务管理和业务流程是否规范，执行是否有效，监管是否到位；</w:t>
      </w:r>
    </w:p>
    <w:p w14:paraId="2D6BA6DE">
      <w:pPr>
        <w:keepNext w:val="0"/>
        <w:keepLines w:val="0"/>
        <w:pageBreakBefore w:val="0"/>
        <w:numPr>
          <w:ilvl w:val="0"/>
          <w:numId w:val="2"/>
        </w:numPr>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考察政策的效果，社会效益是否达到预期目标，人民群众是否满意。</w:t>
      </w:r>
    </w:p>
    <w:p w14:paraId="48FD19FE">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23" w:name="_Toc18308"/>
      <w:bookmarkStart w:id="24" w:name="_Toc28402"/>
      <w:bookmarkStart w:id="25" w:name="_Toc31072"/>
      <w:r>
        <w:rPr>
          <w:rFonts w:hint="default" w:ascii="Times New Roman" w:hAnsi="Times New Roman" w:eastAsia="方正仿宋简体" w:cs="Times New Roman"/>
          <w:color w:val="000000"/>
          <w:sz w:val="32"/>
          <w:szCs w:val="32"/>
          <w:highlight w:val="none"/>
          <w:shd w:val="clear" w:color="auto" w:fill="FFFFFF"/>
        </w:rPr>
        <w:t>2</w:t>
      </w:r>
      <w:r>
        <w:rPr>
          <w:rFonts w:hint="eastAsia" w:ascii="方正仿宋简体" w:hAnsi="方正仿宋简体" w:eastAsia="方正仿宋简体" w:cs="方正仿宋简体"/>
          <w:color w:val="000000"/>
          <w:sz w:val="32"/>
          <w:szCs w:val="32"/>
          <w:highlight w:val="none"/>
          <w:shd w:val="clear" w:color="auto" w:fill="FFFFFF"/>
        </w:rPr>
        <w:t>.绩效评价的对象</w:t>
      </w:r>
      <w:bookmarkEnd w:id="23"/>
      <w:bookmarkEnd w:id="24"/>
      <w:bookmarkEnd w:id="25"/>
    </w:p>
    <w:p w14:paraId="49808C4F">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本次绩效评价的对象为</w:t>
      </w:r>
      <w:r>
        <w:rPr>
          <w:rFonts w:hint="eastAsia" w:ascii="方正仿宋简体" w:hAnsi="方正仿宋简体" w:eastAsia="方正仿宋简体" w:cs="方正仿宋简体"/>
          <w:color w:val="000000"/>
          <w:sz w:val="32"/>
          <w:szCs w:val="32"/>
          <w:highlight w:val="none"/>
          <w:shd w:val="clear" w:color="auto" w:fill="FFFFFF"/>
          <w:lang w:eastAsia="zh-CN"/>
        </w:rPr>
        <w:t>泸定县卫生健康局</w:t>
      </w:r>
      <w:r>
        <w:rPr>
          <w:rFonts w:hint="eastAsia" w:ascii="方正仿宋简体" w:hAnsi="方正仿宋简体" w:eastAsia="方正仿宋简体" w:cs="方正仿宋简体"/>
          <w:color w:val="000000"/>
          <w:sz w:val="32"/>
          <w:szCs w:val="32"/>
          <w:highlight w:val="none"/>
          <w:shd w:val="clear" w:color="auto" w:fill="FFFFFF"/>
        </w:rPr>
        <w:t>“</w:t>
      </w:r>
      <w:r>
        <w:rPr>
          <w:rFonts w:hint="eastAsia" w:ascii="方正仿宋简体" w:hAnsi="方正仿宋简体" w:eastAsia="方正仿宋简体" w:cs="方正仿宋简体"/>
          <w:color w:val="000000"/>
          <w:sz w:val="32"/>
          <w:szCs w:val="32"/>
          <w:highlight w:val="none"/>
          <w:shd w:val="clear" w:color="auto" w:fill="FFFFFF"/>
          <w:lang w:eastAsia="zh-CN"/>
        </w:rPr>
        <w:t>基本公共卫生服务</w:t>
      </w:r>
      <w:r>
        <w:rPr>
          <w:rFonts w:hint="eastAsia" w:ascii="方正仿宋简体" w:hAnsi="方正仿宋简体" w:eastAsia="方正仿宋简体" w:cs="方正仿宋简体"/>
          <w:color w:val="000000"/>
          <w:sz w:val="32"/>
          <w:szCs w:val="32"/>
          <w:highlight w:val="none"/>
          <w:shd w:val="clear" w:color="auto" w:fill="FFFFFF"/>
        </w:rPr>
        <w:t>”政策。</w:t>
      </w:r>
    </w:p>
    <w:p w14:paraId="6EC2BCB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26" w:name="_Toc32539"/>
      <w:bookmarkStart w:id="27" w:name="_Toc18347"/>
      <w:bookmarkStart w:id="28" w:name="_Toc11685"/>
      <w:r>
        <w:rPr>
          <w:rFonts w:hint="default" w:ascii="Times New Roman" w:hAnsi="Times New Roman" w:eastAsia="方正仿宋简体" w:cs="Times New Roman"/>
          <w:color w:val="000000"/>
          <w:sz w:val="32"/>
          <w:szCs w:val="32"/>
          <w:highlight w:val="none"/>
          <w:shd w:val="clear" w:color="auto" w:fill="FFFFFF"/>
        </w:rPr>
        <w:t>3</w:t>
      </w:r>
      <w:r>
        <w:rPr>
          <w:rFonts w:hint="eastAsia" w:ascii="方正仿宋简体" w:hAnsi="方正仿宋简体" w:eastAsia="方正仿宋简体" w:cs="方正仿宋简体"/>
          <w:color w:val="000000"/>
          <w:sz w:val="32"/>
          <w:szCs w:val="32"/>
          <w:highlight w:val="none"/>
          <w:shd w:val="clear" w:color="auto" w:fill="FFFFFF"/>
        </w:rPr>
        <w:t>.绩效评价的范围</w:t>
      </w:r>
      <w:bookmarkEnd w:id="26"/>
      <w:bookmarkEnd w:id="27"/>
      <w:bookmarkEnd w:id="28"/>
    </w:p>
    <w:p w14:paraId="5DA48287">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本次绩效评价的范围为政策内容、总体绩效目标、各项绩效指标完成情况以及预算执行情况。主要包括：立项情况、资金管理和使用情况、相关管理制度办法的健全性及执行情况、实现的产出情况、取得的效益情况以及其他相关内容。</w:t>
      </w:r>
      <w:bookmarkStart w:id="29" w:name="_Toc25044"/>
    </w:p>
    <w:p w14:paraId="02C6007E">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rPr>
      </w:pPr>
      <w:bookmarkStart w:id="30" w:name="_Toc11089"/>
      <w:r>
        <w:rPr>
          <w:rFonts w:hint="eastAsia" w:ascii="方正楷体简体" w:hAnsi="方正楷体简体" w:eastAsia="方正楷体简体" w:cs="方正楷体简体"/>
          <w:sz w:val="32"/>
          <w:szCs w:val="32"/>
          <w:highlight w:val="none"/>
        </w:rPr>
        <w:t>（二）绩效评价原则、评价指标体系</w:t>
      </w:r>
      <w:bookmarkEnd w:id="29"/>
      <w:bookmarkEnd w:id="30"/>
    </w:p>
    <w:p w14:paraId="48153E56">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31" w:name="_Toc214"/>
      <w:bookmarkStart w:id="32" w:name="_Toc30381"/>
      <w:bookmarkStart w:id="33" w:name="_Toc26217"/>
      <w:r>
        <w:rPr>
          <w:rFonts w:hint="default" w:ascii="Times New Roman" w:hAnsi="Times New Roman" w:eastAsia="方正仿宋简体" w:cs="Times New Roman"/>
          <w:color w:val="000000"/>
          <w:sz w:val="32"/>
          <w:szCs w:val="32"/>
          <w:highlight w:val="none"/>
          <w:shd w:val="clear" w:color="auto" w:fill="FFFFFF"/>
        </w:rPr>
        <w:t>1</w:t>
      </w:r>
      <w:r>
        <w:rPr>
          <w:rFonts w:hint="eastAsia" w:ascii="方正仿宋简体" w:hAnsi="方正仿宋简体" w:eastAsia="方正仿宋简体" w:cs="方正仿宋简体"/>
          <w:color w:val="000000"/>
          <w:sz w:val="32"/>
          <w:szCs w:val="32"/>
          <w:highlight w:val="none"/>
          <w:shd w:val="clear" w:color="auto" w:fill="FFFFFF"/>
        </w:rPr>
        <w:t>.绩效评价的原则</w:t>
      </w:r>
      <w:bookmarkEnd w:id="31"/>
      <w:bookmarkEnd w:id="32"/>
      <w:bookmarkEnd w:id="33"/>
    </w:p>
    <w:p w14:paraId="76CE0AC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根据财政部、四川省和甘孜州、泸定县关于预算管理绩效评价的相关文件，评价工作组按照绩效导向和目标管理的原则，运用科学合理的方法，依据规范程序，按照从设计、执行、效果的逻辑路径进行评价。</w:t>
      </w:r>
    </w:p>
    <w:p w14:paraId="236E9784">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34" w:name="_Toc9597"/>
      <w:bookmarkStart w:id="35" w:name="_Toc19387"/>
      <w:bookmarkStart w:id="36" w:name="_Toc26269"/>
      <w:r>
        <w:rPr>
          <w:rFonts w:hint="default" w:ascii="Times New Roman" w:hAnsi="Times New Roman" w:eastAsia="方正仿宋简体" w:cs="Times New Roman"/>
          <w:color w:val="000000"/>
          <w:sz w:val="32"/>
          <w:szCs w:val="32"/>
          <w:highlight w:val="none"/>
          <w:shd w:val="clear" w:color="auto" w:fill="FFFFFF"/>
        </w:rPr>
        <w:t>2</w:t>
      </w:r>
      <w:r>
        <w:rPr>
          <w:rFonts w:hint="eastAsia" w:ascii="方正仿宋简体" w:hAnsi="方正仿宋简体" w:eastAsia="方正仿宋简体" w:cs="方正仿宋简体"/>
          <w:color w:val="000000"/>
          <w:sz w:val="32"/>
          <w:szCs w:val="32"/>
          <w:highlight w:val="none"/>
          <w:shd w:val="clear" w:color="auto" w:fill="FFFFFF"/>
        </w:rPr>
        <w:t>.评价指标体系</w:t>
      </w:r>
      <w:bookmarkEnd w:id="34"/>
      <w:bookmarkEnd w:id="35"/>
      <w:bookmarkEnd w:id="36"/>
    </w:p>
    <w:p w14:paraId="554471A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本政策评价指标体系框架由</w:t>
      </w:r>
      <w:r>
        <w:rPr>
          <w:rFonts w:hint="default" w:ascii="Times New Roman" w:hAnsi="Times New Roman" w:eastAsia="方正仿宋简体" w:cs="Times New Roman"/>
          <w:color w:val="000000"/>
          <w:sz w:val="32"/>
          <w:szCs w:val="32"/>
          <w:highlight w:val="none"/>
          <w:shd w:val="clear" w:color="auto" w:fill="FFFFFF"/>
        </w:rPr>
        <w:t>5</w:t>
      </w:r>
      <w:r>
        <w:rPr>
          <w:rFonts w:hint="eastAsia" w:ascii="方正仿宋简体" w:hAnsi="方正仿宋简体" w:eastAsia="方正仿宋简体" w:cs="方正仿宋简体"/>
          <w:color w:val="000000"/>
          <w:sz w:val="32"/>
          <w:szCs w:val="32"/>
          <w:highlight w:val="none"/>
          <w:shd w:val="clear" w:color="auto" w:fill="FFFFFF"/>
        </w:rPr>
        <w:t>项一级指标、</w:t>
      </w:r>
      <w:r>
        <w:rPr>
          <w:rFonts w:hint="default" w:ascii="Times New Roman" w:hAnsi="Times New Roman" w:eastAsia="方正仿宋简体" w:cs="Times New Roman"/>
          <w:color w:val="000000"/>
          <w:sz w:val="32"/>
          <w:szCs w:val="32"/>
          <w:highlight w:val="none"/>
          <w:shd w:val="clear" w:color="auto" w:fill="FFFFFF"/>
          <w:lang w:val="en-US" w:eastAsia="zh-CN"/>
        </w:rPr>
        <w:t>14</w:t>
      </w:r>
      <w:r>
        <w:rPr>
          <w:rFonts w:hint="eastAsia" w:ascii="方正仿宋简体" w:hAnsi="方正仿宋简体" w:eastAsia="方正仿宋简体" w:cs="方正仿宋简体"/>
          <w:color w:val="000000"/>
          <w:sz w:val="32"/>
          <w:szCs w:val="32"/>
          <w:highlight w:val="none"/>
          <w:shd w:val="clear" w:color="auto" w:fill="FFFFFF"/>
        </w:rPr>
        <w:t>项二级指标、</w:t>
      </w:r>
      <w:r>
        <w:rPr>
          <w:rFonts w:hint="default" w:ascii="Times New Roman" w:hAnsi="Times New Roman" w:eastAsia="方正仿宋简体" w:cs="Times New Roman"/>
          <w:color w:val="000000"/>
          <w:sz w:val="32"/>
          <w:szCs w:val="32"/>
          <w:highlight w:val="none"/>
          <w:shd w:val="clear" w:color="auto" w:fill="FFFFFF"/>
          <w:lang w:val="en-US" w:eastAsia="zh-CN"/>
        </w:rPr>
        <w:t>28</w:t>
      </w:r>
      <w:r>
        <w:rPr>
          <w:rFonts w:hint="eastAsia" w:ascii="方正仿宋简体" w:hAnsi="方正仿宋简体" w:eastAsia="方正仿宋简体" w:cs="方正仿宋简体"/>
          <w:color w:val="000000"/>
          <w:sz w:val="32"/>
          <w:szCs w:val="32"/>
          <w:highlight w:val="none"/>
          <w:shd w:val="clear" w:color="auto" w:fill="FFFFFF"/>
        </w:rPr>
        <w:t>项三级指标构成，总分</w:t>
      </w:r>
      <w:r>
        <w:rPr>
          <w:rFonts w:hint="default" w:ascii="Times New Roman" w:hAnsi="Times New Roman" w:eastAsia="方正仿宋简体" w:cs="Times New Roman"/>
          <w:color w:val="000000"/>
          <w:sz w:val="32"/>
          <w:szCs w:val="32"/>
          <w:highlight w:val="none"/>
          <w:shd w:val="clear" w:color="auto" w:fill="FFFFFF"/>
        </w:rPr>
        <w:t>100</w:t>
      </w:r>
      <w:r>
        <w:rPr>
          <w:rFonts w:hint="eastAsia" w:ascii="方正仿宋简体" w:hAnsi="方正仿宋简体" w:eastAsia="方正仿宋简体" w:cs="方正仿宋简体"/>
          <w:color w:val="000000"/>
          <w:sz w:val="32"/>
          <w:szCs w:val="32"/>
          <w:highlight w:val="none"/>
          <w:shd w:val="clear" w:color="auto" w:fill="FFFFFF"/>
        </w:rPr>
        <w:t>分。指标设计严格遵循问题导向的设计思路，优先选取最具代表性、最能直接反映效果的核心指标，指标内涵明确、具体、可衡量；指标数据主要来源于政策文件、基础数据表、账务、问卷调查、访谈等。</w:t>
      </w:r>
    </w:p>
    <w:p w14:paraId="21B5AB60">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1</w:t>
      </w:r>
      <w:r>
        <w:rPr>
          <w:rFonts w:hint="eastAsia" w:ascii="方正仿宋简体" w:hAnsi="方正仿宋简体" w:eastAsia="方正仿宋简体" w:cs="方正仿宋简体"/>
          <w:color w:val="000000"/>
          <w:sz w:val="32"/>
          <w:szCs w:val="32"/>
          <w:highlight w:val="none"/>
          <w:shd w:val="clear" w:color="auto" w:fill="FFFFFF"/>
        </w:rPr>
        <w:t>）经济性：</w:t>
      </w:r>
      <w:r>
        <w:rPr>
          <w:rFonts w:hint="default" w:ascii="Times New Roman" w:hAnsi="Times New Roman" w:eastAsia="方正仿宋简体" w:cs="Times New Roman"/>
          <w:color w:val="000000"/>
          <w:sz w:val="32"/>
          <w:szCs w:val="32"/>
          <w:highlight w:val="none"/>
          <w:shd w:val="clear" w:color="auto" w:fill="FFFFFF"/>
        </w:rPr>
        <w:t>18</w:t>
      </w:r>
      <w:r>
        <w:rPr>
          <w:rFonts w:hint="eastAsia" w:ascii="方正仿宋简体" w:hAnsi="方正仿宋简体" w:eastAsia="方正仿宋简体" w:cs="方正仿宋简体"/>
          <w:color w:val="000000"/>
          <w:sz w:val="32"/>
          <w:szCs w:val="32"/>
          <w:highlight w:val="none"/>
          <w:shd w:val="clear" w:color="auto" w:fill="FFFFFF"/>
        </w:rPr>
        <w:t>分。指标设计从目标科学性、合理性两个方面进行考察评价，用于考察政策目标适应性、政策内容完整性、政策内容协调性、政策实施覆盖率、补助标准明确性、补助标准合理性等各项情况。</w:t>
      </w:r>
    </w:p>
    <w:p w14:paraId="47C702C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2</w:t>
      </w:r>
      <w:r>
        <w:rPr>
          <w:rFonts w:hint="eastAsia" w:ascii="方正仿宋简体" w:hAnsi="方正仿宋简体" w:eastAsia="方正仿宋简体" w:cs="方正仿宋简体"/>
          <w:color w:val="000000"/>
          <w:sz w:val="32"/>
          <w:szCs w:val="32"/>
          <w:highlight w:val="none"/>
          <w:shd w:val="clear" w:color="auto" w:fill="FFFFFF"/>
        </w:rPr>
        <w:t>）效率性：</w:t>
      </w:r>
      <w:r>
        <w:rPr>
          <w:rFonts w:hint="default" w:ascii="Times New Roman" w:hAnsi="Times New Roman" w:eastAsia="方正仿宋简体" w:cs="Times New Roman"/>
          <w:color w:val="000000"/>
          <w:sz w:val="32"/>
          <w:szCs w:val="32"/>
          <w:highlight w:val="none"/>
          <w:shd w:val="clear" w:color="auto" w:fill="FFFFFF"/>
        </w:rPr>
        <w:t>9</w:t>
      </w:r>
      <w:r>
        <w:rPr>
          <w:rFonts w:hint="eastAsia" w:ascii="方正仿宋简体" w:hAnsi="方正仿宋简体" w:eastAsia="方正仿宋简体" w:cs="方正仿宋简体"/>
          <w:color w:val="000000"/>
          <w:sz w:val="32"/>
          <w:szCs w:val="32"/>
          <w:highlight w:val="none"/>
          <w:shd w:val="clear" w:color="auto" w:fill="FFFFFF"/>
        </w:rPr>
        <w:t>分。指标设计从管理效率性、执行效率性两个方面进行考察评价，用于考察政策的决策高效性和执行高效性。</w:t>
      </w:r>
    </w:p>
    <w:p w14:paraId="538E557A">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3</w:t>
      </w:r>
      <w:r>
        <w:rPr>
          <w:rFonts w:hint="eastAsia" w:ascii="方正仿宋简体" w:hAnsi="方正仿宋简体" w:eastAsia="方正仿宋简体" w:cs="方正仿宋简体"/>
          <w:color w:val="000000"/>
          <w:sz w:val="32"/>
          <w:szCs w:val="32"/>
          <w:highlight w:val="none"/>
          <w:shd w:val="clear" w:color="auto" w:fill="FFFFFF"/>
        </w:rPr>
        <w:t>）可持续性：</w:t>
      </w:r>
      <w:r>
        <w:rPr>
          <w:rFonts w:hint="default" w:ascii="Times New Roman" w:hAnsi="Times New Roman" w:eastAsia="方正仿宋简体" w:cs="Times New Roman"/>
          <w:color w:val="000000"/>
          <w:sz w:val="32"/>
          <w:szCs w:val="32"/>
          <w:highlight w:val="none"/>
          <w:shd w:val="clear" w:color="auto" w:fill="FFFFFF"/>
        </w:rPr>
        <w:t>3</w:t>
      </w:r>
      <w:r>
        <w:rPr>
          <w:rFonts w:hint="default" w:ascii="Times New Roman" w:hAnsi="Times New Roman" w:eastAsia="方正仿宋简体" w:cs="Times New Roman"/>
          <w:color w:val="000000"/>
          <w:sz w:val="32"/>
          <w:szCs w:val="32"/>
          <w:highlight w:val="none"/>
          <w:shd w:val="clear" w:color="auto" w:fill="FFFFFF"/>
          <w:lang w:val="en-US" w:eastAsia="zh-CN"/>
        </w:rPr>
        <w:t>7</w:t>
      </w:r>
      <w:r>
        <w:rPr>
          <w:rFonts w:hint="eastAsia" w:ascii="方正仿宋简体" w:hAnsi="方正仿宋简体" w:eastAsia="方正仿宋简体" w:cs="方正仿宋简体"/>
          <w:color w:val="000000"/>
          <w:sz w:val="32"/>
          <w:szCs w:val="32"/>
          <w:highlight w:val="none"/>
          <w:shd w:val="clear" w:color="auto" w:fill="FFFFFF"/>
        </w:rPr>
        <w:t>分。指标设计从受益对象资格审核准确率、监管考核执行有效性、档案管理规范性、政策调整机制健全性、政策调整合理性、政策调整及时性、投诉反馈机制健全性、职责分工明确性、审核流程规范性、</w:t>
      </w:r>
      <w:r>
        <w:rPr>
          <w:rFonts w:hint="eastAsia" w:ascii="方正仿宋简体" w:hAnsi="方正仿宋简体" w:eastAsia="方正仿宋简体" w:cs="方正仿宋简体"/>
          <w:color w:val="000000"/>
          <w:sz w:val="32"/>
          <w:szCs w:val="32"/>
          <w:highlight w:val="none"/>
          <w:shd w:val="clear" w:color="auto" w:fill="FFFFFF"/>
          <w:lang w:val="en-US" w:eastAsia="zh-CN"/>
        </w:rPr>
        <w:t>受益对象需求度、</w:t>
      </w:r>
      <w:r>
        <w:rPr>
          <w:rFonts w:hint="eastAsia" w:ascii="方正仿宋简体" w:hAnsi="方正仿宋简体" w:eastAsia="方正仿宋简体" w:cs="方正仿宋简体"/>
          <w:color w:val="000000"/>
          <w:sz w:val="32"/>
          <w:szCs w:val="32"/>
          <w:highlight w:val="none"/>
          <w:shd w:val="clear" w:color="auto" w:fill="FFFFFF"/>
        </w:rPr>
        <w:t>政策持续实施条件完备性、政策的可重复性</w:t>
      </w:r>
      <w:r>
        <w:rPr>
          <w:rFonts w:hint="default" w:ascii="Times New Roman" w:hAnsi="Times New Roman" w:eastAsia="方正仿宋简体" w:cs="Times New Roman"/>
          <w:color w:val="000000"/>
          <w:sz w:val="32"/>
          <w:szCs w:val="32"/>
          <w:highlight w:val="none"/>
          <w:shd w:val="clear" w:color="auto" w:fill="FFFFFF"/>
          <w:lang w:val="en-US" w:eastAsia="zh-CN"/>
        </w:rPr>
        <w:t>12</w:t>
      </w:r>
      <w:r>
        <w:rPr>
          <w:rFonts w:hint="eastAsia" w:ascii="方正仿宋简体" w:hAnsi="方正仿宋简体" w:eastAsia="方正仿宋简体" w:cs="方正仿宋简体"/>
          <w:color w:val="000000"/>
          <w:sz w:val="32"/>
          <w:szCs w:val="32"/>
          <w:highlight w:val="none"/>
          <w:shd w:val="clear" w:color="auto" w:fill="FFFFFF"/>
        </w:rPr>
        <w:t>个方面进行考察评价，用于考察政策的持续运行、持续需求和重复性。</w:t>
      </w:r>
    </w:p>
    <w:p w14:paraId="1040A783">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4</w:t>
      </w:r>
      <w:r>
        <w:rPr>
          <w:rFonts w:hint="eastAsia" w:ascii="方正仿宋简体" w:hAnsi="方正仿宋简体" w:eastAsia="方正仿宋简体" w:cs="方正仿宋简体"/>
          <w:color w:val="000000"/>
          <w:sz w:val="32"/>
          <w:szCs w:val="32"/>
          <w:highlight w:val="none"/>
          <w:shd w:val="clear" w:color="auto" w:fill="FFFFFF"/>
        </w:rPr>
        <w:t>）公平性：</w:t>
      </w:r>
      <w:r>
        <w:rPr>
          <w:rFonts w:hint="default" w:ascii="Times New Roman" w:hAnsi="Times New Roman" w:eastAsia="方正仿宋简体" w:cs="Times New Roman"/>
          <w:color w:val="000000"/>
          <w:sz w:val="32"/>
          <w:szCs w:val="32"/>
          <w:highlight w:val="none"/>
          <w:shd w:val="clear" w:color="auto" w:fill="FFFFFF"/>
        </w:rPr>
        <w:t>8</w:t>
      </w:r>
      <w:r>
        <w:rPr>
          <w:rFonts w:hint="eastAsia" w:ascii="方正仿宋简体" w:hAnsi="方正仿宋简体" w:eastAsia="方正仿宋简体" w:cs="方正仿宋简体"/>
          <w:color w:val="000000"/>
          <w:sz w:val="32"/>
          <w:szCs w:val="32"/>
          <w:highlight w:val="none"/>
          <w:shd w:val="clear" w:color="auto" w:fill="FFFFFF"/>
        </w:rPr>
        <w:t>分。指标设计从政策宣传覆盖率、实际执行标准合理性两个方面进行考察评价，用于考察政策的覆盖公平性和标准公平性。</w:t>
      </w:r>
    </w:p>
    <w:p w14:paraId="778AE5B4">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shd w:val="clear" w:color="auto" w:fill="FFFFFF"/>
        </w:rPr>
      </w:pPr>
      <w:bookmarkStart w:id="37" w:name="_Toc27891"/>
      <w:bookmarkStart w:id="38" w:name="_Toc15812"/>
      <w:bookmarkStart w:id="39" w:name="_Toc855"/>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5</w:t>
      </w:r>
      <w:r>
        <w:rPr>
          <w:rFonts w:hint="eastAsia" w:ascii="方正仿宋简体" w:hAnsi="方正仿宋简体" w:eastAsia="方正仿宋简体" w:cs="方正仿宋简体"/>
          <w:color w:val="000000"/>
          <w:sz w:val="32"/>
          <w:szCs w:val="32"/>
          <w:highlight w:val="none"/>
          <w:shd w:val="clear" w:color="auto" w:fill="FFFFFF"/>
        </w:rPr>
        <w:t>）效益性：</w:t>
      </w:r>
      <w:r>
        <w:rPr>
          <w:rFonts w:hint="default" w:ascii="Times New Roman" w:hAnsi="Times New Roman" w:eastAsia="方正仿宋简体" w:cs="Times New Roman"/>
          <w:color w:val="000000"/>
          <w:sz w:val="32"/>
          <w:szCs w:val="32"/>
          <w:highlight w:val="none"/>
          <w:shd w:val="clear" w:color="auto" w:fill="FFFFFF"/>
          <w:lang w:val="en-US" w:eastAsia="zh-CN"/>
        </w:rPr>
        <w:t>28</w:t>
      </w:r>
      <w:r>
        <w:rPr>
          <w:rFonts w:hint="eastAsia" w:ascii="方正仿宋简体" w:hAnsi="方正仿宋简体" w:eastAsia="方正仿宋简体" w:cs="方正仿宋简体"/>
          <w:color w:val="000000"/>
          <w:sz w:val="32"/>
          <w:szCs w:val="32"/>
          <w:highlight w:val="none"/>
          <w:shd w:val="clear" w:color="auto" w:fill="FFFFFF"/>
        </w:rPr>
        <w:t>分。指标设计从资金使用率、任务完成率、政策内容知晓度、基本公共卫生服务政策补偿度、受益对象满意度</w:t>
      </w:r>
      <w:r>
        <w:rPr>
          <w:rFonts w:hint="default" w:ascii="Times New Roman" w:hAnsi="Times New Roman" w:eastAsia="方正仿宋简体" w:cs="Times New Roman"/>
          <w:color w:val="000000"/>
          <w:sz w:val="32"/>
          <w:szCs w:val="32"/>
          <w:highlight w:val="none"/>
          <w:shd w:val="clear" w:color="auto" w:fill="FFFFFF"/>
        </w:rPr>
        <w:t>5</w:t>
      </w:r>
      <w:r>
        <w:rPr>
          <w:rFonts w:hint="eastAsia" w:ascii="方正仿宋简体" w:hAnsi="方正仿宋简体" w:eastAsia="方正仿宋简体" w:cs="方正仿宋简体"/>
          <w:color w:val="000000"/>
          <w:sz w:val="32"/>
          <w:szCs w:val="32"/>
          <w:highlight w:val="none"/>
          <w:shd w:val="clear" w:color="auto" w:fill="FFFFFF"/>
        </w:rPr>
        <w:t>个方面进行</w:t>
      </w:r>
      <w:r>
        <w:rPr>
          <w:rFonts w:hint="eastAsia" w:ascii="方正仿宋简体" w:hAnsi="方正仿宋简体" w:eastAsia="方正仿宋简体" w:cs="方正仿宋简体"/>
          <w:color w:val="auto"/>
          <w:sz w:val="32"/>
          <w:szCs w:val="32"/>
          <w:highlight w:val="none"/>
          <w:shd w:val="clear" w:color="auto" w:fill="FFFFFF"/>
        </w:rPr>
        <w:t>考察评价，用于考察政策的资金使用、任务完成、社会效益及满意度。</w:t>
      </w:r>
    </w:p>
    <w:bookmarkEnd w:id="37"/>
    <w:bookmarkEnd w:id="38"/>
    <w:bookmarkEnd w:id="39"/>
    <w:p w14:paraId="440FE1B4">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40" w:name="_Toc24122"/>
      <w:bookmarkStart w:id="41" w:name="_Toc28226"/>
      <w:r>
        <w:rPr>
          <w:rFonts w:hint="eastAsia" w:ascii="方正黑体简体" w:hAnsi="方正黑体简体" w:eastAsia="方正黑体简体" w:cs="方正黑体简体"/>
          <w:color w:val="auto"/>
          <w:kern w:val="0"/>
          <w:sz w:val="32"/>
          <w:szCs w:val="32"/>
          <w:highlight w:val="none"/>
          <w:shd w:val="clear" w:color="auto" w:fill="FFFFFF"/>
        </w:rPr>
        <w:t>三、综合评价情况及评价结论</w:t>
      </w:r>
      <w:bookmarkEnd w:id="40"/>
      <w:bookmarkEnd w:id="41"/>
    </w:p>
    <w:p w14:paraId="5FC364BF">
      <w:pPr>
        <w:keepNext w:val="0"/>
        <w:keepLines w:val="0"/>
        <w:pageBreakBefore w:val="0"/>
        <w:kinsoku/>
        <w:wordWrap/>
        <w:overflowPunct/>
        <w:autoSpaceDE/>
        <w:autoSpaceDN/>
        <w:bidi w:val="0"/>
        <w:spacing w:line="600" w:lineRule="exact"/>
        <w:ind w:left="0" w:leftChars="0" w:right="0" w:firstLine="640" w:firstLineChars="20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泸定县卫生健康局“基本公共卫生服务”政策的实施，逐步摸清职业性尘肺病等重点职业病底数，评估职业病危害因素暴露对劳动者的健康影响，分析职业性放射性疾病的防治现状；为全县提出申请的</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65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岁及以上失能老年人提供免费上门健康服务，维持失能老年人的功能，改善失能老年人生活质量，取得良好的社会效益。</w:t>
      </w:r>
    </w:p>
    <w:p w14:paraId="3F123252">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shd w:val="clear" w:color="auto" w:fill="FFFFFF"/>
        </w:rPr>
        <w:t>综上所述，按照设定的评价指标体系，通过对</w:t>
      </w:r>
      <w:r>
        <w:rPr>
          <w:rFonts w:hint="eastAsia" w:ascii="方正仿宋简体" w:hAnsi="方正仿宋简体" w:eastAsia="方正仿宋简体" w:cs="方正仿宋简体"/>
          <w:color w:val="auto"/>
          <w:sz w:val="32"/>
          <w:szCs w:val="32"/>
          <w:highlight w:val="none"/>
          <w:shd w:val="clear" w:color="auto" w:fill="FFFFFF"/>
          <w:lang w:eastAsia="zh-CN"/>
        </w:rPr>
        <w:t>泸定县卫生健康局</w:t>
      </w:r>
      <w:r>
        <w:rPr>
          <w:rFonts w:hint="eastAsia" w:ascii="方正仿宋简体" w:hAnsi="方正仿宋简体" w:eastAsia="方正仿宋简体" w:cs="方正仿宋简体"/>
          <w:color w:val="auto"/>
          <w:sz w:val="32"/>
          <w:szCs w:val="32"/>
          <w:highlight w:val="none"/>
          <w:shd w:val="clear" w:color="auto" w:fill="FFFFFF"/>
        </w:rPr>
        <w:t>“</w:t>
      </w:r>
      <w:r>
        <w:rPr>
          <w:rFonts w:hint="eastAsia" w:ascii="方正仿宋简体" w:hAnsi="方正仿宋简体" w:eastAsia="方正仿宋简体" w:cs="方正仿宋简体"/>
          <w:color w:val="auto"/>
          <w:sz w:val="32"/>
          <w:szCs w:val="32"/>
          <w:highlight w:val="none"/>
          <w:shd w:val="clear" w:color="auto" w:fill="FFFFFF"/>
          <w:lang w:eastAsia="zh-CN"/>
        </w:rPr>
        <w:t>基本公共卫生服务</w:t>
      </w:r>
      <w:r>
        <w:rPr>
          <w:rFonts w:hint="eastAsia" w:ascii="方正仿宋简体" w:hAnsi="方正仿宋简体" w:eastAsia="方正仿宋简体" w:cs="方正仿宋简体"/>
          <w:color w:val="auto"/>
          <w:sz w:val="32"/>
          <w:szCs w:val="32"/>
          <w:highlight w:val="none"/>
          <w:shd w:val="clear" w:color="auto" w:fill="FFFFFF"/>
        </w:rPr>
        <w:t>”政策支出项目在经济性、效率性、可持续性、公平性、效益性</w:t>
      </w:r>
      <w:r>
        <w:rPr>
          <w:rFonts w:hint="eastAsia" w:ascii="方正仿宋简体" w:hAnsi="方正仿宋简体" w:eastAsia="方正仿宋简体" w:cs="方正仿宋简体"/>
          <w:color w:val="auto"/>
          <w:sz w:val="32"/>
          <w:szCs w:val="32"/>
          <w:highlight w:val="none"/>
          <w:shd w:val="clear" w:color="auto" w:fill="FFFFFF"/>
          <w:lang w:val="en-US" w:eastAsia="zh-CN"/>
        </w:rPr>
        <w:t>等</w:t>
      </w:r>
      <w:r>
        <w:rPr>
          <w:rFonts w:hint="eastAsia" w:ascii="方正仿宋简体" w:hAnsi="方正仿宋简体" w:eastAsia="方正仿宋简体" w:cs="方正仿宋简体"/>
          <w:color w:val="auto"/>
          <w:sz w:val="32"/>
          <w:szCs w:val="32"/>
          <w:highlight w:val="none"/>
          <w:shd w:val="clear" w:color="auto" w:fill="FFFFFF"/>
        </w:rPr>
        <w:t>方面进行综合评价，</w:t>
      </w:r>
      <w:r>
        <w:rPr>
          <w:rFonts w:hint="eastAsia" w:ascii="方正仿宋简体" w:hAnsi="方正仿宋简体" w:eastAsia="方正仿宋简体" w:cs="方正仿宋简体"/>
          <w:color w:val="auto"/>
          <w:sz w:val="32"/>
          <w:szCs w:val="32"/>
          <w:highlight w:val="none"/>
          <w:shd w:val="clear" w:color="auto" w:fill="FFFFFF"/>
          <w:lang w:eastAsia="zh-CN"/>
        </w:rPr>
        <w:t>泸定县卫生健康局</w:t>
      </w:r>
      <w:r>
        <w:rPr>
          <w:rFonts w:hint="eastAsia" w:ascii="方正仿宋简体" w:hAnsi="方正仿宋简体" w:eastAsia="方正仿宋简体" w:cs="方正仿宋简体"/>
          <w:color w:val="auto"/>
          <w:sz w:val="32"/>
          <w:szCs w:val="32"/>
          <w:highlight w:val="none"/>
          <w:shd w:val="clear" w:color="auto" w:fill="FFFFFF"/>
        </w:rPr>
        <w:t>“</w:t>
      </w:r>
      <w:r>
        <w:rPr>
          <w:rFonts w:hint="eastAsia" w:ascii="方正仿宋简体" w:hAnsi="方正仿宋简体" w:eastAsia="方正仿宋简体" w:cs="方正仿宋简体"/>
          <w:color w:val="auto"/>
          <w:sz w:val="32"/>
          <w:szCs w:val="32"/>
          <w:highlight w:val="none"/>
          <w:shd w:val="clear" w:color="auto" w:fill="FFFFFF"/>
          <w:lang w:eastAsia="zh-CN"/>
        </w:rPr>
        <w:t>基本公共卫生服务</w:t>
      </w:r>
      <w:r>
        <w:rPr>
          <w:rFonts w:hint="eastAsia" w:ascii="方正仿宋简体" w:hAnsi="方正仿宋简体" w:eastAsia="方正仿宋简体" w:cs="方正仿宋简体"/>
          <w:color w:val="auto"/>
          <w:sz w:val="32"/>
          <w:szCs w:val="32"/>
          <w:highlight w:val="none"/>
          <w:shd w:val="clear" w:color="auto" w:fill="FFFFFF"/>
        </w:rPr>
        <w:t>”政策绩效评价得分为</w:t>
      </w:r>
      <w:r>
        <w:rPr>
          <w:rFonts w:hint="default" w:ascii="Times New Roman" w:hAnsi="Times New Roman" w:eastAsia="方正仿宋简体" w:cs="Times New Roman"/>
          <w:color w:val="auto"/>
          <w:sz w:val="32"/>
          <w:szCs w:val="32"/>
          <w:highlight w:val="none"/>
          <w:shd w:val="clear" w:color="auto" w:fill="FFFFFF"/>
          <w:lang w:val="en-US" w:eastAsia="zh-CN"/>
        </w:rPr>
        <w:t>79</w:t>
      </w:r>
      <w:r>
        <w:rPr>
          <w:rFonts w:hint="eastAsia" w:ascii="方正仿宋简体" w:hAnsi="方正仿宋简体" w:eastAsia="方正仿宋简体" w:cs="方正仿宋简体"/>
          <w:color w:val="auto"/>
          <w:sz w:val="32"/>
          <w:szCs w:val="32"/>
          <w:highlight w:val="none"/>
          <w:shd w:val="clear" w:color="auto" w:fill="FFFFFF"/>
          <w:lang w:val="en-US" w:eastAsia="zh-CN"/>
        </w:rPr>
        <w:t>.</w:t>
      </w:r>
      <w:r>
        <w:rPr>
          <w:rFonts w:hint="default" w:ascii="Times New Roman" w:hAnsi="Times New Roman" w:eastAsia="方正仿宋简体" w:cs="Times New Roman"/>
          <w:color w:val="auto"/>
          <w:sz w:val="32"/>
          <w:szCs w:val="32"/>
          <w:highlight w:val="none"/>
          <w:shd w:val="clear" w:color="auto" w:fill="FFFFFF"/>
          <w:lang w:val="en-US" w:eastAsia="zh-CN"/>
        </w:rPr>
        <w:t>61</w:t>
      </w:r>
      <w:r>
        <w:rPr>
          <w:rFonts w:hint="eastAsia" w:ascii="方正仿宋简体" w:hAnsi="方正仿宋简体" w:eastAsia="方正仿宋简体" w:cs="方正仿宋简体"/>
          <w:color w:val="auto"/>
          <w:sz w:val="32"/>
          <w:szCs w:val="32"/>
          <w:highlight w:val="none"/>
          <w:shd w:val="clear" w:color="auto" w:fill="FFFFFF"/>
        </w:rPr>
        <w:t>分，详见下表：</w:t>
      </w:r>
    </w:p>
    <w:p w14:paraId="1F6EE7A5">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lang w:eastAsia="zh-CN"/>
        </w:rPr>
        <w:t>泸定县卫生健康局基本公共卫生服务政策</w:t>
      </w:r>
      <w:r>
        <w:rPr>
          <w:rFonts w:hint="eastAsia" w:ascii="方正仿宋简体" w:hAnsi="方正仿宋简体" w:eastAsia="方正仿宋简体" w:cs="方正仿宋简体"/>
          <w:color w:val="000000"/>
          <w:sz w:val="32"/>
          <w:szCs w:val="32"/>
          <w:highlight w:val="none"/>
          <w:shd w:val="clear" w:color="auto" w:fill="FFFFFF"/>
        </w:rPr>
        <w:t>绩效评价结果一览表</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263"/>
        <w:gridCol w:w="2205"/>
        <w:gridCol w:w="2326"/>
      </w:tblGrid>
      <w:tr w14:paraId="738F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8672358">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评价内容</w:t>
            </w:r>
          </w:p>
        </w:tc>
        <w:tc>
          <w:tcPr>
            <w:tcW w:w="1249" w:type="pct"/>
            <w:vAlign w:val="center"/>
          </w:tcPr>
          <w:p w14:paraId="63BFFF14">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17" w:type="pct"/>
            <w:vAlign w:val="center"/>
          </w:tcPr>
          <w:p w14:paraId="1DC54BE5">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评价得分</w:t>
            </w:r>
          </w:p>
        </w:tc>
        <w:tc>
          <w:tcPr>
            <w:tcW w:w="1284" w:type="pct"/>
            <w:vAlign w:val="center"/>
          </w:tcPr>
          <w:p w14:paraId="15646E33">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2942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6B217D6B">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经济性</w:t>
            </w:r>
          </w:p>
        </w:tc>
        <w:tc>
          <w:tcPr>
            <w:tcW w:w="1249" w:type="pct"/>
            <w:vAlign w:val="center"/>
          </w:tcPr>
          <w:p w14:paraId="3A2C94E3">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17" w:type="pct"/>
            <w:vAlign w:val="center"/>
          </w:tcPr>
          <w:p w14:paraId="0A635A2F">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84" w:type="pct"/>
            <w:vAlign w:val="center"/>
          </w:tcPr>
          <w:p w14:paraId="54329595">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83</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33%</w:t>
            </w:r>
          </w:p>
        </w:tc>
      </w:tr>
      <w:tr w14:paraId="7EA8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EBCC401">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效率性</w:t>
            </w:r>
          </w:p>
        </w:tc>
        <w:tc>
          <w:tcPr>
            <w:tcW w:w="1249" w:type="pct"/>
            <w:vAlign w:val="center"/>
          </w:tcPr>
          <w:p w14:paraId="463FFB31">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17" w:type="pct"/>
            <w:vAlign w:val="center"/>
          </w:tcPr>
          <w:p w14:paraId="02682203">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25</w:t>
            </w:r>
          </w:p>
        </w:tc>
        <w:tc>
          <w:tcPr>
            <w:tcW w:w="1284" w:type="pct"/>
            <w:vAlign w:val="center"/>
          </w:tcPr>
          <w:p w14:paraId="4411B3B7">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A7C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57020AF6">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可持续性</w:t>
            </w:r>
          </w:p>
        </w:tc>
        <w:tc>
          <w:tcPr>
            <w:tcW w:w="1249" w:type="pct"/>
            <w:vAlign w:val="center"/>
          </w:tcPr>
          <w:p w14:paraId="1DC8C882">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37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17" w:type="pct"/>
            <w:vAlign w:val="center"/>
          </w:tcPr>
          <w:p w14:paraId="6B0A028C">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32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25</w:t>
            </w:r>
          </w:p>
        </w:tc>
        <w:tc>
          <w:tcPr>
            <w:tcW w:w="1284" w:type="pct"/>
            <w:vAlign w:val="center"/>
          </w:tcPr>
          <w:p w14:paraId="183BCE38">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16%</w:t>
            </w:r>
          </w:p>
        </w:tc>
      </w:tr>
      <w:tr w14:paraId="2C9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03369B58">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公平性</w:t>
            </w:r>
          </w:p>
        </w:tc>
        <w:tc>
          <w:tcPr>
            <w:tcW w:w="1249" w:type="pct"/>
            <w:vAlign w:val="center"/>
          </w:tcPr>
          <w:p w14:paraId="5769B478">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17" w:type="pct"/>
            <w:vAlign w:val="center"/>
          </w:tcPr>
          <w:p w14:paraId="363B1634">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84" w:type="pct"/>
            <w:vAlign w:val="center"/>
          </w:tcPr>
          <w:p w14:paraId="4886B7E1">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1BC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2BEE940">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效益性</w:t>
            </w:r>
          </w:p>
        </w:tc>
        <w:tc>
          <w:tcPr>
            <w:tcW w:w="1249" w:type="pct"/>
            <w:vAlign w:val="center"/>
          </w:tcPr>
          <w:p w14:paraId="1223AA89">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28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17" w:type="pct"/>
            <w:vAlign w:val="center"/>
          </w:tcPr>
          <w:p w14:paraId="55FE26FE">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11</w:t>
            </w:r>
          </w:p>
        </w:tc>
        <w:tc>
          <w:tcPr>
            <w:tcW w:w="1284" w:type="pct"/>
            <w:vAlign w:val="center"/>
          </w:tcPr>
          <w:p w14:paraId="50D69702">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79%</w:t>
            </w:r>
          </w:p>
        </w:tc>
      </w:tr>
      <w:tr w14:paraId="12DF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65220033">
            <w:pPr>
              <w:keepNext w:val="0"/>
              <w:keepLines w:val="0"/>
              <w:pageBreakBefore w:val="0"/>
              <w:kinsoku/>
              <w:wordWrap/>
              <w:overflowPunct/>
              <w:autoSpaceDE/>
              <w:autoSpaceDN/>
              <w:bidi w:val="0"/>
              <w:spacing w:line="600" w:lineRule="exact"/>
              <w:ind w:left="0" w:leftChars="0" w:right="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综合得分</w:t>
            </w:r>
          </w:p>
        </w:tc>
        <w:tc>
          <w:tcPr>
            <w:tcW w:w="1249" w:type="pct"/>
            <w:vAlign w:val="center"/>
          </w:tcPr>
          <w:p w14:paraId="31F4A144">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 xml:space="preserve"> </w:t>
            </w:r>
          </w:p>
        </w:tc>
        <w:tc>
          <w:tcPr>
            <w:tcW w:w="1217" w:type="pct"/>
            <w:vAlign w:val="center"/>
          </w:tcPr>
          <w:p w14:paraId="4AB2AA2C">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61</w:t>
            </w:r>
          </w:p>
        </w:tc>
        <w:tc>
          <w:tcPr>
            <w:tcW w:w="1284" w:type="pct"/>
            <w:vAlign w:val="center"/>
          </w:tcPr>
          <w:p w14:paraId="12DDC274">
            <w:pPr>
              <w:keepNext w:val="0"/>
              <w:keepLines w:val="0"/>
              <w:pageBreakBefore w:val="0"/>
              <w:widowControl/>
              <w:suppressLineNumbers w:val="0"/>
              <w:kinsoku/>
              <w:wordWrap/>
              <w:overflowPunct/>
              <w:autoSpaceDE/>
              <w:autoSpaceDN/>
              <w:bidi w:val="0"/>
              <w:spacing w:line="600" w:lineRule="exact"/>
              <w:ind w:left="0" w:leftChars="0" w:right="0"/>
              <w:jc w:val="right"/>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61%</w:t>
            </w:r>
          </w:p>
        </w:tc>
      </w:tr>
    </w:tbl>
    <w:p w14:paraId="06B8C626">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42" w:name="_Toc24340"/>
      <w:bookmarkStart w:id="43" w:name="_Toc23319"/>
      <w:bookmarkStart w:id="44" w:name="_Toc13308"/>
      <w:r>
        <w:rPr>
          <w:rFonts w:hint="eastAsia" w:ascii="方正黑体简体" w:hAnsi="方正黑体简体" w:eastAsia="方正黑体简体" w:cs="方正黑体简体"/>
          <w:color w:val="auto"/>
          <w:kern w:val="0"/>
          <w:sz w:val="32"/>
          <w:szCs w:val="32"/>
          <w:highlight w:val="none"/>
          <w:shd w:val="clear" w:color="auto" w:fill="FFFFFF"/>
        </w:rPr>
        <w:t>四、</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绩效结果应用</w:t>
      </w:r>
      <w:bookmarkEnd w:id="42"/>
    </w:p>
    <w:p w14:paraId="53C67A10">
      <w:pPr>
        <w:keepNext w:val="0"/>
        <w:keepLines w:val="0"/>
        <w:pageBreakBefore w:val="0"/>
        <w:kinsoku/>
        <w:wordWrap/>
        <w:overflowPunct/>
        <w:autoSpaceDE/>
        <w:autoSpaceDN/>
        <w:bidi w:val="0"/>
        <w:spacing w:line="600" w:lineRule="exact"/>
        <w:ind w:left="0" w:leftChars="0" w:right="0" w:firstLine="640" w:firstLineChars="200"/>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县卫健局根据《关于转发省卫生健康委、省财政厅、省中医药管理局〈关于做好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年四川省基本公共卫生服务工作的通知〉的通知》（甘卫函〔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282</w:t>
      </w:r>
      <w:r>
        <w:rPr>
          <w:rFonts w:hint="eastAsia" w:ascii="方正仿宋简体" w:hAnsi="方正仿宋简体" w:eastAsia="方正仿宋简体" w:cs="方正仿宋简体"/>
          <w:sz w:val="32"/>
          <w:szCs w:val="32"/>
          <w:highlight w:val="none"/>
        </w:rPr>
        <w:t>号）、《四川省基本公共卫生服务补助资金管理办法》</w:t>
      </w:r>
      <w:r>
        <w:rPr>
          <w:rFonts w:hint="eastAsia" w:ascii="方正仿宋简体" w:hAnsi="方正仿宋简体" w:eastAsia="方正仿宋简体" w:cs="方正仿宋简体"/>
          <w:sz w:val="32"/>
          <w:szCs w:val="32"/>
          <w:highlight w:val="none"/>
          <w:lang w:val="en-US" w:eastAsia="zh-CN"/>
        </w:rPr>
        <w:t>文件精神</w:t>
      </w:r>
      <w:r>
        <w:rPr>
          <w:rFonts w:hint="eastAsia" w:ascii="方正仿宋简体" w:hAnsi="方正仿宋简体" w:eastAsia="方正仿宋简体" w:cs="方正仿宋简体"/>
          <w:sz w:val="32"/>
          <w:szCs w:val="32"/>
          <w:highlight w:val="none"/>
        </w:rPr>
        <w:t>，具体实施“</w:t>
      </w:r>
      <w:r>
        <w:rPr>
          <w:rFonts w:hint="eastAsia" w:ascii="方正仿宋简体" w:hAnsi="方正仿宋简体" w:eastAsia="方正仿宋简体" w:cs="方正仿宋简体"/>
          <w:sz w:val="32"/>
          <w:szCs w:val="32"/>
          <w:highlight w:val="none"/>
          <w:lang w:eastAsia="zh-CN"/>
        </w:rPr>
        <w:t>基本公共卫生服务</w:t>
      </w:r>
      <w:r>
        <w:rPr>
          <w:rFonts w:hint="eastAsia" w:ascii="方正仿宋简体" w:hAnsi="方正仿宋简体" w:eastAsia="方正仿宋简体" w:cs="方正仿宋简体"/>
          <w:sz w:val="32"/>
          <w:szCs w:val="32"/>
          <w:highlight w:val="none"/>
        </w:rPr>
        <w:t>”政策，</w:t>
      </w:r>
      <w:r>
        <w:rPr>
          <w:rFonts w:hint="eastAsia" w:ascii="方正仿宋简体" w:hAnsi="方正仿宋简体" w:eastAsia="方正仿宋简体" w:cs="方正仿宋简体"/>
          <w:sz w:val="32"/>
          <w:szCs w:val="32"/>
          <w:highlight w:val="none"/>
          <w:lang w:val="en-US" w:eastAsia="zh-CN"/>
        </w:rPr>
        <w:t>落实职业病防治、关注老年人健康与医养结合等</w:t>
      </w:r>
      <w:r>
        <w:rPr>
          <w:rFonts w:hint="eastAsia" w:ascii="方正仿宋简体" w:hAnsi="方正仿宋简体" w:eastAsia="方正仿宋简体" w:cs="方正仿宋简体"/>
          <w:sz w:val="32"/>
          <w:szCs w:val="32"/>
          <w:highlight w:val="none"/>
        </w:rPr>
        <w:t>。为全县推进</w:t>
      </w:r>
      <w:r>
        <w:rPr>
          <w:rFonts w:hint="eastAsia" w:ascii="方正仿宋简体" w:hAnsi="方正仿宋简体" w:eastAsia="方正仿宋简体" w:cs="方正仿宋简体"/>
          <w:sz w:val="32"/>
          <w:szCs w:val="32"/>
          <w:highlight w:val="none"/>
          <w:lang w:val="en-US" w:eastAsia="zh-CN"/>
        </w:rPr>
        <w:t>基本公共卫生服务提供保障，取得了比较不错的社会效益</w:t>
      </w:r>
      <w:r>
        <w:rPr>
          <w:rFonts w:hint="eastAsia" w:ascii="方正仿宋简体" w:hAnsi="方正仿宋简体" w:eastAsia="方正仿宋简体" w:cs="方正仿宋简体"/>
          <w:sz w:val="32"/>
          <w:szCs w:val="32"/>
          <w:highlight w:val="none"/>
        </w:rPr>
        <w:t>，绩效等级“</w:t>
      </w:r>
      <w:r>
        <w:rPr>
          <w:rFonts w:hint="eastAsia" w:ascii="方正仿宋简体" w:hAnsi="方正仿宋简体" w:eastAsia="方正仿宋简体" w:cs="方正仿宋简体"/>
          <w:sz w:val="32"/>
          <w:szCs w:val="32"/>
          <w:highlight w:val="none"/>
          <w:lang w:val="en-US" w:eastAsia="zh-CN"/>
        </w:rPr>
        <w:t>中</w:t>
      </w:r>
      <w:r>
        <w:rPr>
          <w:rFonts w:hint="eastAsia" w:ascii="方正仿宋简体" w:hAnsi="方正仿宋简体" w:eastAsia="方正仿宋简体" w:cs="方正仿宋简体"/>
          <w:sz w:val="32"/>
          <w:szCs w:val="32"/>
          <w:highlight w:val="none"/>
        </w:rPr>
        <w:t>”，秉承科学公正、统筹兼顾、激励约束和公开透明财政绩效原则。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政策支出绩效管理，进一步要求县卫健局强化政策支出绩效目标管理，加强档案管理，提高预算资金执行效率，完善政策执行管理、监管制度，强化历年政策执行成果运用，加大政策宣传力度</w:t>
      </w:r>
      <w:r>
        <w:rPr>
          <w:rFonts w:hint="eastAsia" w:ascii="方正仿宋简体" w:hAnsi="方正仿宋简体" w:eastAsia="方正仿宋简体" w:cs="方正仿宋简体"/>
          <w:sz w:val="32"/>
          <w:szCs w:val="32"/>
          <w:highlight w:val="none"/>
          <w:lang w:eastAsia="zh-CN"/>
        </w:rPr>
        <w:t>。</w:t>
      </w:r>
    </w:p>
    <w:p w14:paraId="63415E31">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rPr>
      </w:pPr>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auto"/>
          <w:kern w:val="0"/>
          <w:sz w:val="32"/>
          <w:szCs w:val="32"/>
          <w:highlight w:val="none"/>
          <w:shd w:val="clear" w:color="auto" w:fill="FFFFFF"/>
        </w:rPr>
        <w:t>、绩效评价指标分析</w:t>
      </w:r>
      <w:bookmarkEnd w:id="43"/>
      <w:bookmarkEnd w:id="44"/>
    </w:p>
    <w:p w14:paraId="7FF215AE">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rPr>
      </w:pPr>
      <w:bookmarkStart w:id="45" w:name="_Toc26098"/>
      <w:bookmarkStart w:id="46" w:name="_Toc16399"/>
      <w:r>
        <w:rPr>
          <w:rFonts w:hint="eastAsia" w:ascii="方正楷体简体" w:hAnsi="方正楷体简体" w:eastAsia="方正楷体简体" w:cs="方正楷体简体"/>
          <w:sz w:val="32"/>
          <w:szCs w:val="32"/>
          <w:highlight w:val="none"/>
        </w:rPr>
        <w:t>（一）</w:t>
      </w:r>
      <w:bookmarkEnd w:id="3"/>
      <w:bookmarkEnd w:id="45"/>
      <w:r>
        <w:rPr>
          <w:rFonts w:hint="eastAsia" w:ascii="方正楷体简体" w:hAnsi="方正楷体简体" w:eastAsia="方正楷体简体" w:cs="方正楷体简体"/>
          <w:sz w:val="32"/>
          <w:szCs w:val="32"/>
          <w:highlight w:val="none"/>
        </w:rPr>
        <w:t>科学性</w:t>
      </w:r>
      <w:bookmarkEnd w:id="46"/>
    </w:p>
    <w:p w14:paraId="00F5005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sz w:val="32"/>
          <w:szCs w:val="32"/>
          <w:highlight w:val="none"/>
          <w:lang w:val="en-US" w:eastAsia="zh-CN"/>
        </w:rPr>
        <w:t>科学性</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四</w:t>
      </w:r>
      <w:r>
        <w:rPr>
          <w:rFonts w:hint="eastAsia" w:ascii="方正仿宋简体" w:hAnsi="方正仿宋简体" w:eastAsia="方正仿宋简体" w:cs="方正仿宋简体"/>
          <w:sz w:val="32"/>
          <w:szCs w:val="32"/>
          <w:highlight w:val="none"/>
        </w:rPr>
        <w:t>个三级指标：</w:t>
      </w:r>
      <w:r>
        <w:rPr>
          <w:rFonts w:hint="eastAsia" w:ascii="方正仿宋简体" w:hAnsi="方正仿宋简体" w:eastAsia="方正仿宋简体" w:cs="方正仿宋简体"/>
          <w:sz w:val="32"/>
          <w:szCs w:val="32"/>
          <w:highlight w:val="none"/>
          <w:lang w:val="en-US" w:eastAsia="zh-CN"/>
        </w:rPr>
        <w:t>政策目标适应性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政策内容完整性、</w:t>
      </w:r>
      <w:r>
        <w:rPr>
          <w:rFonts w:hint="eastAsia" w:ascii="方正仿宋简体" w:hAnsi="方正仿宋简体" w:eastAsia="方正仿宋简体" w:cs="方正仿宋简体"/>
          <w:kern w:val="2"/>
          <w:sz w:val="32"/>
          <w:szCs w:val="32"/>
          <w:highlight w:val="none"/>
          <w:lang w:val="en-US" w:eastAsia="zh-CN" w:bidi="ar-SA"/>
        </w:rPr>
        <w:t>政策内容协调性、政策实施覆盖率</w:t>
      </w:r>
      <w:r>
        <w:rPr>
          <w:rFonts w:hint="eastAsia" w:ascii="方正仿宋简体" w:hAnsi="方正仿宋简体" w:eastAsia="方正仿宋简体" w:cs="方正仿宋简体"/>
          <w:sz w:val="32"/>
          <w:szCs w:val="32"/>
          <w:highlight w:val="none"/>
        </w:rPr>
        <w:t>。</w:t>
      </w:r>
    </w:p>
    <w:p w14:paraId="62544CEF">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.政策目标适应性</w:t>
      </w:r>
    </w:p>
    <w:p w14:paraId="655A5992">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根据县卫健局提供泸定县疾病预防控制中心职业病防治、泸定县冷碛镇中心卫生院老年健康与医养结合服务绩效目标申报表，绩效目标设置符合《关于转发省卫生健康委、省财政厅、省中医药管理局</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关于做好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年四川省基本公共卫生服务工作的通知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的通知》（甘卫函〔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282</w:t>
      </w:r>
      <w:r>
        <w:rPr>
          <w:rFonts w:hint="eastAsia" w:ascii="方正仿宋简体" w:hAnsi="方正仿宋简体" w:eastAsia="方正仿宋简体" w:cs="方正仿宋简体"/>
          <w:sz w:val="32"/>
          <w:szCs w:val="32"/>
          <w:highlight w:val="none"/>
        </w:rPr>
        <w:t>号）政策的要求，与四川省基本公共卫生服务规划相一致；政策目标与县卫健局的职能职责、部门规划密切相关。</w:t>
      </w:r>
      <w:r>
        <w:rPr>
          <w:rFonts w:hint="eastAsia" w:ascii="方正仿宋简体" w:hAnsi="方正仿宋简体" w:eastAsia="方正仿宋简体" w:cs="方正仿宋简体"/>
          <w:sz w:val="32"/>
          <w:szCs w:val="32"/>
          <w:highlight w:val="none"/>
          <w:lang w:val="fr-FR" w:eastAsia="zh-CN"/>
        </w:rPr>
        <w:t>绩效目标设定较科学合理、可衡量，符合实际需求，但也存在个别指标设置不合理的情况。</w:t>
      </w:r>
      <w:r>
        <w:rPr>
          <w:rFonts w:hint="eastAsia" w:ascii="方正仿宋简体" w:hAnsi="方正仿宋简体" w:eastAsia="方正仿宋简体" w:cs="方正仿宋简体"/>
          <w:sz w:val="32"/>
          <w:szCs w:val="32"/>
          <w:highlight w:val="none"/>
          <w:lang w:val="en-US" w:eastAsia="zh-CN"/>
        </w:rPr>
        <w:t>具体表现为：三级指标与二级指标不匹配，</w:t>
      </w:r>
      <w:r>
        <w:rPr>
          <w:rFonts w:hint="eastAsia" w:ascii="方正仿宋简体" w:hAnsi="方正仿宋简体" w:eastAsia="方正仿宋简体" w:cs="方正仿宋简体"/>
          <w:sz w:val="32"/>
          <w:szCs w:val="32"/>
          <w:highlight w:val="none"/>
        </w:rPr>
        <w:t>社会效益指标</w:t>
      </w:r>
      <w:r>
        <w:rPr>
          <w:rFonts w:hint="eastAsia" w:ascii="方正仿宋简体" w:hAnsi="方正仿宋简体" w:eastAsia="方正仿宋简体" w:cs="方正仿宋简体"/>
          <w:sz w:val="32"/>
          <w:szCs w:val="32"/>
          <w:highlight w:val="none"/>
          <w:lang w:val="en-US" w:eastAsia="zh-CN"/>
        </w:rPr>
        <w:t>三级指标</w:t>
      </w:r>
      <w:r>
        <w:rPr>
          <w:rFonts w:hint="eastAsia" w:ascii="方正仿宋简体" w:hAnsi="方正仿宋简体" w:eastAsia="方正仿宋简体" w:cs="方正仿宋简体"/>
          <w:sz w:val="32"/>
          <w:szCs w:val="32"/>
          <w:highlight w:val="none"/>
        </w:rPr>
        <w:t>“绩效自评时间</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eastAsia" w:ascii="方正仿宋简体" w:hAnsi="方正仿宋简体" w:eastAsia="方正仿宋简体" w:cs="方正仿宋简体"/>
          <w:sz w:val="32"/>
          <w:szCs w:val="32"/>
          <w:highlight w:val="none"/>
          <w:lang w:val="en-US" w:eastAsia="zh-CN"/>
        </w:rPr>
        <w:t>该指标与</w:t>
      </w:r>
      <w:r>
        <w:rPr>
          <w:rFonts w:hint="eastAsia" w:ascii="方正仿宋简体" w:hAnsi="方正仿宋简体" w:eastAsia="方正仿宋简体" w:cs="方正仿宋简体"/>
          <w:sz w:val="32"/>
          <w:szCs w:val="32"/>
          <w:highlight w:val="none"/>
        </w:rPr>
        <w:t>社会效益指标</w:t>
      </w:r>
      <w:r>
        <w:rPr>
          <w:rFonts w:hint="eastAsia" w:ascii="方正仿宋简体" w:hAnsi="方正仿宋简体" w:eastAsia="方正仿宋简体" w:cs="方正仿宋简体"/>
          <w:sz w:val="32"/>
          <w:szCs w:val="32"/>
          <w:highlight w:val="none"/>
          <w:lang w:val="en-US" w:eastAsia="zh-CN"/>
        </w:rPr>
        <w:t>不匹配，应为时效指标</w:t>
      </w:r>
      <w:r>
        <w:rPr>
          <w:rFonts w:hint="eastAsia" w:ascii="方正仿宋简体" w:hAnsi="方正仿宋简体" w:eastAsia="方正仿宋简体" w:cs="方正仿宋简体"/>
          <w:sz w:val="32"/>
          <w:szCs w:val="32"/>
          <w:highlight w:val="none"/>
        </w:rPr>
        <w:t>。</w:t>
      </w:r>
    </w:p>
    <w:p w14:paraId="3C088F9B">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p>
    <w:p w14:paraId="6BB924B4">
      <w:pPr>
        <w:keepNext w:val="0"/>
        <w:keepLines w:val="0"/>
        <w:pageBreakBefore w:val="0"/>
        <w:numPr>
          <w:ilvl w:val="0"/>
          <w:numId w:val="0"/>
        </w:numPr>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kern w:val="2"/>
          <w:sz w:val="32"/>
          <w:szCs w:val="32"/>
          <w:highlight w:val="none"/>
          <w:lang w:val="en-US" w:eastAsia="zh-CN" w:bidi="ar-SA"/>
        </w:rPr>
        <w:t>2</w:t>
      </w:r>
      <w:r>
        <w:rPr>
          <w:rFonts w:hint="eastAsia" w:ascii="方正仿宋简体" w:hAnsi="方正仿宋简体" w:eastAsia="方正仿宋简体" w:cs="方正仿宋简体"/>
          <w:kern w:val="2"/>
          <w:sz w:val="32"/>
          <w:szCs w:val="32"/>
          <w:highlight w:val="none"/>
          <w:lang w:val="en-US" w:eastAsia="zh-CN" w:bidi="ar-SA"/>
        </w:rPr>
        <w:t>.</w:t>
      </w:r>
      <w:r>
        <w:rPr>
          <w:rFonts w:hint="eastAsia" w:ascii="方正仿宋简体" w:hAnsi="方正仿宋简体" w:eastAsia="方正仿宋简体" w:cs="方正仿宋简体"/>
          <w:sz w:val="32"/>
          <w:szCs w:val="32"/>
          <w:highlight w:val="none"/>
          <w:lang w:val="en-US" w:eastAsia="zh-CN"/>
        </w:rPr>
        <w:t>政策内容完整性</w:t>
      </w:r>
    </w:p>
    <w:p w14:paraId="314B97B3">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根据《关于转发省卫生健康委、省财政厅、省中医药管理局〈关于做好</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年四川省基本公共卫生服务工作的通知〉的通知》（甘卫函〔</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282</w:t>
      </w:r>
      <w:r>
        <w:rPr>
          <w:rFonts w:hint="eastAsia" w:ascii="方正仿宋简体" w:hAnsi="方正仿宋简体" w:eastAsia="方正仿宋简体" w:cs="方正仿宋简体"/>
          <w:sz w:val="32"/>
          <w:szCs w:val="32"/>
          <w:highlight w:val="none"/>
          <w:lang w:val="en-US" w:eastAsia="zh-CN"/>
        </w:rPr>
        <w:t>号）文件，“</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年人均基本公共卫生服务项目经费补助标准为</w:t>
      </w:r>
      <w:r>
        <w:rPr>
          <w:rFonts w:hint="default" w:ascii="Times New Roman" w:hAnsi="Times New Roman" w:eastAsia="方正仿宋简体" w:cs="Times New Roman"/>
          <w:sz w:val="32"/>
          <w:szCs w:val="32"/>
          <w:highlight w:val="none"/>
          <w:lang w:val="en-US" w:eastAsia="zh-CN"/>
        </w:rPr>
        <w:t>94</w:t>
      </w:r>
      <w:r>
        <w:rPr>
          <w:rFonts w:hint="eastAsia" w:ascii="方正仿宋简体" w:hAnsi="方正仿宋简体" w:eastAsia="方正仿宋简体" w:cs="方正仿宋简体"/>
          <w:sz w:val="32"/>
          <w:szCs w:val="32"/>
          <w:highlight w:val="none"/>
          <w:lang w:val="en-US" w:eastAsia="zh-CN"/>
        </w:rPr>
        <w:t>元（含民族地区卫生十年行动计划人均</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元），其中</w:t>
      </w:r>
      <w:r>
        <w:rPr>
          <w:rFonts w:hint="default" w:ascii="Times New Roman" w:hAnsi="Times New Roman" w:eastAsia="方正仿宋简体" w:cs="Times New Roman"/>
          <w:sz w:val="32"/>
          <w:szCs w:val="32"/>
          <w:highlight w:val="none"/>
          <w:lang w:val="en-US" w:eastAsia="zh-CN"/>
        </w:rPr>
        <w:t>85</w:t>
      </w:r>
      <w:r>
        <w:rPr>
          <w:rFonts w:hint="eastAsia" w:ascii="方正仿宋简体" w:hAnsi="方正仿宋简体" w:eastAsia="方正仿宋简体" w:cs="方正仿宋简体"/>
          <w:sz w:val="32"/>
          <w:szCs w:val="32"/>
          <w:highlight w:val="none"/>
          <w:lang w:val="en-US" w:eastAsia="zh-CN"/>
        </w:rPr>
        <w:t>元用于主要由社区卫生服务中心、乡镇卫生院和村卫生室等基层医疗卫生机构提供服务的基本公共卫生服务项目，剩余</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元用于开展地方病防治、职业病防治、重大疾病及危害因素监测、疾病预防控制、妇幼健康服务等</w:t>
      </w:r>
      <w:r>
        <w:rPr>
          <w:rFonts w:hint="default" w:ascii="Times New Roman" w:hAnsi="Times New Roman" w:eastAsia="方正仿宋简体" w:cs="Times New Roman"/>
          <w:sz w:val="32"/>
          <w:szCs w:val="32"/>
          <w:highlight w:val="none"/>
          <w:lang w:val="en-US" w:eastAsia="zh-CN"/>
        </w:rPr>
        <w:t>19</w:t>
      </w:r>
      <w:r>
        <w:rPr>
          <w:rFonts w:hint="eastAsia" w:ascii="方正仿宋简体" w:hAnsi="方正仿宋简体" w:eastAsia="方正仿宋简体" w:cs="方正仿宋简体"/>
          <w:sz w:val="32"/>
          <w:szCs w:val="32"/>
          <w:highlight w:val="none"/>
          <w:lang w:val="en-US" w:eastAsia="zh-CN"/>
        </w:rPr>
        <w:t>项其他基本公共卫生服务项目。</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年新增</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元经费重点支持地方强化老年人、儿童的基本公共卫生服务。”，结合资金下达文件，分配具体实施内容及部分内容明确了具体的任务量及标准，政策内容明确，</w:t>
      </w:r>
      <w:r>
        <w:rPr>
          <w:rFonts w:hint="eastAsia" w:ascii="方正仿宋简体" w:hAnsi="方正仿宋简体" w:eastAsia="方正仿宋简体" w:cs="方正仿宋简体"/>
          <w:sz w:val="32"/>
          <w:szCs w:val="32"/>
          <w:highlight w:val="none"/>
          <w:lang w:val="en-US" w:eastAsia="zh"/>
        </w:rPr>
        <w:t>有明确的支持对象、范围以及支持标准</w:t>
      </w:r>
      <w:r>
        <w:rPr>
          <w:rFonts w:hint="eastAsia" w:ascii="方正仿宋简体" w:hAnsi="方正仿宋简体" w:eastAsia="方正仿宋简体" w:cs="方正仿宋简体"/>
          <w:sz w:val="32"/>
          <w:szCs w:val="32"/>
          <w:highlight w:val="none"/>
          <w:lang w:val="en-US" w:eastAsia="zh-CN"/>
        </w:rPr>
        <w:t>。</w:t>
      </w:r>
    </w:p>
    <w:p w14:paraId="2380D431">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CN"/>
        </w:rPr>
        <w:t>县卫健局根据《四川省基本公共卫生服务补助资金管理办法》执行该项政策，管理办法明确了资金使用范围</w:t>
      </w:r>
      <w:r>
        <w:rPr>
          <w:rFonts w:hint="eastAsia" w:ascii="方正仿宋简体" w:hAnsi="方正仿宋简体" w:eastAsia="方正仿宋简体" w:cs="方正仿宋简体"/>
          <w:color w:val="auto"/>
          <w:sz w:val="32"/>
          <w:szCs w:val="32"/>
          <w:highlight w:val="none"/>
          <w:lang w:val="en-US" w:eastAsia="zh"/>
        </w:rPr>
        <w:t>，</w:t>
      </w:r>
      <w:r>
        <w:rPr>
          <w:rFonts w:hint="eastAsia" w:ascii="方正仿宋简体" w:hAnsi="方正仿宋简体" w:eastAsia="方正仿宋简体" w:cs="方正仿宋简体"/>
          <w:color w:val="auto"/>
          <w:sz w:val="32"/>
          <w:szCs w:val="32"/>
          <w:highlight w:val="none"/>
          <w:lang w:val="en-US" w:eastAsia="zh-CN"/>
        </w:rPr>
        <w:t>但是未根据“各级财政部门、卫生健康部门以及转移支付具体使用单位，要按照财政预算和国库管理有关规定，制定资金管理办法，加强补助资金管理，规范预算执行管理。”的要求制定适用的制度，如</w:t>
      </w:r>
      <w:r>
        <w:rPr>
          <w:rFonts w:hint="eastAsia" w:ascii="方正仿宋简体" w:hAnsi="方正仿宋简体" w:eastAsia="方正仿宋简体" w:cs="方正仿宋简体"/>
          <w:color w:val="auto"/>
          <w:sz w:val="32"/>
          <w:szCs w:val="32"/>
          <w:highlight w:val="none"/>
          <w:lang w:val="en-US" w:eastAsia="zh"/>
        </w:rPr>
        <w:t>责任主体，职责分工</w:t>
      </w:r>
      <w:r>
        <w:rPr>
          <w:rFonts w:hint="eastAsia" w:ascii="方正仿宋简体" w:hAnsi="方正仿宋简体" w:eastAsia="方正仿宋简体" w:cs="方正仿宋简体"/>
          <w:color w:val="auto"/>
          <w:sz w:val="32"/>
          <w:szCs w:val="32"/>
          <w:highlight w:val="none"/>
          <w:lang w:val="en-US" w:eastAsia="zh-CN"/>
        </w:rPr>
        <w:t>、资金如何使用等</w:t>
      </w:r>
      <w:r>
        <w:rPr>
          <w:rFonts w:hint="eastAsia" w:ascii="方正仿宋简体" w:hAnsi="方正仿宋简体" w:eastAsia="方正仿宋简体" w:cs="方正仿宋简体"/>
          <w:color w:val="auto"/>
          <w:sz w:val="32"/>
          <w:szCs w:val="32"/>
          <w:highlight w:val="none"/>
          <w:lang w:val="en-US" w:eastAsia="zh"/>
        </w:rPr>
        <w:t xml:space="preserve">。 </w:t>
      </w:r>
    </w:p>
    <w:p w14:paraId="2D2A9AB6">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p>
    <w:p w14:paraId="5EB27F3A">
      <w:pPr>
        <w:keepNext w:val="0"/>
        <w:keepLines w:val="0"/>
        <w:pageBreakBefore w:val="0"/>
        <w:numPr>
          <w:ilvl w:val="0"/>
          <w:numId w:val="0"/>
        </w:numPr>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kern w:val="2"/>
          <w:sz w:val="32"/>
          <w:szCs w:val="32"/>
          <w:highlight w:val="none"/>
          <w:lang w:val="en-US" w:eastAsia="zh-CN" w:bidi="ar-SA"/>
        </w:rPr>
      </w:pPr>
      <w:r>
        <w:rPr>
          <w:rFonts w:hint="default" w:ascii="Times New Roman" w:hAnsi="Times New Roman" w:eastAsia="方正仿宋简体" w:cs="Times New Roman"/>
          <w:kern w:val="2"/>
          <w:sz w:val="32"/>
          <w:szCs w:val="32"/>
          <w:highlight w:val="none"/>
          <w:lang w:val="en-US" w:eastAsia="zh-CN" w:bidi="ar-SA"/>
        </w:rPr>
        <w:t>3</w:t>
      </w:r>
      <w:r>
        <w:rPr>
          <w:rFonts w:hint="eastAsia" w:ascii="方正仿宋简体" w:hAnsi="方正仿宋简体" w:eastAsia="方正仿宋简体" w:cs="方正仿宋简体"/>
          <w:kern w:val="2"/>
          <w:sz w:val="32"/>
          <w:szCs w:val="32"/>
          <w:highlight w:val="none"/>
          <w:lang w:val="en-US" w:eastAsia="zh-CN" w:bidi="ar-SA"/>
        </w:rPr>
        <w:t>.政策内容协调性</w:t>
      </w:r>
    </w:p>
    <w:p w14:paraId="0AD52AC4">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县卫健局提供的政策资金文件以及政策实施资料，该项政策实施内容主要为：公共卫生特别服务岗招募、按人口因素和免费孕前优生、地方病防治等，政策内容不存在明显的缺陷、缺失，各项工作重点协调配合且与其他政策设计在地区与资金支持方向上统筹协调、互为补充，无交叉重复的情况。</w:t>
      </w:r>
    </w:p>
    <w:p w14:paraId="234B4CAC">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66F1854B">
      <w:pPr>
        <w:keepNext w:val="0"/>
        <w:keepLines w:val="0"/>
        <w:pageBreakBefore w:val="0"/>
        <w:numPr>
          <w:ilvl w:val="0"/>
          <w:numId w:val="0"/>
        </w:numPr>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kern w:val="2"/>
          <w:sz w:val="32"/>
          <w:szCs w:val="32"/>
          <w:highlight w:val="none"/>
          <w:lang w:val="en-US" w:eastAsia="zh-CN" w:bidi="ar-SA"/>
        </w:rPr>
      </w:pPr>
      <w:r>
        <w:rPr>
          <w:rFonts w:hint="default" w:ascii="Times New Roman" w:hAnsi="Times New Roman" w:eastAsia="方正仿宋简体" w:cs="Times New Roman"/>
          <w:kern w:val="2"/>
          <w:sz w:val="32"/>
          <w:szCs w:val="32"/>
          <w:highlight w:val="none"/>
          <w:lang w:val="en-US" w:eastAsia="zh-CN" w:bidi="ar-SA"/>
        </w:rPr>
        <w:t>4</w:t>
      </w:r>
      <w:r>
        <w:rPr>
          <w:rFonts w:hint="eastAsia" w:ascii="方正仿宋简体" w:hAnsi="方正仿宋简体" w:eastAsia="方正仿宋简体" w:cs="方正仿宋简体"/>
          <w:kern w:val="2"/>
          <w:sz w:val="32"/>
          <w:szCs w:val="32"/>
          <w:highlight w:val="none"/>
          <w:lang w:val="en-US" w:eastAsia="zh-CN" w:bidi="ar-SA"/>
        </w:rPr>
        <w:t>.政策实施覆盖率</w:t>
      </w:r>
    </w:p>
    <w:p w14:paraId="033ACC1E">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根据《关于转发省卫生健康委、省财政厅、省中医药管理局〈关于做好</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年四川省基本公共卫生服务工作的通知〉的通知》（甘卫函〔</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282</w:t>
      </w:r>
      <w:r>
        <w:rPr>
          <w:rFonts w:hint="eastAsia" w:ascii="方正仿宋简体" w:hAnsi="方正仿宋简体" w:eastAsia="方正仿宋简体" w:cs="方正仿宋简体"/>
          <w:sz w:val="32"/>
          <w:szCs w:val="32"/>
          <w:highlight w:val="none"/>
          <w:lang w:val="en-US" w:eastAsia="zh-CN"/>
        </w:rPr>
        <w:t>号）政策文件，该项政策资金使用范围为社区卫生服务中心、乡镇卫生院和村卫生室等基层医疗卫生机构。政策实施范围覆盖泸定县各乡镇基层卫生院，涉及全县各类型卫生人群，无缺漏区域。</w:t>
      </w:r>
    </w:p>
    <w:p w14:paraId="6A606F04">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4452C0A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bookmarkStart w:id="47" w:name="_Toc1369"/>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 xml:space="preserve">分，得分为 </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bookmarkEnd w:id="47"/>
    </w:p>
    <w:p w14:paraId="43DDB2E3">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rPr>
      </w:pPr>
      <w:bookmarkStart w:id="48" w:name="_Toc26992"/>
      <w:r>
        <w:rPr>
          <w:rFonts w:hint="eastAsia" w:ascii="方正楷体简体" w:hAnsi="方正楷体简体" w:eastAsia="方正楷体简体" w:cs="方正楷体简体"/>
          <w:sz w:val="32"/>
          <w:szCs w:val="32"/>
          <w:highlight w:val="none"/>
        </w:rPr>
        <w:t>（二）合理性</w:t>
      </w:r>
      <w:bookmarkEnd w:id="48"/>
    </w:p>
    <w:p w14:paraId="73AF7944">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二级指标“合理性”下设两个三级指标：补助标准明确性、补助标准合理性。</w:t>
      </w:r>
    </w:p>
    <w:p w14:paraId="19B53AB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补助标准明确性</w:t>
      </w:r>
    </w:p>
    <w:p w14:paraId="6B481F13">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根据《关于转发省卫生健康委、省财政厅、省中医药管理局〈关于做好</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年四川省基本公共卫生服务工作的通知〉的通知》（甘卫函〔</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282</w:t>
      </w:r>
      <w:r>
        <w:rPr>
          <w:rFonts w:hint="eastAsia" w:ascii="方正仿宋简体" w:hAnsi="方正仿宋简体" w:eastAsia="方正仿宋简体" w:cs="方正仿宋简体"/>
          <w:sz w:val="32"/>
          <w:szCs w:val="32"/>
          <w:highlight w:val="none"/>
          <w:lang w:eastAsia="zh-CN"/>
        </w:rPr>
        <w:t>号）文件，“</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年人均基本公共卫生服务项目经费补助标准为</w:t>
      </w:r>
      <w:r>
        <w:rPr>
          <w:rFonts w:hint="default" w:ascii="Times New Roman" w:hAnsi="Times New Roman" w:eastAsia="方正仿宋简体" w:cs="Times New Roman"/>
          <w:sz w:val="32"/>
          <w:szCs w:val="32"/>
          <w:highlight w:val="none"/>
          <w:lang w:eastAsia="zh-CN"/>
        </w:rPr>
        <w:t>94</w:t>
      </w:r>
      <w:r>
        <w:rPr>
          <w:rFonts w:hint="eastAsia" w:ascii="方正仿宋简体" w:hAnsi="方正仿宋简体" w:eastAsia="方正仿宋简体" w:cs="方正仿宋简体"/>
          <w:sz w:val="32"/>
          <w:szCs w:val="32"/>
          <w:highlight w:val="none"/>
          <w:lang w:eastAsia="zh-CN"/>
        </w:rPr>
        <w:t>元（含民族地区卫生十年行动计划人均</w:t>
      </w:r>
      <w:r>
        <w:rPr>
          <w:rFonts w:hint="default" w:ascii="Times New Roman" w:hAnsi="Times New Roman" w:eastAsia="方正仿宋简体" w:cs="Times New Roman"/>
          <w:sz w:val="32"/>
          <w:szCs w:val="32"/>
          <w:highlight w:val="none"/>
          <w:lang w:eastAsia="zh-CN"/>
        </w:rPr>
        <w:t>5</w:t>
      </w:r>
      <w:r>
        <w:rPr>
          <w:rFonts w:hint="eastAsia" w:ascii="方正仿宋简体" w:hAnsi="方正仿宋简体" w:eastAsia="方正仿宋简体" w:cs="方正仿宋简体"/>
          <w:sz w:val="32"/>
          <w:szCs w:val="32"/>
          <w:highlight w:val="none"/>
          <w:lang w:eastAsia="zh-CN"/>
        </w:rPr>
        <w:t>元），其中</w:t>
      </w:r>
      <w:r>
        <w:rPr>
          <w:rFonts w:hint="default" w:ascii="Times New Roman" w:hAnsi="Times New Roman" w:eastAsia="方正仿宋简体" w:cs="Times New Roman"/>
          <w:sz w:val="32"/>
          <w:szCs w:val="32"/>
          <w:highlight w:val="none"/>
          <w:lang w:eastAsia="zh-CN"/>
        </w:rPr>
        <w:t>85</w:t>
      </w:r>
      <w:r>
        <w:rPr>
          <w:rFonts w:hint="eastAsia" w:ascii="方正仿宋简体" w:hAnsi="方正仿宋简体" w:eastAsia="方正仿宋简体" w:cs="方正仿宋简体"/>
          <w:sz w:val="32"/>
          <w:szCs w:val="32"/>
          <w:highlight w:val="none"/>
          <w:lang w:eastAsia="zh-CN"/>
        </w:rPr>
        <w:t>元用于主要由社区卫生服务中心、乡镇卫生院和村卫生室等基层医疗卫生机构提供服务的基本公共卫生服务项目，剩余</w:t>
      </w:r>
      <w:r>
        <w:rPr>
          <w:rFonts w:hint="default" w:ascii="Times New Roman" w:hAnsi="Times New Roman" w:eastAsia="方正仿宋简体" w:cs="Times New Roman"/>
          <w:sz w:val="32"/>
          <w:szCs w:val="32"/>
          <w:highlight w:val="none"/>
          <w:lang w:eastAsia="zh-CN"/>
        </w:rPr>
        <w:t>9</w:t>
      </w:r>
      <w:r>
        <w:rPr>
          <w:rFonts w:hint="eastAsia" w:ascii="方正仿宋简体" w:hAnsi="方正仿宋简体" w:eastAsia="方正仿宋简体" w:cs="方正仿宋简体"/>
          <w:sz w:val="32"/>
          <w:szCs w:val="32"/>
          <w:highlight w:val="none"/>
          <w:lang w:eastAsia="zh-CN"/>
        </w:rPr>
        <w:t>元用于开展地方病防治、职业病防治、重大疾病及危害因素监测、疾病预防控制、妇幼健康服务等</w:t>
      </w:r>
      <w:r>
        <w:rPr>
          <w:rFonts w:hint="default" w:ascii="Times New Roman" w:hAnsi="Times New Roman" w:eastAsia="方正仿宋简体" w:cs="Times New Roman"/>
          <w:sz w:val="32"/>
          <w:szCs w:val="32"/>
          <w:highlight w:val="none"/>
          <w:lang w:eastAsia="zh-CN"/>
        </w:rPr>
        <w:t>19</w:t>
      </w:r>
      <w:r>
        <w:rPr>
          <w:rFonts w:hint="eastAsia" w:ascii="方正仿宋简体" w:hAnsi="方正仿宋简体" w:eastAsia="方正仿宋简体" w:cs="方正仿宋简体"/>
          <w:sz w:val="32"/>
          <w:szCs w:val="32"/>
          <w:highlight w:val="none"/>
          <w:lang w:eastAsia="zh-CN"/>
        </w:rPr>
        <w:t>项其他基本公共卫生服务项目。</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年新增</w:t>
      </w:r>
      <w:r>
        <w:rPr>
          <w:rFonts w:hint="default" w:ascii="Times New Roman" w:hAnsi="Times New Roman" w:eastAsia="方正仿宋简体" w:cs="Times New Roman"/>
          <w:sz w:val="32"/>
          <w:szCs w:val="32"/>
          <w:highlight w:val="none"/>
          <w:lang w:eastAsia="zh-CN"/>
        </w:rPr>
        <w:t>5</w:t>
      </w:r>
      <w:r>
        <w:rPr>
          <w:rFonts w:hint="eastAsia" w:ascii="方正仿宋简体" w:hAnsi="方正仿宋简体" w:eastAsia="方正仿宋简体" w:cs="方正仿宋简体"/>
          <w:sz w:val="32"/>
          <w:szCs w:val="32"/>
          <w:highlight w:val="none"/>
          <w:lang w:eastAsia="zh-CN"/>
        </w:rPr>
        <w:t>元经费重点支持地方强化老年人、儿童的基本公共卫生服务。”，结合资金下达文件，政策内容有明确补助标准。</w:t>
      </w:r>
    </w:p>
    <w:p w14:paraId="325E6FEB">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08FDDB86">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补助标准合理性</w:t>
      </w:r>
    </w:p>
    <w:p w14:paraId="4D1D14B0">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政策补助标准按照《关于转发省卫生健康委、省财政厅、省中医药管理局〈关于做好</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年四川省基本公共卫生服务工作的通知〉的通知》（甘卫函〔</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282</w:t>
      </w:r>
      <w:r>
        <w:rPr>
          <w:rFonts w:hint="eastAsia" w:ascii="方正仿宋简体" w:hAnsi="方正仿宋简体" w:eastAsia="方正仿宋简体" w:cs="方正仿宋简体"/>
          <w:sz w:val="32"/>
          <w:szCs w:val="32"/>
          <w:highlight w:val="none"/>
          <w:lang w:eastAsia="zh-CN"/>
        </w:rPr>
        <w:t xml:space="preserve">号）以及资金下达文件《甘孜州财政局生健康委关于下达 </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 xml:space="preserve"> 年州级卫生健康专项补助资金的通知》（甘财社〔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61</w:t>
      </w:r>
      <w:r>
        <w:rPr>
          <w:rFonts w:hint="eastAsia" w:ascii="方正仿宋简体" w:hAnsi="方正仿宋简体" w:eastAsia="方正仿宋简体" w:cs="方正仿宋简体"/>
          <w:sz w:val="32"/>
          <w:szCs w:val="32"/>
          <w:highlight w:val="none"/>
          <w:lang w:eastAsia="zh-CN"/>
        </w:rPr>
        <w:t>号）、《甘孜州财政局孜州卫生健康委关于下达公共卫生特别服务岗省级补助资金的通知》（甘财社〔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96</w:t>
      </w:r>
      <w:r>
        <w:rPr>
          <w:rFonts w:hint="eastAsia" w:ascii="方正仿宋简体" w:hAnsi="方正仿宋简体" w:eastAsia="方正仿宋简体" w:cs="方正仿宋简体"/>
          <w:sz w:val="32"/>
          <w:szCs w:val="32"/>
          <w:highlight w:val="none"/>
          <w:lang w:eastAsia="zh-CN"/>
        </w:rPr>
        <w:t>号）、《甘孜州财政局孜州卫生健康委关于下达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年基本公共卫生服务中央和省级补助资金的通知》（甘财社〔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96</w:t>
      </w:r>
      <w:r>
        <w:rPr>
          <w:rFonts w:hint="eastAsia" w:ascii="方正仿宋简体" w:hAnsi="方正仿宋简体" w:eastAsia="方正仿宋简体" w:cs="方正仿宋简体"/>
          <w:sz w:val="32"/>
          <w:szCs w:val="32"/>
          <w:highlight w:val="none"/>
          <w:lang w:eastAsia="zh-CN"/>
        </w:rPr>
        <w:t>号）、《甘孜州财政局孜州卫生健康委关于下达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年基本公共卫生服务中央和省级补助资金的通知》（甘财社〔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43</w:t>
      </w:r>
      <w:r>
        <w:rPr>
          <w:rFonts w:hint="eastAsia" w:ascii="方正仿宋简体" w:hAnsi="方正仿宋简体" w:eastAsia="方正仿宋简体" w:cs="方正仿宋简体"/>
          <w:sz w:val="32"/>
          <w:szCs w:val="32"/>
          <w:highlight w:val="none"/>
          <w:lang w:eastAsia="zh-CN"/>
        </w:rPr>
        <w:t>号）、《泸定县财政局关于批复</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年部门预算的通知》（泸财〔</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13</w:t>
      </w:r>
      <w:r>
        <w:rPr>
          <w:rFonts w:hint="eastAsia" w:ascii="方正仿宋简体" w:hAnsi="方正仿宋简体" w:eastAsia="方正仿宋简体" w:cs="方正仿宋简体"/>
          <w:sz w:val="32"/>
          <w:szCs w:val="32"/>
          <w:highlight w:val="none"/>
          <w:lang w:eastAsia="zh-CN"/>
        </w:rPr>
        <w:t>号）文件分配任务及标准执行，标准合理，设定依据充分。</w:t>
      </w:r>
    </w:p>
    <w:p w14:paraId="7C55562A">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1C6FFFF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8876926">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rPr>
      </w:pPr>
      <w:bookmarkStart w:id="49" w:name="_Toc5212"/>
      <w:r>
        <w:rPr>
          <w:rFonts w:hint="eastAsia" w:ascii="方正楷体简体" w:hAnsi="方正楷体简体" w:eastAsia="方正楷体简体" w:cs="方正楷体简体"/>
          <w:sz w:val="32"/>
          <w:szCs w:val="32"/>
          <w:highlight w:val="none"/>
        </w:rPr>
        <w:t>（三）管理效率</w:t>
      </w:r>
      <w:bookmarkEnd w:id="49"/>
    </w:p>
    <w:p w14:paraId="16704A7A">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二级指标“管理效率”下设一个三级指标：决策高效性。</w:t>
      </w:r>
    </w:p>
    <w:p w14:paraId="76AB846E">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根据</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21</w:t>
      </w:r>
      <w:r>
        <w:rPr>
          <w:rFonts w:hint="eastAsia" w:ascii="方正仿宋简体" w:hAnsi="方正仿宋简体" w:eastAsia="方正仿宋简体" w:cs="方正仿宋简体"/>
          <w:sz w:val="32"/>
          <w:szCs w:val="32"/>
          <w:highlight w:val="none"/>
          <w:lang w:val="en-US" w:eastAsia="zh-CN"/>
        </w:rPr>
        <w:t>日</w:t>
      </w:r>
      <w:r>
        <w:rPr>
          <w:rFonts w:hint="eastAsia" w:ascii="方正仿宋简体" w:hAnsi="方正仿宋简体" w:eastAsia="方正仿宋简体" w:cs="方正仿宋简体"/>
          <w:sz w:val="32"/>
          <w:szCs w:val="32"/>
          <w:highlight w:val="none"/>
          <w:lang w:eastAsia="zh-CN"/>
        </w:rPr>
        <w:t>《泸定县卫生健康局关于印发〈</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年泸定县失能老年人“健康敲门行动”实施方案〉的通知》（泸卫发〔</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24</w:t>
      </w:r>
      <w:r>
        <w:rPr>
          <w:rFonts w:hint="eastAsia" w:ascii="方正仿宋简体" w:hAnsi="方正仿宋简体" w:eastAsia="方正仿宋简体" w:cs="方正仿宋简体"/>
          <w:sz w:val="32"/>
          <w:szCs w:val="32"/>
          <w:highlight w:val="none"/>
          <w:lang w:eastAsia="zh-CN"/>
        </w:rPr>
        <w:t>号）文件，</w:t>
      </w:r>
      <w:r>
        <w:rPr>
          <w:rFonts w:hint="eastAsia" w:ascii="方正仿宋简体" w:hAnsi="方正仿宋简体" w:eastAsia="方正仿宋简体" w:cs="方正仿宋简体"/>
          <w:sz w:val="32"/>
          <w:szCs w:val="32"/>
          <w:highlight w:val="none"/>
          <w:lang w:val="en-US" w:eastAsia="zh-CN"/>
        </w:rPr>
        <w:t>泸定县卫生健康局通知县属各医疗机构、局机关相关股室</w:t>
      </w:r>
      <w:r>
        <w:rPr>
          <w:rFonts w:hint="eastAsia" w:ascii="方正仿宋简体" w:hAnsi="方正仿宋简体" w:eastAsia="方正仿宋简体" w:cs="方正仿宋简体"/>
          <w:sz w:val="32"/>
          <w:szCs w:val="32"/>
          <w:highlight w:val="none"/>
          <w:lang w:eastAsia="zh-CN"/>
        </w:rPr>
        <w:t>按照“个人申请、村级初审、机构审核、县（市）备案”的流程进行。凡愿意接受上门健康服务的失能老年人，由本人或其监护人向居住地村（社区）提出申请，村（社区）初审后报当地基层医疗卫生机构审核，基层医疗卫生机构审核后将符合条件的失能老年人报县（市）卫生健康局备案，</w:t>
      </w:r>
      <w:r>
        <w:rPr>
          <w:rFonts w:hint="eastAsia" w:ascii="方正仿宋简体" w:hAnsi="方正仿宋简体" w:eastAsia="方正仿宋简体" w:cs="方正仿宋简体"/>
          <w:sz w:val="32"/>
          <w:szCs w:val="32"/>
          <w:highlight w:val="none"/>
          <w:lang w:val="en-US" w:eastAsia="zh-CN"/>
        </w:rPr>
        <w:t>根据本政策绩效目标申报，要求</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月之前完成本政策所有项目实施，泸定县卫生健康局对本政策的决策高效性严重迟缓</w:t>
      </w:r>
      <w:r>
        <w:rPr>
          <w:rFonts w:hint="eastAsia" w:ascii="方正仿宋简体" w:hAnsi="方正仿宋简体" w:eastAsia="方正仿宋简体" w:cs="方正仿宋简体"/>
          <w:sz w:val="32"/>
          <w:szCs w:val="32"/>
          <w:highlight w:val="none"/>
        </w:rPr>
        <w:t>。</w:t>
      </w:r>
    </w:p>
    <w:p w14:paraId="292D4D0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3301C79D">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rPr>
      </w:pPr>
      <w:bookmarkStart w:id="50" w:name="_Toc20127"/>
      <w:r>
        <w:rPr>
          <w:rFonts w:hint="eastAsia" w:ascii="方正楷体简体" w:hAnsi="方正楷体简体" w:eastAsia="方正楷体简体" w:cs="方正楷体简体"/>
          <w:sz w:val="32"/>
          <w:szCs w:val="32"/>
          <w:highlight w:val="none"/>
        </w:rPr>
        <w:t>（四）执行效率</w:t>
      </w:r>
      <w:bookmarkEnd w:id="50"/>
    </w:p>
    <w:p w14:paraId="4FDBB0B0">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二级指标“执行效率”下设一个三级指标：执行高效性。</w:t>
      </w:r>
    </w:p>
    <w:p w14:paraId="42134746">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根据相关档案资料，按照“个人申请、村级初审、机构审核、县（市）备案”的流程进行失能老年人申请审批，对审批通过的</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人定期进行上</w:t>
      </w:r>
      <w:r>
        <w:rPr>
          <w:rFonts w:hint="eastAsia" w:ascii="方正仿宋简体" w:hAnsi="方正仿宋简体" w:eastAsia="方正仿宋简体" w:cs="方正仿宋简体"/>
          <w:sz w:val="32"/>
          <w:szCs w:val="32"/>
          <w:highlight w:val="none"/>
          <w:lang w:eastAsia="zh-CN"/>
        </w:rPr>
        <w:t>门</w:t>
      </w:r>
      <w:r>
        <w:rPr>
          <w:rFonts w:hint="eastAsia" w:ascii="方正仿宋简体" w:hAnsi="方正仿宋简体" w:eastAsia="方正仿宋简体" w:cs="方正仿宋简体"/>
          <w:sz w:val="32"/>
          <w:szCs w:val="32"/>
          <w:highlight w:val="none"/>
        </w:rPr>
        <w:t>服务，</w:t>
      </w:r>
      <w:r>
        <w:rPr>
          <w:rFonts w:hint="eastAsia" w:ascii="方正仿宋简体" w:hAnsi="方正仿宋简体" w:eastAsia="方正仿宋简体" w:cs="方正仿宋简体"/>
          <w:sz w:val="32"/>
          <w:szCs w:val="32"/>
          <w:highlight w:val="none"/>
          <w:lang w:val="en-US" w:eastAsia="zh-CN"/>
        </w:rPr>
        <w:t>资金下达于</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月期间，实际执行为</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11</w:t>
      </w:r>
      <w:r>
        <w:rPr>
          <w:rFonts w:hint="eastAsia" w:ascii="方正仿宋简体" w:hAnsi="方正仿宋简体" w:eastAsia="方正仿宋简体" w:cs="方正仿宋简体"/>
          <w:sz w:val="32"/>
          <w:szCs w:val="32"/>
          <w:highlight w:val="none"/>
          <w:lang w:val="en-US" w:eastAsia="zh-CN"/>
        </w:rPr>
        <w:t>月，泸定县卫生健康局执行效率缓慢</w:t>
      </w:r>
      <w:r>
        <w:rPr>
          <w:rFonts w:hint="eastAsia" w:ascii="方正仿宋简体" w:hAnsi="方正仿宋简体" w:eastAsia="方正仿宋简体" w:cs="方正仿宋简体"/>
          <w:sz w:val="32"/>
          <w:szCs w:val="32"/>
          <w:highlight w:val="none"/>
        </w:rPr>
        <w:t>。</w:t>
      </w:r>
    </w:p>
    <w:p w14:paraId="298F7EB6">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8C45BBD">
      <w:pPr>
        <w:keepNext w:val="0"/>
        <w:keepLines w:val="0"/>
        <w:pageBreakBefore w:val="0"/>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1" w:name="_Toc7735"/>
      <w:r>
        <w:rPr>
          <w:rFonts w:hint="eastAsia" w:ascii="方正楷体简体" w:hAnsi="方正楷体简体" w:eastAsia="方正楷体简体" w:cs="方正楷体简体"/>
          <w:sz w:val="32"/>
          <w:szCs w:val="32"/>
          <w:highlight w:val="none"/>
          <w:lang w:val="en-US" w:eastAsia="zh-CN"/>
        </w:rPr>
        <w:t>（五）政策效率</w:t>
      </w:r>
      <w:bookmarkEnd w:id="51"/>
    </w:p>
    <w:p w14:paraId="7B047DBA">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sz w:val="32"/>
          <w:szCs w:val="32"/>
          <w:highlight w:val="none"/>
          <w:lang w:val="en-US" w:eastAsia="zh-CN"/>
        </w:rPr>
        <w:t>政策</w:t>
      </w:r>
      <w:r>
        <w:rPr>
          <w:rFonts w:hint="eastAsia" w:ascii="方正仿宋简体" w:hAnsi="方正仿宋简体" w:eastAsia="方正仿宋简体" w:cs="方正仿宋简体"/>
          <w:sz w:val="32"/>
          <w:szCs w:val="32"/>
          <w:highlight w:val="none"/>
        </w:rPr>
        <w:t>效率”下设一个三级指标：</w:t>
      </w:r>
      <w:r>
        <w:rPr>
          <w:rFonts w:hint="eastAsia" w:ascii="方正仿宋简体" w:hAnsi="方正仿宋简体" w:eastAsia="方正仿宋简体" w:cs="方正仿宋简体"/>
          <w:sz w:val="32"/>
          <w:szCs w:val="32"/>
          <w:highlight w:val="none"/>
          <w:lang w:val="en-US" w:eastAsia="zh-CN"/>
        </w:rPr>
        <w:t>政策效率</w:t>
      </w:r>
      <w:r>
        <w:rPr>
          <w:rFonts w:hint="eastAsia" w:ascii="方正仿宋简体" w:hAnsi="方正仿宋简体" w:eastAsia="方正仿宋简体" w:cs="方正仿宋简体"/>
          <w:sz w:val="32"/>
          <w:szCs w:val="32"/>
          <w:highlight w:val="none"/>
        </w:rPr>
        <w:t>。</w:t>
      </w:r>
    </w:p>
    <w:p w14:paraId="4205640E">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通过该政策的实施，逐步摸清职业性尘肺病等重点职业病底数，评估职业病危害因素暴露对劳动者的健康影响，分析职业性放射性疾病的防治现状；为全县提出申请的</w:t>
      </w:r>
      <w:r>
        <w:rPr>
          <w:rFonts w:hint="default" w:ascii="Times New Roman" w:hAnsi="Times New Roman" w:eastAsia="方正仿宋简体" w:cs="Times New Roman"/>
          <w:sz w:val="32"/>
          <w:szCs w:val="32"/>
          <w:highlight w:val="none"/>
          <w:lang w:val="en-US" w:eastAsia="zh-CN"/>
        </w:rPr>
        <w:t>65</w:t>
      </w:r>
      <w:r>
        <w:rPr>
          <w:rFonts w:hint="eastAsia" w:ascii="方正仿宋简体" w:hAnsi="方正仿宋简体" w:eastAsia="方正仿宋简体" w:cs="方正仿宋简体"/>
          <w:sz w:val="32"/>
          <w:szCs w:val="32"/>
          <w:highlight w:val="none"/>
          <w:lang w:val="en-US" w:eastAsia="zh-CN"/>
        </w:rPr>
        <w:t>岁及以上失能老年人提供免费上门健康服务，维持失能老年人的功能，改善失能老年人生活质量。评价组通过问卷调查分析，共计发放问卷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份，收回有效问卷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份，基本公共卫生改善程度</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39%</w:t>
      </w:r>
      <w:r>
        <w:rPr>
          <w:rFonts w:hint="eastAsia" w:ascii="方正仿宋简体" w:hAnsi="方正仿宋简体" w:eastAsia="方正仿宋简体" w:cs="方正仿宋简体"/>
          <w:sz w:val="32"/>
          <w:szCs w:val="32"/>
          <w:highlight w:val="none"/>
          <w:lang w:val="en-US" w:eastAsia="zh-CN"/>
        </w:rPr>
        <w:t>。</w:t>
      </w:r>
    </w:p>
    <w:p w14:paraId="57A1FEE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en-US" w:eastAsia="zh-CN"/>
        </w:rPr>
      </w:pPr>
      <w:bookmarkStart w:id="52" w:name="_Toc26109"/>
      <w:r>
        <w:rPr>
          <w:rFonts w:hint="eastAsia" w:ascii="方正仿宋简体" w:hAnsi="方正仿宋简体" w:eastAsia="方正仿宋简体" w:cs="方正仿宋简体"/>
          <w:sz w:val="32"/>
          <w:szCs w:val="32"/>
          <w:highlight w:val="none"/>
          <w:lang w:val="en-US" w:eastAsia="zh-CN"/>
        </w:rPr>
        <w:t>指标分为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en-US" w:eastAsia="zh-CN"/>
        </w:rPr>
        <w:t>分。</w:t>
      </w:r>
    </w:p>
    <w:p w14:paraId="2C9C58A3">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（六）持续运行</w:t>
      </w:r>
      <w:bookmarkEnd w:id="52"/>
    </w:p>
    <w:p w14:paraId="20690B88">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持续运行”下设九个三级指标：受益对象资格审核准确率、监管考核执行有效性、档案管理规范性、政策调整机制健全性、政策调整合理性、政策调整及时性、投诉反馈机制健全性、职责分工明确性、审核流程规范性。</w:t>
      </w:r>
    </w:p>
    <w:p w14:paraId="1300EB90">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受益对象资格审核准确率</w:t>
      </w:r>
    </w:p>
    <w:p w14:paraId="394461AD">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通过县卫健局提供相关资料，在政策执行过程中，资金主要为经常性支出，如办公费、差旅费、培训费等，其中泸定县冷碛镇中心卫生院“老年健康与医养结合服务”项目，为全县提出申请的</w:t>
      </w:r>
      <w:r>
        <w:rPr>
          <w:rFonts w:hint="default" w:ascii="Times New Roman" w:hAnsi="Times New Roman" w:eastAsia="方正仿宋简体" w:cs="Times New Roman"/>
          <w:sz w:val="32"/>
          <w:szCs w:val="32"/>
          <w:highlight w:val="none"/>
          <w:lang w:eastAsia="zh-CN"/>
        </w:rPr>
        <w:t>65</w:t>
      </w:r>
      <w:r>
        <w:rPr>
          <w:rFonts w:hint="eastAsia" w:ascii="方正仿宋简体" w:hAnsi="方正仿宋简体" w:eastAsia="方正仿宋简体" w:cs="方正仿宋简体"/>
          <w:sz w:val="32"/>
          <w:szCs w:val="32"/>
          <w:highlight w:val="none"/>
          <w:lang w:eastAsia="zh-CN"/>
        </w:rPr>
        <w:t>岁及以上失能老年人提供免费上门健康服务，对受益对象提交的资料均进行了档案管理，不存在实际受益对象与政策要求不符、实际符合政策要求的对象审核未通过或未享受的情况。</w:t>
      </w:r>
    </w:p>
    <w:p w14:paraId="257DCE6B">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6342980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监管考核执行有效性</w:t>
      </w:r>
    </w:p>
    <w:p w14:paraId="238CF32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 xml:space="preserve">根据《泸定县卫生健康局关于〈拨付 </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 xml:space="preserve"> 年州级卫生健康补助资金〉的通知》（泸卫发〔</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122</w:t>
      </w:r>
      <w:r>
        <w:rPr>
          <w:rFonts w:hint="eastAsia" w:ascii="方正仿宋简体" w:hAnsi="方正仿宋简体" w:eastAsia="方正仿宋简体" w:cs="方正仿宋简体"/>
          <w:sz w:val="32"/>
          <w:szCs w:val="32"/>
          <w:highlight w:val="none"/>
          <w:lang w:eastAsia="zh-CN"/>
        </w:rPr>
        <w:t>号）文件，县卫健局结合《泸定县卫生健康局关于印发〈</w:t>
      </w:r>
      <w:r>
        <w:rPr>
          <w:rFonts w:hint="default" w:ascii="Times New Roman" w:hAnsi="Times New Roman" w:eastAsia="方正仿宋简体" w:cs="Times New Roman"/>
          <w:sz w:val="32"/>
          <w:szCs w:val="32"/>
          <w:highlight w:val="none"/>
          <w:lang w:eastAsia="zh-CN"/>
        </w:rPr>
        <w:t>2022</w:t>
      </w:r>
      <w:r>
        <w:rPr>
          <w:rFonts w:hint="eastAsia" w:ascii="方正仿宋简体" w:hAnsi="方正仿宋简体" w:eastAsia="方正仿宋简体" w:cs="方正仿宋简体"/>
          <w:sz w:val="32"/>
          <w:szCs w:val="32"/>
          <w:highlight w:val="none"/>
          <w:lang w:eastAsia="zh-CN"/>
        </w:rPr>
        <w:t>年度基本公共卫生服务项目绩效考核实施方案〉的通知》（泸卫发〔</w:t>
      </w:r>
      <w:r>
        <w:rPr>
          <w:rFonts w:hint="default" w:ascii="Times New Roman" w:hAnsi="Times New Roman" w:eastAsia="方正仿宋简体" w:cs="Times New Roman"/>
          <w:sz w:val="32"/>
          <w:szCs w:val="32"/>
          <w:highlight w:val="none"/>
          <w:lang w:eastAsia="zh-CN"/>
        </w:rPr>
        <w:t>2022</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54</w:t>
      </w:r>
      <w:r>
        <w:rPr>
          <w:rFonts w:hint="eastAsia" w:ascii="方正仿宋简体" w:hAnsi="方正仿宋简体" w:eastAsia="方正仿宋简体" w:cs="方正仿宋简体"/>
          <w:sz w:val="32"/>
          <w:szCs w:val="32"/>
          <w:highlight w:val="none"/>
          <w:lang w:eastAsia="zh-CN"/>
        </w:rPr>
        <w:t xml:space="preserve">号）、《泸定县卫生健康局关于 </w:t>
      </w:r>
      <w:r>
        <w:rPr>
          <w:rFonts w:hint="default" w:ascii="Times New Roman" w:hAnsi="Times New Roman" w:eastAsia="方正仿宋简体" w:cs="Times New Roman"/>
          <w:sz w:val="32"/>
          <w:szCs w:val="32"/>
          <w:highlight w:val="none"/>
          <w:lang w:eastAsia="zh-CN"/>
        </w:rPr>
        <w:t>2022</w:t>
      </w:r>
      <w:r>
        <w:rPr>
          <w:rFonts w:hint="eastAsia" w:ascii="方正仿宋简体" w:hAnsi="方正仿宋简体" w:eastAsia="方正仿宋简体" w:cs="方正仿宋简体"/>
          <w:sz w:val="32"/>
          <w:szCs w:val="32"/>
          <w:highlight w:val="none"/>
          <w:lang w:eastAsia="zh-CN"/>
        </w:rPr>
        <w:t>年度基本公共卫生服务项目绩效考核情况的通报》（泸卫发〔</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9</w:t>
      </w:r>
      <w:r>
        <w:rPr>
          <w:rFonts w:hint="eastAsia" w:ascii="方正仿宋简体" w:hAnsi="方正仿宋简体" w:eastAsia="方正仿宋简体" w:cs="方正仿宋简体"/>
          <w:sz w:val="32"/>
          <w:szCs w:val="32"/>
          <w:highlight w:val="none"/>
          <w:lang w:eastAsia="zh-CN"/>
        </w:rPr>
        <w:t xml:space="preserve">号）文件精神和 </w:t>
      </w:r>
      <w:r>
        <w:rPr>
          <w:rFonts w:hint="default" w:ascii="Times New Roman" w:hAnsi="Times New Roman" w:eastAsia="方正仿宋简体" w:cs="Times New Roman"/>
          <w:sz w:val="32"/>
          <w:szCs w:val="32"/>
          <w:highlight w:val="none"/>
          <w:lang w:eastAsia="zh-CN"/>
        </w:rPr>
        <w:t>2022</w:t>
      </w:r>
      <w:r>
        <w:rPr>
          <w:rFonts w:hint="eastAsia" w:ascii="方正仿宋简体" w:hAnsi="方正仿宋简体" w:eastAsia="方正仿宋简体" w:cs="方正仿宋简体"/>
          <w:sz w:val="32"/>
          <w:szCs w:val="32"/>
          <w:highlight w:val="none"/>
          <w:lang w:eastAsia="zh-CN"/>
        </w:rPr>
        <w:t>年度年终绩效考核得分排名情况，分配奖励补助资金。</w:t>
      </w:r>
    </w:p>
    <w:p w14:paraId="6D8090CD">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8309405">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档案管理规范性</w:t>
      </w:r>
    </w:p>
    <w:p w14:paraId="5F44054D">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根据县卫健局提供相关资料，卫健局需进一步完善档案管理相关制度，用于政策资料归档，并根据档案管理要求对各乡镇卫生院进行政策资料归档。</w:t>
      </w:r>
    </w:p>
    <w:p w14:paraId="0FA0FE91">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336A2624">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政策调整机制健全性</w:t>
      </w:r>
    </w:p>
    <w:p w14:paraId="43F0C59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根据资金下达文件，该项政策根据人口因素以及结合国家、省、州每年政策变化情况进行政策实施范围、标准等内容的调整或完善，</w:t>
      </w:r>
      <w:r>
        <w:rPr>
          <w:rFonts w:hint="eastAsia" w:ascii="方正仿宋简体" w:hAnsi="方正仿宋简体" w:eastAsia="方正仿宋简体" w:cs="方正仿宋简体"/>
          <w:sz w:val="32"/>
          <w:szCs w:val="32"/>
          <w:highlight w:val="none"/>
          <w:lang w:val="en-US" w:eastAsia="zh-CN"/>
        </w:rPr>
        <w:t>但泸定县卫生健康局未根据每年政策实施结果，归纳总结政策实施的经验、不足，形成政策实施经验积累，对政策相关内容、配套管理机制等进行调整和完善</w:t>
      </w:r>
      <w:r>
        <w:rPr>
          <w:rFonts w:hint="eastAsia" w:ascii="方正仿宋简体" w:hAnsi="方正仿宋简体" w:eastAsia="方正仿宋简体" w:cs="方正仿宋简体"/>
          <w:sz w:val="32"/>
          <w:szCs w:val="32"/>
          <w:highlight w:val="none"/>
          <w:lang w:eastAsia="zh-CN"/>
        </w:rPr>
        <w:t>。</w:t>
      </w:r>
    </w:p>
    <w:p w14:paraId="22D0B289">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p>
    <w:p w14:paraId="391D3753">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政策调整合理性</w:t>
      </w:r>
    </w:p>
    <w:p w14:paraId="3511B777">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据现场了解，该项政策未进行相关调整。</w:t>
      </w:r>
    </w:p>
    <w:p w14:paraId="64C2D5AE">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408EA21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政策调整及时性</w:t>
      </w:r>
    </w:p>
    <w:p w14:paraId="20E469B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据现场了解，该项政策未进行相关调整。</w:t>
      </w:r>
    </w:p>
    <w:p w14:paraId="237F00D3">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0CEDE93">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投诉反馈机制健全性</w:t>
      </w:r>
    </w:p>
    <w:p w14:paraId="7D2E137C">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据现场了解，县卫健局根据《四川省基本公共卫生服务补助资金管理办法》进行政策执行，无投诉反馈相关机制。</w:t>
      </w:r>
    </w:p>
    <w:p w14:paraId="7376FFAF">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p>
    <w:p w14:paraId="477350D8">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职责分工明确性</w:t>
      </w:r>
    </w:p>
    <w:p w14:paraId="2208B1E5">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该政策由县卫健局主管，资金拨付到各乡镇卫生院具体执行，实施过程中，各责任单位分工明确，</w:t>
      </w:r>
      <w:r>
        <w:rPr>
          <w:rFonts w:hint="eastAsia" w:ascii="方正仿宋简体" w:hAnsi="方正仿宋简体" w:eastAsia="方正仿宋简体" w:cs="方正仿宋简体"/>
          <w:sz w:val="32"/>
          <w:szCs w:val="32"/>
          <w:highlight w:val="none"/>
          <w:lang w:eastAsia="zh-CN"/>
        </w:rPr>
        <w:t>各级</w:t>
      </w:r>
      <w:r>
        <w:rPr>
          <w:rFonts w:hint="eastAsia" w:ascii="方正仿宋简体" w:hAnsi="方正仿宋简体" w:eastAsia="方正仿宋简体" w:cs="方正仿宋简体"/>
          <w:sz w:val="32"/>
          <w:szCs w:val="32"/>
          <w:highlight w:val="none"/>
        </w:rPr>
        <w:t>部门均</w:t>
      </w:r>
      <w:r>
        <w:rPr>
          <w:rFonts w:hint="eastAsia" w:ascii="方正仿宋简体" w:hAnsi="方正仿宋简体" w:eastAsia="方正仿宋简体" w:cs="方正仿宋简体"/>
          <w:sz w:val="32"/>
          <w:szCs w:val="32"/>
          <w:highlight w:val="none"/>
          <w:lang w:eastAsia="zh-CN"/>
        </w:rPr>
        <w:t>有</w:t>
      </w:r>
      <w:r>
        <w:rPr>
          <w:rFonts w:hint="eastAsia" w:ascii="方正仿宋简体" w:hAnsi="方正仿宋简体" w:eastAsia="方正仿宋简体" w:cs="方正仿宋简体"/>
          <w:sz w:val="32"/>
          <w:szCs w:val="32"/>
          <w:highlight w:val="none"/>
        </w:rPr>
        <w:t>对应负责人，职权对应。</w:t>
      </w:r>
    </w:p>
    <w:p w14:paraId="4A3EDF7C">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380A81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 xml:space="preserve">审核流程规范性  </w:t>
      </w:r>
    </w:p>
    <w:p w14:paraId="3719DB6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根据《四川省基本公共卫生服务补助资金管理办法》以及资金下达文件，明确“……加强资金管理，专款专用，加快预算执行进度，切实提高资金使用效益”的要求，翻阅凭证，资金使用合理，报账程序规范，按规定结转项目结余，审核流程与政策规定、实施细则等要求一致</w:t>
      </w:r>
      <w:r>
        <w:rPr>
          <w:rFonts w:hint="eastAsia" w:ascii="方正仿宋简体" w:hAnsi="方正仿宋简体" w:eastAsia="方正仿宋简体" w:cs="方正仿宋简体"/>
          <w:sz w:val="32"/>
          <w:szCs w:val="32"/>
          <w:highlight w:val="none"/>
          <w:lang w:eastAsia="zh-CN"/>
        </w:rPr>
        <w:t>。</w:t>
      </w:r>
    </w:p>
    <w:p w14:paraId="212FDF07">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0BECE07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 xml:space="preserve">分，扣除 </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 xml:space="preserve">，得分为 </w:t>
      </w:r>
      <w:r>
        <w:rPr>
          <w:rFonts w:hint="default" w:ascii="Times New Roman" w:hAnsi="Times New Roman" w:eastAsia="方正仿宋简体" w:cs="Times New Roman"/>
          <w:sz w:val="32"/>
          <w:szCs w:val="32"/>
          <w:highlight w:val="none"/>
        </w:rPr>
        <w:t>2</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70738C24">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3" w:name="_Toc5616"/>
      <w:r>
        <w:rPr>
          <w:rFonts w:hint="eastAsia" w:ascii="方正楷体简体" w:hAnsi="方正楷体简体" w:eastAsia="方正楷体简体" w:cs="方正楷体简体"/>
          <w:sz w:val="32"/>
          <w:szCs w:val="32"/>
          <w:highlight w:val="none"/>
          <w:lang w:val="en-US" w:eastAsia="zh-CN"/>
        </w:rPr>
        <w:t>（七）持续需求</w:t>
      </w:r>
      <w:bookmarkEnd w:id="53"/>
    </w:p>
    <w:p w14:paraId="0D726EBF">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二级指标“持续需求”下设</w:t>
      </w:r>
      <w:r>
        <w:rPr>
          <w:rFonts w:hint="eastAsia" w:ascii="方正仿宋简体" w:hAnsi="方正仿宋简体" w:eastAsia="方正仿宋简体" w:cs="方正仿宋简体"/>
          <w:sz w:val="32"/>
          <w:szCs w:val="32"/>
          <w:highlight w:val="none"/>
          <w:lang w:val="en-US" w:eastAsia="zh-CN"/>
        </w:rPr>
        <w:t>两</w:t>
      </w:r>
      <w:r>
        <w:rPr>
          <w:rFonts w:hint="eastAsia" w:ascii="方正仿宋简体" w:hAnsi="方正仿宋简体" w:eastAsia="方正仿宋简体" w:cs="方正仿宋简体"/>
          <w:sz w:val="32"/>
          <w:szCs w:val="32"/>
          <w:highlight w:val="none"/>
        </w:rPr>
        <w:t>个三级指标：受益对象需求度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政策持续实施条件完备性。</w:t>
      </w:r>
    </w:p>
    <w:p w14:paraId="3BED4262">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受益对象需求度</w:t>
      </w:r>
    </w:p>
    <w:p w14:paraId="5E4C671F">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w:t>
      </w:r>
      <w:r>
        <w:rPr>
          <w:rFonts w:hint="eastAsia" w:ascii="方正仿宋简体" w:hAnsi="方正仿宋简体" w:eastAsia="方正仿宋简体" w:cs="方正仿宋简体"/>
          <w:sz w:val="32"/>
          <w:szCs w:val="32"/>
          <w:highlight w:val="none"/>
          <w:lang w:val="en-US" w:eastAsia="zh-CN"/>
        </w:rPr>
        <w:t>通过</w:t>
      </w:r>
      <w:r>
        <w:rPr>
          <w:rFonts w:hint="eastAsia" w:ascii="方正仿宋简体" w:hAnsi="方正仿宋简体" w:eastAsia="方正仿宋简体" w:cs="方正仿宋简体"/>
          <w:sz w:val="32"/>
          <w:szCs w:val="32"/>
          <w:highlight w:val="none"/>
        </w:rPr>
        <w:t>对政策受益对象进行问卷调查，通过问卷调查回收情况，</w:t>
      </w:r>
      <w:r>
        <w:rPr>
          <w:rFonts w:hint="eastAsia" w:ascii="方正仿宋简体" w:hAnsi="方正仿宋简体" w:eastAsia="方正仿宋简体" w:cs="方正仿宋简体"/>
          <w:sz w:val="32"/>
          <w:szCs w:val="32"/>
          <w:highlight w:val="none"/>
          <w:lang w:val="en-US" w:eastAsia="zh-CN"/>
        </w:rPr>
        <w:t>共计发放问卷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收回有效问卷</w:t>
      </w:r>
      <w:r>
        <w:rPr>
          <w:rFonts w:hint="default" w:ascii="Times New Roman" w:hAnsi="Times New Roman" w:eastAsia="方正仿宋简体" w:cs="Times New Roman"/>
          <w:sz w:val="32"/>
          <w:szCs w:val="32"/>
          <w:highlight w:val="none"/>
        </w:rPr>
        <w:t>11</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份，其中回答需求高的人数</w:t>
      </w:r>
      <w:r>
        <w:rPr>
          <w:rFonts w:hint="default" w:ascii="Times New Roman" w:hAnsi="Times New Roman" w:eastAsia="方正仿宋简体" w:cs="Times New Roman"/>
          <w:sz w:val="32"/>
          <w:szCs w:val="32"/>
          <w:highlight w:val="none"/>
        </w:rPr>
        <w:t>111</w:t>
      </w:r>
      <w:r>
        <w:rPr>
          <w:rFonts w:hint="eastAsia" w:ascii="方正仿宋简体" w:hAnsi="方正仿宋简体" w:eastAsia="方正仿宋简体" w:cs="方正仿宋简体"/>
          <w:sz w:val="32"/>
          <w:szCs w:val="32"/>
          <w:highlight w:val="none"/>
        </w:rPr>
        <w:t>人，需求一般的人数</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人，受益对象需求度</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39</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需求度一般</w:t>
      </w:r>
      <w:r>
        <w:rPr>
          <w:rFonts w:hint="eastAsia" w:ascii="方正仿宋简体" w:hAnsi="方正仿宋简体" w:eastAsia="方正仿宋简体" w:cs="方正仿宋简体"/>
          <w:sz w:val="32"/>
          <w:szCs w:val="32"/>
          <w:highlight w:val="none"/>
        </w:rPr>
        <w:t>。</w:t>
      </w:r>
    </w:p>
    <w:p w14:paraId="51A49844">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en-US" w:eastAsia="zh-CN"/>
        </w:rPr>
        <w:t>分。</w:t>
      </w:r>
    </w:p>
    <w:p w14:paraId="1CC048BD">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政策持续实施条件完备性</w:t>
      </w:r>
    </w:p>
    <w:p w14:paraId="662E9572">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根据《关于转发省卫生健康委、省财政厅、省中医药管理局</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关于做好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年四川省基本公共卫生服务工作的通知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的通知》（甘卫函〔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282</w:t>
      </w:r>
      <w:r>
        <w:rPr>
          <w:rFonts w:hint="eastAsia" w:ascii="方正仿宋简体" w:hAnsi="方正仿宋简体" w:eastAsia="方正仿宋简体" w:cs="方正仿宋简体"/>
          <w:sz w:val="32"/>
          <w:szCs w:val="32"/>
          <w:highlight w:val="none"/>
        </w:rPr>
        <w:t>号）政策文件及资金下达文件，该政策实施至今，与国家、省、市政策调整同步一致，无其他影响政策效果的客观条件存在</w:t>
      </w:r>
      <w:r>
        <w:rPr>
          <w:rFonts w:hint="eastAsia" w:ascii="方正仿宋简体" w:hAnsi="方正仿宋简体" w:eastAsia="方正仿宋简体" w:cs="方正仿宋简体"/>
          <w:sz w:val="32"/>
          <w:szCs w:val="32"/>
          <w:highlight w:val="none"/>
          <w:lang w:eastAsia="zh-CN"/>
        </w:rPr>
        <w:t>。</w:t>
      </w:r>
    </w:p>
    <w:p w14:paraId="5E80D5C4">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0AA8495">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rPr>
        <w:t>分。</w:t>
      </w:r>
    </w:p>
    <w:p w14:paraId="044A1D03">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4" w:name="_Toc12147"/>
      <w:r>
        <w:rPr>
          <w:rFonts w:hint="eastAsia" w:ascii="方正楷体简体" w:hAnsi="方正楷体简体" w:eastAsia="方正楷体简体" w:cs="方正楷体简体"/>
          <w:sz w:val="32"/>
          <w:szCs w:val="32"/>
          <w:highlight w:val="none"/>
          <w:lang w:val="en-US" w:eastAsia="zh-CN"/>
        </w:rPr>
        <w:t>（八）重复性</w:t>
      </w:r>
      <w:bookmarkEnd w:id="54"/>
    </w:p>
    <w:p w14:paraId="3C90221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二级指标“重复性”下设一个三级指标：政策的可重复性。</w:t>
      </w:r>
    </w:p>
    <w:p w14:paraId="611B81E4">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根据《关于转发省卫生健康委、省财政厅、省中医药管理局</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关于做好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年四川省基本公共卫生服务工作的通知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的通知》（甘卫函〔</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282</w:t>
      </w:r>
      <w:r>
        <w:rPr>
          <w:rFonts w:hint="eastAsia" w:ascii="方正仿宋简体" w:hAnsi="方正仿宋简体" w:eastAsia="方正仿宋简体" w:cs="方正仿宋简体"/>
          <w:sz w:val="32"/>
          <w:szCs w:val="32"/>
          <w:highlight w:val="none"/>
        </w:rPr>
        <w:t>号）政策文件及资金下达文件，该项政策未与相关部门同类政策以及部门内部相关政策重复。该项</w:t>
      </w:r>
      <w:r>
        <w:rPr>
          <w:rFonts w:hint="eastAsia" w:ascii="方正仿宋简体" w:hAnsi="方正仿宋简体" w:eastAsia="方正仿宋简体" w:cs="方正仿宋简体"/>
          <w:sz w:val="32"/>
          <w:szCs w:val="32"/>
          <w:highlight w:val="none"/>
          <w:lang w:val="en-US" w:eastAsia="zh-CN"/>
        </w:rPr>
        <w:t>为</w:t>
      </w:r>
      <w:r>
        <w:rPr>
          <w:rFonts w:hint="eastAsia" w:ascii="方正仿宋简体" w:hAnsi="方正仿宋简体" w:eastAsia="方正仿宋简体" w:cs="方正仿宋简体"/>
          <w:sz w:val="32"/>
          <w:szCs w:val="32"/>
          <w:highlight w:val="none"/>
        </w:rPr>
        <w:t>连续性政策，具有长期可实施性，不属于短时间、突发程度较高的政策。</w:t>
      </w:r>
    </w:p>
    <w:p w14:paraId="30335DBE">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5D8F28C">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5" w:name="_Toc26945"/>
      <w:r>
        <w:rPr>
          <w:rFonts w:hint="eastAsia" w:ascii="方正楷体简体" w:hAnsi="方正楷体简体" w:eastAsia="方正楷体简体" w:cs="方正楷体简体"/>
          <w:sz w:val="32"/>
          <w:szCs w:val="32"/>
          <w:highlight w:val="none"/>
          <w:lang w:val="en-US" w:eastAsia="zh-CN"/>
        </w:rPr>
        <w:t>（九）覆盖公平性</w:t>
      </w:r>
      <w:bookmarkEnd w:id="55"/>
    </w:p>
    <w:p w14:paraId="2B694ED8">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二级指标“覆盖公平性”下设</w:t>
      </w:r>
      <w:r>
        <w:rPr>
          <w:rFonts w:hint="eastAsia" w:ascii="方正仿宋简体" w:hAnsi="方正仿宋简体" w:eastAsia="方正仿宋简体" w:cs="方正仿宋简体"/>
          <w:sz w:val="32"/>
          <w:szCs w:val="32"/>
          <w:highlight w:val="none"/>
          <w:lang w:val="en-US" w:eastAsia="zh-CN"/>
        </w:rPr>
        <w:t>一</w:t>
      </w:r>
      <w:r>
        <w:rPr>
          <w:rFonts w:hint="eastAsia" w:ascii="方正仿宋简体" w:hAnsi="方正仿宋简体" w:eastAsia="方正仿宋简体" w:cs="方正仿宋简体"/>
          <w:sz w:val="32"/>
          <w:szCs w:val="32"/>
          <w:highlight w:val="none"/>
        </w:rPr>
        <w:t>个三级指标：政策宣传覆盖率。</w:t>
      </w:r>
    </w:p>
    <w:p w14:paraId="024CFE91">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发放问卷调查，群众对该项政策的了解主要通过社区公告/宣传栏、电视广播、互联网、亲友推荐、医疗机构、入户通知等，政策宣传多渠道灵活多样宣传；宣传范围覆盖全县各乡镇政策实施区域，宣传覆盖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w:t>
      </w:r>
    </w:p>
    <w:p w14:paraId="3F8FEB8D">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 xml:space="preserve">分，得分为 </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 xml:space="preserve"> 分。</w:t>
      </w:r>
    </w:p>
    <w:p w14:paraId="31245E0C">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6" w:name="_Toc24965"/>
      <w:r>
        <w:rPr>
          <w:rFonts w:hint="eastAsia" w:ascii="方正楷体简体" w:hAnsi="方正楷体简体" w:eastAsia="方正楷体简体" w:cs="方正楷体简体"/>
          <w:sz w:val="32"/>
          <w:szCs w:val="32"/>
          <w:highlight w:val="none"/>
          <w:lang w:val="en-US" w:eastAsia="zh-CN"/>
        </w:rPr>
        <w:t>（十）标准公平性</w:t>
      </w:r>
      <w:bookmarkEnd w:id="56"/>
    </w:p>
    <w:p w14:paraId="16BF6D5D">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二级指标“标准公平性”下设一个三级指标：实际执行标准合理性。</w:t>
      </w:r>
    </w:p>
    <w:p w14:paraId="16791F9E">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评价组于</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月对政策受益对象进行宣传度调查，通过问卷调查回收情况，</w:t>
      </w:r>
      <w:r>
        <w:rPr>
          <w:rFonts w:hint="eastAsia" w:ascii="方正仿宋简体" w:hAnsi="方正仿宋简体" w:eastAsia="方正仿宋简体" w:cs="方正仿宋简体"/>
          <w:sz w:val="32"/>
          <w:szCs w:val="32"/>
          <w:highlight w:val="none"/>
          <w:lang w:val="en-US" w:eastAsia="zh-CN"/>
        </w:rPr>
        <w:t>共计发放问卷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收回有效问卷</w:t>
      </w:r>
      <w:r>
        <w:rPr>
          <w:rFonts w:hint="default" w:ascii="Times New Roman" w:hAnsi="Times New Roman" w:eastAsia="方正仿宋简体" w:cs="Times New Roman"/>
          <w:sz w:val="32"/>
          <w:szCs w:val="32"/>
          <w:highlight w:val="none"/>
        </w:rPr>
        <w:t>11</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份，其中接受宣传的人数</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rPr>
        <w:t>人</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政策宣传覆盖率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w:t>
      </w:r>
    </w:p>
    <w:p w14:paraId="7DCEA968">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24380667">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7" w:name="_Toc7587"/>
      <w:r>
        <w:rPr>
          <w:rFonts w:hint="eastAsia" w:ascii="方正楷体简体" w:hAnsi="方正楷体简体" w:eastAsia="方正楷体简体" w:cs="方正楷体简体"/>
          <w:sz w:val="32"/>
          <w:szCs w:val="32"/>
          <w:highlight w:val="none"/>
          <w:lang w:val="en-US" w:eastAsia="zh-CN"/>
        </w:rPr>
        <w:t>（十一）资金使用</w:t>
      </w:r>
      <w:bookmarkEnd w:id="57"/>
    </w:p>
    <w:p w14:paraId="3923B7C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二级指标“资金使用”下设三级指标：资金使用率。</w:t>
      </w:r>
    </w:p>
    <w:p w14:paraId="714E251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根据资金文件，</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年共计下达基本公共卫生服务政策资金</w:t>
      </w:r>
      <w:r>
        <w:rPr>
          <w:rFonts w:hint="default" w:ascii="Times New Roman" w:hAnsi="Times New Roman" w:eastAsia="方正仿宋简体" w:cs="Times New Roman"/>
          <w:sz w:val="32"/>
          <w:szCs w:val="32"/>
          <w:highlight w:val="none"/>
        </w:rPr>
        <w:t>855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96</w:t>
      </w:r>
      <w:r>
        <w:rPr>
          <w:rFonts w:hint="eastAsia" w:ascii="方正仿宋简体" w:hAnsi="方正仿宋简体" w:eastAsia="方正仿宋简体" w:cs="方正仿宋简体"/>
          <w:sz w:val="32"/>
          <w:szCs w:val="32"/>
          <w:highlight w:val="none"/>
        </w:rPr>
        <w:t>万元，结合县卫健局可执行指标执行情况表，基本公共卫生服务预算数</w:t>
      </w:r>
      <w:r>
        <w:rPr>
          <w:rFonts w:hint="default" w:ascii="Times New Roman" w:hAnsi="Times New Roman" w:eastAsia="方正仿宋简体" w:cs="Times New Roman"/>
          <w:sz w:val="32"/>
          <w:szCs w:val="32"/>
          <w:highlight w:val="none"/>
        </w:rPr>
        <w:t>764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32</w:t>
      </w:r>
      <w:r>
        <w:rPr>
          <w:rFonts w:hint="eastAsia" w:ascii="方正仿宋简体" w:hAnsi="方正仿宋简体" w:eastAsia="方正仿宋简体" w:cs="方正仿宋简体"/>
          <w:sz w:val="32"/>
          <w:szCs w:val="32"/>
          <w:highlight w:val="none"/>
        </w:rPr>
        <w:t>万元，实际支出</w:t>
      </w:r>
      <w:r>
        <w:rPr>
          <w:rFonts w:hint="default" w:ascii="Times New Roman" w:hAnsi="Times New Roman" w:eastAsia="方正仿宋简体" w:cs="Times New Roman"/>
          <w:sz w:val="32"/>
          <w:szCs w:val="32"/>
          <w:highlight w:val="none"/>
        </w:rPr>
        <w:t>737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万元。资金使用率</w:t>
      </w:r>
      <w:r>
        <w:rPr>
          <w:rFonts w:hint="default" w:ascii="Times New Roman" w:hAnsi="Times New Roman" w:eastAsia="方正仿宋简体" w:cs="Times New Roman"/>
          <w:sz w:val="32"/>
          <w:szCs w:val="32"/>
          <w:highlight w:val="none"/>
        </w:rPr>
        <w:t>96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w:t>
      </w:r>
    </w:p>
    <w:p w14:paraId="7FC17504">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86</w:t>
      </w:r>
      <w:r>
        <w:rPr>
          <w:rFonts w:hint="eastAsia" w:ascii="方正仿宋简体" w:hAnsi="方正仿宋简体" w:eastAsia="方正仿宋简体" w:cs="方正仿宋简体"/>
          <w:sz w:val="32"/>
          <w:szCs w:val="32"/>
          <w:highlight w:val="none"/>
        </w:rPr>
        <w:t>分。</w:t>
      </w:r>
    </w:p>
    <w:p w14:paraId="53CD5BD6">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8" w:name="_Toc30906"/>
      <w:r>
        <w:rPr>
          <w:rFonts w:hint="eastAsia" w:ascii="方正楷体简体" w:hAnsi="方正楷体简体" w:eastAsia="方正楷体简体" w:cs="方正楷体简体"/>
          <w:sz w:val="32"/>
          <w:szCs w:val="32"/>
          <w:highlight w:val="none"/>
          <w:lang w:val="en-US" w:eastAsia="zh-CN"/>
        </w:rPr>
        <w:t>（十二）任务完成</w:t>
      </w:r>
      <w:bookmarkEnd w:id="58"/>
    </w:p>
    <w:p w14:paraId="136B7F45">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二级指标“任务完成”下设一个三级指标：任务完成率。</w:t>
      </w:r>
    </w:p>
    <w:p w14:paraId="18025427">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eastAsia="zh-CN"/>
        </w:rPr>
        <w:t>根据泸定县疾病预防控制中心职业病防治、泸定县冷碛镇中心卫生院老年健康与医养结合服务绩效目标申报表，涉及数量指标</w:t>
      </w:r>
      <w:r>
        <w:rPr>
          <w:rFonts w:hint="default" w:ascii="Times New Roman" w:hAnsi="Times New Roman" w:eastAsia="方正仿宋简体" w:cs="Times New Roman"/>
          <w:sz w:val="32"/>
          <w:szCs w:val="32"/>
          <w:highlight w:val="none"/>
          <w:lang w:eastAsia="zh-CN"/>
        </w:rPr>
        <w:t>4</w:t>
      </w:r>
      <w:r>
        <w:rPr>
          <w:rFonts w:hint="eastAsia" w:ascii="方正仿宋简体" w:hAnsi="方正仿宋简体" w:eastAsia="方正仿宋简体" w:cs="方正仿宋简体"/>
          <w:sz w:val="32"/>
          <w:szCs w:val="32"/>
          <w:highlight w:val="none"/>
          <w:lang w:eastAsia="zh-CN"/>
        </w:rPr>
        <w:t>个，实际完成指标</w:t>
      </w:r>
      <w:r>
        <w:rPr>
          <w:rFonts w:hint="default" w:ascii="Times New Roman" w:hAnsi="Times New Roman" w:eastAsia="方正仿宋简体" w:cs="Times New Roman"/>
          <w:sz w:val="32"/>
          <w:szCs w:val="32"/>
          <w:highlight w:val="none"/>
          <w:lang w:eastAsia="zh-CN"/>
        </w:rPr>
        <w:t>4</w:t>
      </w:r>
      <w:r>
        <w:rPr>
          <w:rFonts w:hint="eastAsia" w:ascii="方正仿宋简体" w:hAnsi="方正仿宋简体" w:eastAsia="方正仿宋简体" w:cs="方正仿宋简体"/>
          <w:sz w:val="32"/>
          <w:szCs w:val="32"/>
          <w:highlight w:val="none"/>
          <w:lang w:eastAsia="zh-CN"/>
        </w:rPr>
        <w:t>个。</w:t>
      </w:r>
      <w:r>
        <w:rPr>
          <w:rFonts w:hint="eastAsia" w:ascii="方正仿宋简体" w:hAnsi="方正仿宋简体" w:eastAsia="方正仿宋简体" w:cs="方正仿宋简体"/>
          <w:sz w:val="32"/>
          <w:szCs w:val="32"/>
          <w:highlight w:val="none"/>
          <w:lang w:val="en-US" w:eastAsia="zh-CN"/>
        </w:rPr>
        <w:t>另根据</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21</w:t>
      </w:r>
      <w:r>
        <w:rPr>
          <w:rFonts w:hint="eastAsia" w:ascii="方正仿宋简体" w:hAnsi="方正仿宋简体" w:eastAsia="方正仿宋简体" w:cs="方正仿宋简体"/>
          <w:sz w:val="32"/>
          <w:szCs w:val="32"/>
          <w:highlight w:val="none"/>
          <w:lang w:val="en-US" w:eastAsia="zh-CN"/>
        </w:rPr>
        <w:t>日《泸定县卫生健康局关于印发〈</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年泸定县失能老年人“健康敲门行动”实施方案〉的通知》（泸卫发〔</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lang w:val="en-US" w:eastAsia="zh-CN"/>
        </w:rPr>
        <w:t>号）文件，泸定县卫生健康局通知县属各医疗机构、局机关相关股室按照“个人申请、村级初审、机构审核、县（市）备案”的流程进行。凡愿意接受上门健康服务的失能老年人，由本人或其监护人向居住地村（社区）提出申请，村（社区）初审后报当地基层医疗卫生机构审核，基层医疗卫生机构审核后将符合条件的失能老年人报县（市）卫生健康局备案，结合本政策绩效目标申报，要求</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月之前完成本政策所有项目实施，实际政策任务未按照目标申报在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月之前完成，实施完成时间缓慢。</w:t>
      </w:r>
    </w:p>
    <w:p w14:paraId="78EC38B8">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0882017">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9" w:name="_Toc32398"/>
      <w:r>
        <w:rPr>
          <w:rFonts w:hint="eastAsia" w:ascii="方正楷体简体" w:hAnsi="方正楷体简体" w:eastAsia="方正楷体简体" w:cs="方正楷体简体"/>
          <w:sz w:val="32"/>
          <w:szCs w:val="32"/>
          <w:highlight w:val="none"/>
          <w:lang w:val="en-US" w:eastAsia="zh-CN"/>
        </w:rPr>
        <w:t>（十三）社会效益</w:t>
      </w:r>
      <w:bookmarkEnd w:id="59"/>
    </w:p>
    <w:p w14:paraId="4F12BB9E">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二级指标“社会效益”下设两个三级指标：政策内容知晓度和自然灾害生活救助资金补助政策补偿度。</w:t>
      </w:r>
    </w:p>
    <w:p w14:paraId="4AAFBAE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.政策内容知晓度</w:t>
      </w:r>
    </w:p>
    <w:p w14:paraId="54386BC1">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评价组于</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月对政策受益对象进行满意度调查，通过问卷调查回收情况，</w:t>
      </w:r>
      <w:r>
        <w:rPr>
          <w:rFonts w:hint="eastAsia" w:ascii="方正仿宋简体" w:hAnsi="方正仿宋简体" w:eastAsia="方正仿宋简体" w:cs="方正仿宋简体"/>
          <w:sz w:val="32"/>
          <w:szCs w:val="32"/>
          <w:highlight w:val="none"/>
          <w:lang w:val="en-US" w:eastAsia="zh-CN"/>
        </w:rPr>
        <w:t>共计发放问卷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收回有效问卷</w:t>
      </w:r>
      <w:r>
        <w:rPr>
          <w:rFonts w:hint="default" w:ascii="Times New Roman" w:hAnsi="Times New Roman" w:eastAsia="方正仿宋简体" w:cs="Times New Roman"/>
          <w:sz w:val="32"/>
          <w:szCs w:val="32"/>
          <w:highlight w:val="none"/>
        </w:rPr>
        <w:t>11</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份，其中回答知晓补助政策内容的</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rPr>
        <w:t>人，政策内容知晓度</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w:t>
      </w:r>
    </w:p>
    <w:p w14:paraId="6E3B5A11">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38A65619">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 xml:space="preserve">.基本公共卫生服务政策补偿度    </w:t>
      </w:r>
    </w:p>
    <w:p w14:paraId="6E4B07DB">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评价组于</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月对政策受益对象进行满意度调查，通过问卷调查回收情况，</w:t>
      </w:r>
      <w:r>
        <w:rPr>
          <w:rFonts w:hint="eastAsia" w:ascii="方正仿宋简体" w:hAnsi="方正仿宋简体" w:eastAsia="方正仿宋简体" w:cs="方正仿宋简体"/>
          <w:sz w:val="32"/>
          <w:szCs w:val="32"/>
          <w:highlight w:val="none"/>
          <w:lang w:val="en-US" w:eastAsia="zh-CN"/>
        </w:rPr>
        <w:t>共计发放问卷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收回有效问卷</w:t>
      </w:r>
      <w:r>
        <w:rPr>
          <w:rFonts w:hint="default" w:ascii="Times New Roman" w:hAnsi="Times New Roman" w:eastAsia="方正仿宋简体" w:cs="Times New Roman"/>
          <w:sz w:val="32"/>
          <w:szCs w:val="32"/>
          <w:highlight w:val="none"/>
        </w:rPr>
        <w:t>11</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份，受益对象对该项政策补偿程度的直观感受回答非常满意的</w:t>
      </w:r>
      <w:r>
        <w:rPr>
          <w:rFonts w:hint="default" w:ascii="Times New Roman" w:hAnsi="Times New Roman" w:eastAsia="方正仿宋简体" w:cs="Times New Roman"/>
          <w:sz w:val="32"/>
          <w:szCs w:val="32"/>
          <w:highlight w:val="none"/>
        </w:rPr>
        <w:t>6</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人，比较满意的</w:t>
      </w:r>
      <w:r>
        <w:rPr>
          <w:rFonts w:hint="default" w:ascii="Times New Roman" w:hAnsi="Times New Roman" w:eastAsia="方正仿宋简体" w:cs="Times New Roman"/>
          <w:sz w:val="32"/>
          <w:szCs w:val="32"/>
          <w:highlight w:val="none"/>
        </w:rPr>
        <w:t>4</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人，综合补偿度</w:t>
      </w:r>
      <w:r>
        <w:rPr>
          <w:rFonts w:hint="default" w:ascii="Times New Roman" w:hAnsi="Times New Roman" w:eastAsia="方正仿宋简体" w:cs="Times New Roman"/>
          <w:sz w:val="32"/>
          <w:szCs w:val="32"/>
          <w:highlight w:val="none"/>
        </w:rPr>
        <w:t>8</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39</w:t>
      </w:r>
      <w:r>
        <w:rPr>
          <w:rFonts w:hint="default" w:ascii="Times New Roman" w:hAnsi="Times New Roman" w:eastAsia="方正仿宋简体" w:cs="Times New Roman"/>
          <w:sz w:val="32"/>
          <w:szCs w:val="32"/>
          <w:highlight w:val="none"/>
        </w:rPr>
        <w:t>%</w:t>
      </w:r>
      <w:r>
        <w:rPr>
          <w:rFonts w:hint="eastAsia" w:ascii="方正仿宋简体" w:hAnsi="方正仿宋简体" w:eastAsia="方正仿宋简体" w:cs="方正仿宋简体"/>
          <w:sz w:val="32"/>
          <w:szCs w:val="32"/>
          <w:highlight w:val="none"/>
        </w:rPr>
        <w:t>。</w:t>
      </w:r>
    </w:p>
    <w:p w14:paraId="2C0F1A80">
      <w:pPr>
        <w:keepNext w:val="0"/>
        <w:keepLines w:val="0"/>
        <w:pageBreakBefore w:val="0"/>
        <w:kinsoku/>
        <w:wordWrap/>
        <w:overflowPunct/>
        <w:autoSpaceDE/>
        <w:autoSpaceDN/>
        <w:bidi w:val="0"/>
        <w:adjustRightInd w:val="0"/>
        <w:snapToGrid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分。</w:t>
      </w:r>
    </w:p>
    <w:p w14:paraId="63B332E3">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75</w:t>
      </w:r>
      <w:r>
        <w:rPr>
          <w:rFonts w:hint="eastAsia" w:ascii="方正仿宋简体" w:hAnsi="方正仿宋简体" w:eastAsia="方正仿宋简体" w:cs="方正仿宋简体"/>
          <w:sz w:val="32"/>
          <w:szCs w:val="32"/>
          <w:highlight w:val="none"/>
        </w:rPr>
        <w:t>分。</w:t>
      </w:r>
    </w:p>
    <w:p w14:paraId="41F80AE2">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0" w:name="_Toc6009"/>
      <w:r>
        <w:rPr>
          <w:rFonts w:hint="eastAsia" w:ascii="方正楷体简体" w:hAnsi="方正楷体简体" w:eastAsia="方正楷体简体" w:cs="方正楷体简体"/>
          <w:sz w:val="32"/>
          <w:szCs w:val="32"/>
          <w:highlight w:val="none"/>
          <w:lang w:val="en-US" w:eastAsia="zh-CN"/>
        </w:rPr>
        <w:t>（十四）满意度</w:t>
      </w:r>
      <w:bookmarkEnd w:id="60"/>
    </w:p>
    <w:p w14:paraId="530B3C3C">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二级指标“满意度”下设三级指标受益对象满意度。</w:t>
      </w:r>
    </w:p>
    <w:p w14:paraId="5C22DE8F">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评价组于</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月对政策受益对象进行满意度调查，通过问卷调查回收情况，</w:t>
      </w:r>
      <w:r>
        <w:rPr>
          <w:rFonts w:hint="eastAsia" w:ascii="方正仿宋简体" w:hAnsi="方正仿宋简体" w:eastAsia="方正仿宋简体" w:cs="方正仿宋简体"/>
          <w:sz w:val="32"/>
          <w:szCs w:val="32"/>
          <w:highlight w:val="none"/>
          <w:lang w:val="en-US" w:eastAsia="zh-CN"/>
        </w:rPr>
        <w:t>共计发放问卷</w:t>
      </w:r>
      <w:r>
        <w:rPr>
          <w:rFonts w:hint="default" w:ascii="Times New Roman" w:hAnsi="Times New Roman" w:eastAsia="方正仿宋简体" w:cs="Times New Roman"/>
          <w:sz w:val="32"/>
          <w:szCs w:val="32"/>
          <w:highlight w:val="none"/>
          <w:lang w:val="en-US" w:eastAsia="zh-CN"/>
        </w:rPr>
        <w:t>119</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rPr>
        <w:t>收回有效问卷</w:t>
      </w:r>
      <w:r>
        <w:rPr>
          <w:rFonts w:hint="default" w:ascii="Times New Roman" w:hAnsi="Times New Roman" w:eastAsia="方正仿宋简体" w:cs="Times New Roman"/>
          <w:sz w:val="32"/>
          <w:szCs w:val="32"/>
          <w:highlight w:val="none"/>
        </w:rPr>
        <w:t>11</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份，其中填写非常满意</w:t>
      </w:r>
      <w:r>
        <w:rPr>
          <w:rFonts w:hint="default" w:ascii="Times New Roman" w:hAnsi="Times New Roman" w:eastAsia="方正仿宋简体" w:cs="Times New Roman"/>
          <w:sz w:val="32"/>
          <w:szCs w:val="32"/>
          <w:highlight w:val="none"/>
          <w:lang w:val="en-US" w:eastAsia="zh-CN"/>
        </w:rPr>
        <w:t>62</w:t>
      </w:r>
      <w:r>
        <w:rPr>
          <w:rFonts w:hint="eastAsia" w:ascii="方正仿宋简体" w:hAnsi="方正仿宋简体" w:eastAsia="方正仿宋简体" w:cs="方正仿宋简体"/>
          <w:sz w:val="32"/>
          <w:szCs w:val="32"/>
          <w:highlight w:val="none"/>
        </w:rPr>
        <w:t>人，比较满意</w:t>
      </w:r>
      <w:r>
        <w:rPr>
          <w:rFonts w:hint="default" w:ascii="Times New Roman" w:hAnsi="Times New Roman" w:eastAsia="方正仿宋简体" w:cs="Times New Roman"/>
          <w:sz w:val="32"/>
          <w:szCs w:val="32"/>
          <w:highlight w:val="none"/>
        </w:rPr>
        <w:t>42</w:t>
      </w:r>
      <w:r>
        <w:rPr>
          <w:rFonts w:hint="eastAsia" w:ascii="方正仿宋简体" w:hAnsi="方正仿宋简体" w:eastAsia="方正仿宋简体" w:cs="方正仿宋简体"/>
          <w:sz w:val="32"/>
          <w:szCs w:val="32"/>
          <w:highlight w:val="none"/>
        </w:rPr>
        <w:t>人，综合满意度</w:t>
      </w:r>
      <w:r>
        <w:rPr>
          <w:rFonts w:hint="default" w:ascii="Times New Roman" w:hAnsi="Times New Roman" w:eastAsia="方正仿宋简体" w:cs="Times New Roman"/>
          <w:sz w:val="32"/>
          <w:szCs w:val="32"/>
          <w:highlight w:val="none"/>
        </w:rPr>
        <w:t>87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3</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rPr>
        <w:t>。</w:t>
      </w:r>
    </w:p>
    <w:p w14:paraId="1FCDE2FA">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1E581908">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61" w:name="_Toc15985"/>
      <w:r>
        <w:rPr>
          <w:rFonts w:hint="eastAsia" w:ascii="方正黑体简体" w:hAnsi="方正黑体简体" w:eastAsia="方正黑体简体" w:cs="方正黑体简体"/>
          <w:color w:val="auto"/>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auto"/>
          <w:kern w:val="0"/>
          <w:sz w:val="32"/>
          <w:szCs w:val="32"/>
          <w:highlight w:val="none"/>
          <w:shd w:val="clear" w:color="auto" w:fill="FFFFFF"/>
        </w:rPr>
        <w:t>、存在的主要问题</w:t>
      </w:r>
      <w:bookmarkEnd w:id="61"/>
    </w:p>
    <w:p w14:paraId="2F9C3A4D">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2" w:name="_Toc24972"/>
      <w:r>
        <w:rPr>
          <w:rFonts w:hint="eastAsia" w:ascii="方正楷体简体" w:hAnsi="方正楷体简体" w:eastAsia="方正楷体简体" w:cs="方正楷体简体"/>
          <w:sz w:val="32"/>
          <w:szCs w:val="32"/>
          <w:highlight w:val="none"/>
          <w:lang w:val="en-US" w:eastAsia="zh-CN"/>
        </w:rPr>
        <w:t>（一）绩效目标设置不合理</w:t>
      </w:r>
      <w:bookmarkEnd w:id="62"/>
    </w:p>
    <w:p w14:paraId="69773A40">
      <w:pPr>
        <w:keepNext w:val="0"/>
        <w:keepLines w:val="0"/>
        <w:pageBreakBefore w:val="0"/>
        <w:kinsoku/>
        <w:wordWrap/>
        <w:overflowPunct/>
        <w:autoSpaceDE/>
        <w:autoSpaceDN/>
        <w:bidi w:val="0"/>
        <w:spacing w:line="600" w:lineRule="exact"/>
        <w:ind w:left="0" w:leftChars="0" w:right="0" w:firstLine="646" w:firstLineChars="202"/>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根据县卫健局提供泸定县疾病预防控制中心职业病防治、泸定县冷碛镇中心卫生院老年健康与医养结合服务绩效目标申报表，指标设置均涵盖数量、质量、时效、成本、效益以及满意度指标，</w:t>
      </w:r>
      <w:r>
        <w:rPr>
          <w:rFonts w:hint="eastAsia" w:ascii="方正仿宋简体" w:hAnsi="方正仿宋简体" w:eastAsia="方正仿宋简体" w:cs="方正仿宋简体"/>
          <w:sz w:val="32"/>
          <w:szCs w:val="32"/>
          <w:highlight w:val="none"/>
          <w:lang w:val="fr-FR" w:eastAsia="zh-CN"/>
        </w:rPr>
        <w:t>绩效目标设定较科学合理、可衡量，符合实际需求，但也存在个别指标设置不合理的情况。</w:t>
      </w:r>
      <w:r>
        <w:rPr>
          <w:rFonts w:hint="eastAsia" w:ascii="方正仿宋简体" w:hAnsi="方正仿宋简体" w:eastAsia="方正仿宋简体" w:cs="方正仿宋简体"/>
          <w:sz w:val="32"/>
          <w:szCs w:val="32"/>
          <w:highlight w:val="none"/>
          <w:lang w:val="en-US" w:eastAsia="zh-CN"/>
        </w:rPr>
        <w:t>具体表现为：三级指标与二级指标不匹配，</w:t>
      </w:r>
      <w:r>
        <w:rPr>
          <w:rFonts w:hint="eastAsia" w:ascii="方正仿宋简体" w:hAnsi="方正仿宋简体" w:eastAsia="方正仿宋简体" w:cs="方正仿宋简体"/>
          <w:sz w:val="32"/>
          <w:szCs w:val="32"/>
          <w:highlight w:val="none"/>
        </w:rPr>
        <w:t>社会效益指标</w:t>
      </w:r>
      <w:r>
        <w:rPr>
          <w:rFonts w:hint="eastAsia" w:ascii="方正仿宋简体" w:hAnsi="方正仿宋简体" w:eastAsia="方正仿宋简体" w:cs="方正仿宋简体"/>
          <w:sz w:val="32"/>
          <w:szCs w:val="32"/>
          <w:highlight w:val="none"/>
          <w:lang w:val="en-US" w:eastAsia="zh-CN"/>
        </w:rPr>
        <w:t>三级指标</w:t>
      </w:r>
      <w:r>
        <w:rPr>
          <w:rFonts w:hint="eastAsia" w:ascii="方正仿宋简体" w:hAnsi="方正仿宋简体" w:eastAsia="方正仿宋简体" w:cs="方正仿宋简体"/>
          <w:sz w:val="32"/>
          <w:szCs w:val="32"/>
          <w:highlight w:val="none"/>
        </w:rPr>
        <w:t>“绩效自评时间</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eastAsia" w:ascii="方正仿宋简体" w:hAnsi="方正仿宋简体" w:eastAsia="方正仿宋简体" w:cs="方正仿宋简体"/>
          <w:sz w:val="32"/>
          <w:szCs w:val="32"/>
          <w:highlight w:val="none"/>
          <w:lang w:val="en-US" w:eastAsia="zh-CN"/>
        </w:rPr>
        <w:t>该指标与</w:t>
      </w:r>
      <w:r>
        <w:rPr>
          <w:rFonts w:hint="eastAsia" w:ascii="方正仿宋简体" w:hAnsi="方正仿宋简体" w:eastAsia="方正仿宋简体" w:cs="方正仿宋简体"/>
          <w:sz w:val="32"/>
          <w:szCs w:val="32"/>
          <w:highlight w:val="none"/>
        </w:rPr>
        <w:t>社会效益指标</w:t>
      </w:r>
      <w:r>
        <w:rPr>
          <w:rFonts w:hint="eastAsia" w:ascii="方正仿宋简体" w:hAnsi="方正仿宋简体" w:eastAsia="方正仿宋简体" w:cs="方正仿宋简体"/>
          <w:sz w:val="32"/>
          <w:szCs w:val="32"/>
          <w:highlight w:val="none"/>
          <w:lang w:val="en-US" w:eastAsia="zh-CN"/>
        </w:rPr>
        <w:t>不匹配，应为时效指标</w:t>
      </w:r>
      <w:r>
        <w:rPr>
          <w:rFonts w:hint="eastAsia" w:ascii="方正仿宋简体" w:hAnsi="方正仿宋简体" w:eastAsia="方正仿宋简体" w:cs="方正仿宋简体"/>
          <w:sz w:val="32"/>
          <w:szCs w:val="32"/>
          <w:highlight w:val="none"/>
        </w:rPr>
        <w:t>。</w:t>
      </w:r>
    </w:p>
    <w:p w14:paraId="5C3D4F5E">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3" w:name="_Toc10401"/>
      <w:r>
        <w:rPr>
          <w:rFonts w:hint="eastAsia" w:ascii="方正楷体简体" w:hAnsi="方正楷体简体" w:eastAsia="方正楷体简体" w:cs="方正楷体简体"/>
          <w:sz w:val="32"/>
          <w:szCs w:val="32"/>
          <w:highlight w:val="none"/>
          <w:lang w:val="en-US" w:eastAsia="zh-CN"/>
        </w:rPr>
        <w:t>（二）制度建设不够完善</w:t>
      </w:r>
      <w:bookmarkEnd w:id="63"/>
    </w:p>
    <w:p w14:paraId="77821ACB">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县卫健局</w:t>
      </w:r>
      <w:r>
        <w:rPr>
          <w:rFonts w:hint="eastAsia" w:ascii="方正仿宋简体" w:hAnsi="方正仿宋简体" w:eastAsia="方正仿宋简体" w:cs="方正仿宋简体"/>
          <w:sz w:val="32"/>
          <w:szCs w:val="32"/>
          <w:highlight w:val="none"/>
          <w:lang w:val="en-US" w:eastAsia="zh-CN"/>
        </w:rPr>
        <w:t>应</w:t>
      </w:r>
      <w:r>
        <w:rPr>
          <w:rFonts w:hint="eastAsia" w:ascii="方正仿宋简体" w:hAnsi="方正仿宋简体" w:eastAsia="方正仿宋简体" w:cs="方正仿宋简体"/>
          <w:sz w:val="32"/>
          <w:szCs w:val="32"/>
          <w:highlight w:val="none"/>
          <w:lang w:eastAsia="zh-CN"/>
        </w:rPr>
        <w:t>根据《四川省基本公共卫生服务补助资金管理办法》执行该项政策，管理办法</w:t>
      </w:r>
      <w:r>
        <w:rPr>
          <w:rFonts w:hint="eastAsia" w:ascii="方正仿宋简体" w:hAnsi="方正仿宋简体" w:eastAsia="方正仿宋简体" w:cs="方正仿宋简体"/>
          <w:sz w:val="32"/>
          <w:szCs w:val="32"/>
          <w:highlight w:val="none"/>
          <w:lang w:val="en-US" w:eastAsia="zh-CN"/>
        </w:rPr>
        <w:t>仅</w:t>
      </w:r>
      <w:r>
        <w:rPr>
          <w:rFonts w:hint="eastAsia" w:ascii="方正仿宋简体" w:hAnsi="方正仿宋简体" w:eastAsia="方正仿宋简体" w:cs="方正仿宋简体"/>
          <w:sz w:val="32"/>
          <w:szCs w:val="32"/>
          <w:highlight w:val="none"/>
          <w:lang w:eastAsia="zh-CN"/>
        </w:rPr>
        <w:t>明确了资金使用范围，但是未根据“各级财政部门、卫生健康部门以及转移支付具体使用单位，要按照财政预算和国库管理有关规定，制定资金管理办法，加强补助资金管理，规范预算执行管理。”的要求制定适用的制度，如责任主体，职责分工、资金如何使用等，</w:t>
      </w:r>
      <w:r>
        <w:rPr>
          <w:rFonts w:hint="eastAsia" w:ascii="方正仿宋简体" w:hAnsi="方正仿宋简体" w:eastAsia="方正仿宋简体" w:cs="方正仿宋简体"/>
          <w:sz w:val="32"/>
          <w:szCs w:val="32"/>
          <w:highlight w:val="none"/>
          <w:lang w:val="en-US" w:eastAsia="zh-CN"/>
        </w:rPr>
        <w:t>相关</w:t>
      </w:r>
      <w:r>
        <w:rPr>
          <w:rFonts w:hint="eastAsia" w:ascii="方正仿宋简体" w:hAnsi="方正仿宋简体" w:eastAsia="方正仿宋简体" w:cs="方正仿宋简体"/>
          <w:sz w:val="32"/>
          <w:szCs w:val="32"/>
          <w:highlight w:val="none"/>
          <w:lang w:eastAsia="zh-CN"/>
        </w:rPr>
        <w:t>档案管理制度需进一步完善</w:t>
      </w:r>
      <w:r>
        <w:rPr>
          <w:rFonts w:hint="eastAsia" w:ascii="方正仿宋简体" w:hAnsi="方正仿宋简体" w:eastAsia="方正仿宋简体" w:cs="方正仿宋简体"/>
          <w:sz w:val="32"/>
          <w:szCs w:val="32"/>
          <w:highlight w:val="none"/>
        </w:rPr>
        <w:t>。</w:t>
      </w:r>
    </w:p>
    <w:p w14:paraId="563D82EE">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（三）政策管理效率与资金执行效率缓慢</w:t>
      </w:r>
    </w:p>
    <w:p w14:paraId="168A6DE9">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.根据</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21</w:t>
      </w:r>
      <w:r>
        <w:rPr>
          <w:rFonts w:hint="eastAsia" w:ascii="方正仿宋简体" w:hAnsi="方正仿宋简体" w:eastAsia="方正仿宋简体" w:cs="方正仿宋简体"/>
          <w:sz w:val="32"/>
          <w:szCs w:val="32"/>
          <w:highlight w:val="none"/>
          <w:lang w:val="en-US" w:eastAsia="zh-CN"/>
        </w:rPr>
        <w:t>日《泸定县卫生健康局关于印发〈</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年泸定县失能老年人“健康敲门行动”实施方案〉的通知》（泸卫发〔</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lang w:val="en-US" w:eastAsia="zh-CN"/>
        </w:rPr>
        <w:t>号）文件，泸定县卫生健康局通知县属各医疗机构、局机关相关股室按照“个人申请、村级初审、机构审核、县（市）备案”的流程进行。凡愿意接受上门健康服务的失能老年人，由本人或其监护人向居住地村（社区）提出申请，村（社区）初审后报当地基层医疗卫生机构审核，基层医疗卫生机构审核后将符合条件的失能老年人报县（市）卫生健康局备案，结合本政策绩效目标申报，要求</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lang w:val="en-US" w:eastAsia="zh-CN"/>
        </w:rPr>
        <w:t>月之前完成本政策所有项目实施，泸定县卫生健康局对本政策的决策高效性严重迟缓。</w:t>
      </w:r>
    </w:p>
    <w:p w14:paraId="7481A1C1">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.根据相关档案资料，按照“个人申请、村级初审、机构审核、县（市）备案”的流程进行失能老年人申请审批，对审批通过的</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人定期进行上门服务，资金下达于</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月期间，实际执行为</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11</w:t>
      </w:r>
      <w:r>
        <w:rPr>
          <w:rFonts w:hint="eastAsia" w:ascii="方正仿宋简体" w:hAnsi="方正仿宋简体" w:eastAsia="方正仿宋简体" w:cs="方正仿宋简体"/>
          <w:sz w:val="32"/>
          <w:szCs w:val="32"/>
          <w:highlight w:val="none"/>
          <w:lang w:val="en-US" w:eastAsia="zh-CN"/>
        </w:rPr>
        <w:t>月。</w:t>
      </w:r>
    </w:p>
    <w:p w14:paraId="4E5854C5">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综上，泸定县卫生健康局在政策管理效率及资金使用效率上缓慢。</w:t>
      </w:r>
    </w:p>
    <w:p w14:paraId="406AC224">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（四）政策调整机制不够及时</w:t>
      </w:r>
    </w:p>
    <w:p w14:paraId="6ABE2E08">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向泸定县卫生健康局索取了政策实施年度总结等资料，泸定县卫生健康局未根据每年政策实施结果，归纳总结政策实施的经验、不足，形成政策实施经验积累，并以此为参考，对政策相关内容、配套管理机制等进行调整和完善。</w:t>
      </w:r>
    </w:p>
    <w:p w14:paraId="02892DAA">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（五）投诉反馈机制欠缺</w:t>
      </w:r>
    </w:p>
    <w:p w14:paraId="1DD09519">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评价组审查了泸定县卫生健康局相关管理制度及询问政策投诉反馈渠道信息，发现泸定县卫生健康局未建立相关政策投诉反馈机制。</w:t>
      </w:r>
    </w:p>
    <w:p w14:paraId="251F9C04">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（六）综合满意度、政策补偿度、改善程度均不高</w:t>
      </w:r>
    </w:p>
    <w:p w14:paraId="607C53E6">
      <w:pPr>
        <w:keepNext w:val="0"/>
        <w:keepLines w:val="0"/>
        <w:pageBreakBefore w:val="0"/>
        <w:kinsoku/>
        <w:wordWrap/>
        <w:overflowPunct/>
        <w:autoSpaceDE/>
        <w:autoSpaceDN/>
        <w:bidi w:val="0"/>
        <w:spacing w:line="600" w:lineRule="exact"/>
        <w:ind w:left="0" w:leftChars="0" w:right="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评价组通过问卷调查分析，本政策在泸定县范围内实施后，受益群众反映综合满意度为</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39%</w:t>
      </w:r>
      <w:r>
        <w:rPr>
          <w:rFonts w:hint="eastAsia" w:ascii="方正仿宋简体" w:hAnsi="方正仿宋简体" w:eastAsia="方正仿宋简体" w:cs="方正仿宋简体"/>
          <w:sz w:val="32"/>
          <w:szCs w:val="32"/>
          <w:highlight w:val="none"/>
          <w:lang w:val="en-US" w:eastAsia="zh-CN"/>
        </w:rPr>
        <w:t>、政策补偿度</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39%</w:t>
      </w:r>
      <w:r>
        <w:rPr>
          <w:rFonts w:hint="eastAsia" w:ascii="方正仿宋简体" w:hAnsi="方正仿宋简体" w:eastAsia="方正仿宋简体" w:cs="方正仿宋简体"/>
          <w:sz w:val="32"/>
          <w:szCs w:val="32"/>
          <w:highlight w:val="none"/>
          <w:lang w:val="en-US" w:eastAsia="zh-CN"/>
        </w:rPr>
        <w:t>、改善程度</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39%</w:t>
      </w:r>
      <w:r>
        <w:rPr>
          <w:rFonts w:hint="eastAsia" w:ascii="方正仿宋简体" w:hAnsi="方正仿宋简体" w:eastAsia="方正仿宋简体" w:cs="方正仿宋简体"/>
          <w:sz w:val="32"/>
          <w:szCs w:val="32"/>
          <w:highlight w:val="none"/>
          <w:lang w:val="en-US" w:eastAsia="zh-CN"/>
        </w:rPr>
        <w:t>，相关综合满意度、政策补偿度、改善程度均不高。</w:t>
      </w:r>
    </w:p>
    <w:p w14:paraId="2DD137B4">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64" w:name="_Toc6370"/>
      <w:r>
        <w:rPr>
          <w:rFonts w:hint="eastAsia" w:ascii="方正黑体简体" w:hAnsi="方正黑体简体" w:eastAsia="方正黑体简体" w:cs="方正黑体简体"/>
          <w:color w:val="auto"/>
          <w:kern w:val="0"/>
          <w:sz w:val="32"/>
          <w:szCs w:val="32"/>
          <w:highlight w:val="none"/>
          <w:shd w:val="clear" w:color="auto" w:fill="FFFFFF"/>
          <w:lang w:val="en-US" w:eastAsia="zh-CN"/>
        </w:rPr>
        <w:t>七</w:t>
      </w:r>
      <w:r>
        <w:rPr>
          <w:rFonts w:hint="eastAsia" w:ascii="方正黑体简体" w:hAnsi="方正黑体简体" w:eastAsia="方正黑体简体" w:cs="方正黑体简体"/>
          <w:color w:val="auto"/>
          <w:kern w:val="0"/>
          <w:sz w:val="32"/>
          <w:szCs w:val="32"/>
          <w:highlight w:val="none"/>
          <w:shd w:val="clear" w:color="auto" w:fill="FFFFFF"/>
        </w:rPr>
        <w:t>、相关措施建议</w:t>
      </w:r>
      <w:bookmarkEnd w:id="64"/>
    </w:p>
    <w:p w14:paraId="7DF5545B">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5" w:name="_Toc13204"/>
      <w:bookmarkStart w:id="66" w:name="_Toc144757897"/>
      <w:r>
        <w:rPr>
          <w:rFonts w:hint="eastAsia" w:ascii="方正楷体简体" w:hAnsi="方正楷体简体" w:eastAsia="方正楷体简体" w:cs="方正楷体简体"/>
          <w:sz w:val="32"/>
          <w:szCs w:val="32"/>
          <w:highlight w:val="none"/>
          <w:lang w:val="en-US" w:eastAsia="zh-CN"/>
        </w:rPr>
        <w:t>（一）</w:t>
      </w:r>
      <w:bookmarkEnd w:id="65"/>
      <w:bookmarkEnd w:id="66"/>
      <w:r>
        <w:rPr>
          <w:rFonts w:hint="eastAsia" w:ascii="方正楷体简体" w:hAnsi="方正楷体简体" w:eastAsia="方正楷体简体" w:cs="方正楷体简体"/>
          <w:sz w:val="32"/>
          <w:szCs w:val="32"/>
          <w:highlight w:val="none"/>
          <w:lang w:val="en-US" w:eastAsia="zh-CN"/>
        </w:rPr>
        <w:t>针对“绩效目标设置不合理”的建议</w:t>
      </w:r>
    </w:p>
    <w:p w14:paraId="1EC1A47D">
      <w:pPr>
        <w:keepNext w:val="0"/>
        <w:keepLines w:val="0"/>
        <w:pageBreakBefore w:val="0"/>
        <w:kinsoku/>
        <w:wordWrap/>
        <w:overflowPunct/>
        <w:autoSpaceDE/>
        <w:autoSpaceDN/>
        <w:bidi w:val="0"/>
        <w:spacing w:line="600" w:lineRule="exact"/>
        <w:ind w:left="0" w:leftChars="0" w:righ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绩效目标制定是预算绩效管理的基础，也是编制部门预算、实施绩效监控、开展绩效评价的依据。建议</w:t>
      </w:r>
      <w:r>
        <w:rPr>
          <w:rFonts w:hint="eastAsia" w:ascii="方正仿宋简体" w:hAnsi="方正仿宋简体" w:eastAsia="方正仿宋简体" w:cs="方正仿宋简体"/>
          <w:sz w:val="32"/>
          <w:szCs w:val="32"/>
          <w:highlight w:val="none"/>
          <w:lang w:val="en-US" w:eastAsia="zh-CN"/>
        </w:rPr>
        <w:t>泸定县卫生健康局</w:t>
      </w:r>
      <w:r>
        <w:rPr>
          <w:rFonts w:hint="eastAsia" w:ascii="方正仿宋简体" w:hAnsi="方正仿宋简体" w:eastAsia="方正仿宋简体" w:cs="方正仿宋简体"/>
          <w:sz w:val="32"/>
          <w:szCs w:val="32"/>
          <w:highlight w:val="none"/>
        </w:rPr>
        <w:t>及政策实施单位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4DFC46C0">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7" w:name="_Toc144757898"/>
      <w:bookmarkStart w:id="68" w:name="_Toc11597"/>
      <w:r>
        <w:rPr>
          <w:rFonts w:hint="eastAsia" w:ascii="方正楷体简体" w:hAnsi="方正楷体简体" w:eastAsia="方正楷体简体" w:cs="方正楷体简体"/>
          <w:sz w:val="32"/>
          <w:szCs w:val="32"/>
          <w:highlight w:val="none"/>
          <w:lang w:val="en-US" w:eastAsia="zh-CN"/>
        </w:rPr>
        <w:t>（二）</w:t>
      </w:r>
      <w:bookmarkEnd w:id="67"/>
      <w:bookmarkEnd w:id="68"/>
      <w:r>
        <w:rPr>
          <w:rFonts w:hint="eastAsia" w:ascii="方正楷体简体" w:hAnsi="方正楷体简体" w:eastAsia="方正楷体简体" w:cs="方正楷体简体"/>
          <w:sz w:val="32"/>
          <w:szCs w:val="32"/>
          <w:highlight w:val="none"/>
          <w:lang w:val="en-US" w:eastAsia="zh-CN"/>
        </w:rPr>
        <w:t>针对“制度建设不够完善”的建议</w:t>
      </w:r>
    </w:p>
    <w:p w14:paraId="4B0982BC">
      <w:pPr>
        <w:pStyle w:val="2"/>
        <w:keepNext w:val="0"/>
        <w:keepLines w:val="0"/>
        <w:pageBreakBefore w:val="0"/>
        <w:kinsoku/>
        <w:wordWrap/>
        <w:overflowPunct/>
        <w:autoSpaceDE/>
        <w:autoSpaceDN/>
        <w:bidi w:val="0"/>
        <w:spacing w:line="600" w:lineRule="exact"/>
        <w:ind w:left="0" w:leftChars="0" w:right="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建议泸定县卫生健康局积极审查部门相关制度，针对实际业务执行中存在制度缺失情况进行统筹，补全相关制度，保障业务执行均有制度可依</w:t>
      </w:r>
      <w:r>
        <w:rPr>
          <w:rFonts w:hint="eastAsia" w:ascii="方正仿宋简体" w:hAnsi="方正仿宋简体" w:eastAsia="方正仿宋简体" w:cs="方正仿宋简体"/>
          <w:sz w:val="32"/>
          <w:szCs w:val="32"/>
          <w:highlight w:val="none"/>
        </w:rPr>
        <w:t>。</w:t>
      </w:r>
    </w:p>
    <w:p w14:paraId="4A65F871">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（三）针对“政策管理效率与资金执行效率缓慢”的建议</w:t>
      </w:r>
    </w:p>
    <w:p w14:paraId="01D47F47">
      <w:pPr>
        <w:pStyle w:val="2"/>
        <w:keepNext w:val="0"/>
        <w:keepLines w:val="0"/>
        <w:pageBreakBefore w:val="0"/>
        <w:kinsoku/>
        <w:wordWrap/>
        <w:overflowPunct/>
        <w:autoSpaceDE/>
        <w:autoSpaceDN/>
        <w:bidi w:val="0"/>
        <w:spacing w:line="600" w:lineRule="exact"/>
        <w:ind w:left="0" w:leftChars="0" w:right="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建议泸定县卫生健康局加强政策管理，从政策制定到执行，再到政策项目验收，严格控制时间效率，保障国家、省、市（州）相关政策严格按照既定时间发挥应有效益。</w:t>
      </w:r>
    </w:p>
    <w:p w14:paraId="4712CE38">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（四）针对“政策调整机制不够及时”的建议</w:t>
      </w:r>
    </w:p>
    <w:p w14:paraId="1CAD21CF">
      <w:pPr>
        <w:pStyle w:val="2"/>
        <w:keepNext w:val="0"/>
        <w:keepLines w:val="0"/>
        <w:pageBreakBefore w:val="0"/>
        <w:kinsoku/>
        <w:wordWrap/>
        <w:overflowPunct/>
        <w:autoSpaceDE/>
        <w:autoSpaceDN/>
        <w:bidi w:val="0"/>
        <w:spacing w:line="600" w:lineRule="exact"/>
        <w:ind w:left="0" w:leftChars="0" w:right="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建议泸定县卫生健康局加强政策调整机制的监管和监控，针对长期跨年度实施政策，应根据当年实施情况进行政策执行成果总结，完善不足。</w:t>
      </w:r>
    </w:p>
    <w:p w14:paraId="4DA115E1">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（五）针对“投诉反馈机制欠缺”的建议</w:t>
      </w:r>
    </w:p>
    <w:p w14:paraId="67BA76CE">
      <w:pPr>
        <w:pStyle w:val="2"/>
        <w:keepNext w:val="0"/>
        <w:keepLines w:val="0"/>
        <w:pageBreakBefore w:val="0"/>
        <w:kinsoku/>
        <w:wordWrap/>
        <w:overflowPunct/>
        <w:autoSpaceDE/>
        <w:autoSpaceDN/>
        <w:bidi w:val="0"/>
        <w:spacing w:line="600" w:lineRule="exact"/>
        <w:ind w:left="0" w:leftChars="0" w:right="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建议泸定县卫生健康局完善政策投诉反馈机制，比如在局级单位建设投诉反馈信箱、在乡镇张贴政策投诉反馈电话，及时了解政策实施后受益民众的真实感受和意愿，为政策调整提供一定的大众依据。</w:t>
      </w:r>
    </w:p>
    <w:p w14:paraId="7FA1774F">
      <w:pPr>
        <w:keepNext w:val="0"/>
        <w:keepLines w:val="0"/>
        <w:pageBreakBefore w:val="0"/>
        <w:numPr>
          <w:ilvl w:val="1"/>
          <w:numId w:val="0"/>
        </w:numPr>
        <w:kinsoku/>
        <w:wordWrap/>
        <w:overflowPunct/>
        <w:autoSpaceDE/>
        <w:autoSpaceDN/>
        <w:bidi w:val="0"/>
        <w:spacing w:line="600" w:lineRule="exact"/>
        <w:ind w:left="0" w:leftChars="0" w:right="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lang w:val="en-US" w:eastAsia="zh-CN"/>
        </w:rPr>
        <w:t>（六）针对“综合满意度、政策补偿度、改善程度均不高”的建议</w:t>
      </w:r>
    </w:p>
    <w:p w14:paraId="52189425">
      <w:pPr>
        <w:pStyle w:val="2"/>
        <w:keepNext w:val="0"/>
        <w:keepLines w:val="0"/>
        <w:pageBreakBefore w:val="0"/>
        <w:kinsoku/>
        <w:wordWrap/>
        <w:overflowPunct/>
        <w:autoSpaceDE/>
        <w:autoSpaceDN/>
        <w:bidi w:val="0"/>
        <w:spacing w:line="600" w:lineRule="exact"/>
        <w:ind w:left="0" w:leftChars="0" w:right="0"/>
        <w:rPr>
          <w:rFonts w:hint="eastAsia" w:ascii="方正仿宋简体" w:hAnsi="方正仿宋简体" w:eastAsia="方正仿宋简体" w:cs="方正仿宋简体"/>
          <w:sz w:val="32"/>
          <w:szCs w:val="32"/>
          <w:highlight w:val="none"/>
          <w:lang w:val="en-US" w:eastAsia="zh-CN"/>
        </w:rPr>
      </w:pPr>
      <w:bookmarkStart w:id="69" w:name="_Toc23585"/>
      <w:r>
        <w:rPr>
          <w:rFonts w:hint="eastAsia" w:ascii="方正仿宋简体" w:hAnsi="方正仿宋简体" w:eastAsia="方正仿宋简体" w:cs="方正仿宋简体"/>
          <w:sz w:val="32"/>
          <w:szCs w:val="32"/>
          <w:highlight w:val="none"/>
          <w:lang w:val="en-US" w:eastAsia="zh-CN"/>
        </w:rPr>
        <w:t>建议泸定县卫生健康局及时针对政策实施进行访谈或者情况抽查，充分了解政策实施后地区民众的切实感受，为后续政策实施提供历史参考依据。</w:t>
      </w:r>
    </w:p>
    <w:p w14:paraId="2C66E8B6">
      <w:pPr>
        <w:keepNext w:val="0"/>
        <w:keepLines w:val="0"/>
        <w:pageBreakBefore w:val="0"/>
        <w:widowControl/>
        <w:kinsoku/>
        <w:wordWrap/>
        <w:overflowPunct/>
        <w:autoSpaceDE/>
        <w:autoSpaceDN/>
        <w:bidi w:val="0"/>
        <w:adjustRightInd w:val="0"/>
        <w:snapToGrid w:val="0"/>
        <w:spacing w:line="600" w:lineRule="exact"/>
        <w:ind w:left="0" w:leftChars="0" w:right="0"/>
        <w:jc w:val="left"/>
        <w:rPr>
          <w:rFonts w:hint="eastAsia" w:ascii="方正仿宋简体" w:hAnsi="方正仿宋简体" w:eastAsia="方正仿宋简体" w:cs="方正仿宋简体"/>
          <w:color w:val="000000"/>
          <w:kern w:val="0"/>
          <w:sz w:val="32"/>
          <w:szCs w:val="32"/>
          <w:highlight w:val="none"/>
          <w:shd w:val="clear" w:color="auto" w:fill="FFFFFF"/>
        </w:rPr>
      </w:pPr>
    </w:p>
    <w:p w14:paraId="6BA280AD">
      <w:pPr>
        <w:keepNext w:val="0"/>
        <w:keepLines w:val="0"/>
        <w:pageBreakBefore w:val="0"/>
        <w:widowControl/>
        <w:kinsoku/>
        <w:wordWrap/>
        <w:overflowPunct/>
        <w:autoSpaceDE/>
        <w:autoSpaceDN/>
        <w:bidi w:val="0"/>
        <w:adjustRightInd w:val="0"/>
        <w:snapToGrid w:val="0"/>
        <w:spacing w:line="600" w:lineRule="exact"/>
        <w:ind w:left="0" w:leftChars="0" w:right="0" w:firstLine="640" w:firstLineChars="200"/>
        <w:jc w:val="left"/>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color w:val="000000"/>
          <w:kern w:val="0"/>
          <w:sz w:val="32"/>
          <w:szCs w:val="32"/>
          <w:highlight w:val="none"/>
          <w:shd w:val="clear" w:color="auto" w:fill="FFFFFF"/>
        </w:rPr>
        <w:t>附件</w:t>
      </w:r>
      <w:bookmarkEnd w:id="69"/>
      <w:bookmarkStart w:id="70" w:name="_Toc5975"/>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基本公共卫生服务政策</w:t>
      </w:r>
      <w:r>
        <w:rPr>
          <w:rFonts w:hint="eastAsia" w:ascii="方正仿宋简体" w:hAnsi="方正仿宋简体" w:eastAsia="方正仿宋简体" w:cs="方正仿宋简体"/>
          <w:sz w:val="32"/>
          <w:szCs w:val="32"/>
          <w:highlight w:val="none"/>
        </w:rPr>
        <w:t>绩效评价指标体系表</w:t>
      </w:r>
      <w:bookmarkEnd w:id="70"/>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评分表</w:t>
      </w:r>
      <w:r>
        <w:rPr>
          <w:rFonts w:hint="eastAsia" w:ascii="方正仿宋简体" w:hAnsi="方正仿宋简体" w:eastAsia="方正仿宋简体" w:cs="方正仿宋简体"/>
          <w:sz w:val="32"/>
          <w:szCs w:val="32"/>
          <w:highlight w:val="none"/>
          <w:lang w:eastAsia="zh-CN"/>
        </w:rPr>
        <w:t>）</w:t>
      </w:r>
    </w:p>
    <w:p w14:paraId="3797250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p>
    <w:p w14:paraId="758075B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p>
    <w:p w14:paraId="6D535A1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p>
    <w:p w14:paraId="5B4D82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bookmarkStart w:id="71" w:name="_GoBack"/>
      <w:bookmarkEnd w:id="71"/>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10ED18DE">
      <w:pPr>
        <w:pStyle w:val="11"/>
        <w:keepNext w:val="0"/>
        <w:keepLines w:val="0"/>
        <w:pageBreakBefore w:val="0"/>
        <w:kinsoku/>
        <w:wordWrap/>
        <w:overflowPunct/>
        <w:autoSpaceDE/>
        <w:autoSpaceDN/>
        <w:bidi w:val="0"/>
        <w:spacing w:before="0" w:beforeAutospacing="0" w:after="0" w:afterAutospacing="0" w:line="600" w:lineRule="exact"/>
        <w:ind w:left="0" w:leftChars="0" w:right="0"/>
        <w:jc w:val="center"/>
        <w:rPr>
          <w:rFonts w:hint="eastAsia" w:ascii="方正仿宋简体" w:hAnsi="方正仿宋简体" w:eastAsia="方正仿宋简体" w:cs="方正仿宋简体"/>
          <w:sz w:val="32"/>
          <w:szCs w:val="32"/>
          <w:highlight w:val="none"/>
        </w:rPr>
      </w:pPr>
    </w:p>
    <w:sectPr>
      <w:headerReference r:id="rId3" w:type="default"/>
      <w:footerReference r:id="rId5" w:type="default"/>
      <w:headerReference r:id="rId4" w:type="even"/>
      <w:footerReference r:id="rId6" w:type="even"/>
      <w:pgSz w:w="11906" w:h="16838"/>
      <w:pgMar w:top="2098" w:right="1531" w:bottom="1871" w:left="1531" w:header="850"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90A176A0-B238-40CE-87F7-B8A1E3D2AA4B}"/>
  </w:font>
  <w:font w:name="方正黑体简体">
    <w:panose1 w:val="03000509000000000000"/>
    <w:charset w:val="86"/>
    <w:family w:val="auto"/>
    <w:pitch w:val="default"/>
    <w:sig w:usb0="00000001" w:usb1="080E0000" w:usb2="00000000" w:usb3="00000000" w:csb0="00040000" w:csb1="00000000"/>
    <w:embedRegular r:id="rId2" w:fontKey="{40611303-925F-4343-8BC5-E27D81B22C0C}"/>
  </w:font>
  <w:font w:name="方正小标宋简体">
    <w:panose1 w:val="03000509000000000000"/>
    <w:charset w:val="86"/>
    <w:family w:val="auto"/>
    <w:pitch w:val="default"/>
    <w:sig w:usb0="00000001" w:usb1="080E0000" w:usb2="00000000" w:usb3="00000000" w:csb0="00040000" w:csb1="00000000"/>
    <w:embedRegular r:id="rId3" w:fontKey="{224672FC-276B-4805-A4EF-E0E5A64DA6A9}"/>
  </w:font>
  <w:font w:name="方正楷体简体">
    <w:panose1 w:val="02000000000000000000"/>
    <w:charset w:val="86"/>
    <w:family w:val="auto"/>
    <w:pitch w:val="default"/>
    <w:sig w:usb0="00000001" w:usb1="080E0000" w:usb2="00000000" w:usb3="00000000" w:csb0="00040000" w:csb1="00000000"/>
    <w:embedRegular r:id="rId4" w:fontKey="{B04C6ACE-86DB-4BC3-93CF-7C7BC7DB16E3}"/>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92F38">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969E78">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969E78">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E94994E">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5D20">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0DBC28">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10DBC28">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p w14:paraId="7B8077B0">
    <w:pPr>
      <w:pStyle w:val="7"/>
      <w:tabs>
        <w:tab w:val="right" w:pos="8528"/>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AC0DA">
    <w:pPr>
      <w:pStyle w:val="8"/>
      <w:pBdr>
        <w:bottom w:val="none" w:color="auto" w:sz="0" w:space="1"/>
      </w:pBdr>
      <w:jc w:val="both"/>
    </w:pPr>
    <w:r>
      <w:rPr>
        <w:rFonts w:hint="eastAsia" w:eastAsia="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383C1">
    <w:pPr>
      <w:pStyle w:val="8"/>
      <w:pBdr>
        <w:bottom w:val="none" w:color="auto" w:sz="0" w:space="1"/>
      </w:pBdr>
      <w:ind w:firstLine="420"/>
      <w:jc w:val="both"/>
      <w:rPr>
        <w:sz w:val="21"/>
        <w:szCs w:val="21"/>
      </w:rPr>
    </w:pPr>
    <w:r>
      <w:rPr>
        <w:rFonts w:hint="eastAsia" w:eastAsia="宋体"/>
      </w:rPr>
      <w:t xml:space="preserve">  </w:t>
    </w:r>
  </w:p>
  <w:p w14:paraId="1C00C875">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787AB696"/>
    <w:multiLevelType w:val="singleLevel"/>
    <w:tmpl w:val="787AB696"/>
    <w:lvl w:ilvl="0" w:tentative="0">
      <w:start w:val="1"/>
      <w:numFmt w:val="decimal"/>
      <w:suff w:val="nothing"/>
      <w:lvlText w:val="（%1）"/>
      <w:lvlJc w:val="left"/>
      <w:rPr>
        <w:rFonts w:hint="default" w:ascii="Times New Roman" w:hAnsi="Times New Roman" w:cs="Times New Roman"/>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60EFA"/>
    <w:rsid w:val="00094772"/>
    <w:rsid w:val="000A246C"/>
    <w:rsid w:val="00127F9D"/>
    <w:rsid w:val="00145CA9"/>
    <w:rsid w:val="00145DD7"/>
    <w:rsid w:val="001724D3"/>
    <w:rsid w:val="00172A27"/>
    <w:rsid w:val="001A7A5A"/>
    <w:rsid w:val="0020463E"/>
    <w:rsid w:val="00243F87"/>
    <w:rsid w:val="00287756"/>
    <w:rsid w:val="002F7B42"/>
    <w:rsid w:val="00317DCF"/>
    <w:rsid w:val="0032304E"/>
    <w:rsid w:val="003F0E80"/>
    <w:rsid w:val="003F4549"/>
    <w:rsid w:val="00415B00"/>
    <w:rsid w:val="00443DB6"/>
    <w:rsid w:val="004549BF"/>
    <w:rsid w:val="00582DA2"/>
    <w:rsid w:val="005D6DEB"/>
    <w:rsid w:val="005D7CF6"/>
    <w:rsid w:val="00646411"/>
    <w:rsid w:val="007221E5"/>
    <w:rsid w:val="007E3AAC"/>
    <w:rsid w:val="007E5CD9"/>
    <w:rsid w:val="00804DDE"/>
    <w:rsid w:val="0085646D"/>
    <w:rsid w:val="00870DA1"/>
    <w:rsid w:val="00876BAE"/>
    <w:rsid w:val="008B2190"/>
    <w:rsid w:val="008B7075"/>
    <w:rsid w:val="008E0A4F"/>
    <w:rsid w:val="00934B72"/>
    <w:rsid w:val="00947CAA"/>
    <w:rsid w:val="00984364"/>
    <w:rsid w:val="0099404B"/>
    <w:rsid w:val="00A80678"/>
    <w:rsid w:val="00AD1C0E"/>
    <w:rsid w:val="00AD64C4"/>
    <w:rsid w:val="00B07D55"/>
    <w:rsid w:val="00BC1B39"/>
    <w:rsid w:val="00BC3771"/>
    <w:rsid w:val="00BF1745"/>
    <w:rsid w:val="00C15E2B"/>
    <w:rsid w:val="00C46DF1"/>
    <w:rsid w:val="00CA7CCE"/>
    <w:rsid w:val="00CB3663"/>
    <w:rsid w:val="00CF395F"/>
    <w:rsid w:val="00D10437"/>
    <w:rsid w:val="00D21691"/>
    <w:rsid w:val="00D40684"/>
    <w:rsid w:val="00D62258"/>
    <w:rsid w:val="00E100B3"/>
    <w:rsid w:val="00E54124"/>
    <w:rsid w:val="00E605F0"/>
    <w:rsid w:val="00EC4E9D"/>
    <w:rsid w:val="00EE1A30"/>
    <w:rsid w:val="00EE3529"/>
    <w:rsid w:val="00F534D0"/>
    <w:rsid w:val="00F80E20"/>
    <w:rsid w:val="00F93B97"/>
    <w:rsid w:val="01056705"/>
    <w:rsid w:val="01AE1362"/>
    <w:rsid w:val="028212C5"/>
    <w:rsid w:val="0295277A"/>
    <w:rsid w:val="03C46413"/>
    <w:rsid w:val="04B51984"/>
    <w:rsid w:val="04E77952"/>
    <w:rsid w:val="04EB5667"/>
    <w:rsid w:val="05370DC3"/>
    <w:rsid w:val="05704583"/>
    <w:rsid w:val="060A0D89"/>
    <w:rsid w:val="06F515E9"/>
    <w:rsid w:val="074574B7"/>
    <w:rsid w:val="0815093A"/>
    <w:rsid w:val="08CA0DBA"/>
    <w:rsid w:val="0AA10A64"/>
    <w:rsid w:val="0B386398"/>
    <w:rsid w:val="0CC90B55"/>
    <w:rsid w:val="0D7C008D"/>
    <w:rsid w:val="0DA06897"/>
    <w:rsid w:val="0DF462ED"/>
    <w:rsid w:val="0E19564B"/>
    <w:rsid w:val="0E22759B"/>
    <w:rsid w:val="0E5E23AA"/>
    <w:rsid w:val="0E7F3C56"/>
    <w:rsid w:val="0EF610D2"/>
    <w:rsid w:val="0FCEE19E"/>
    <w:rsid w:val="0FEDD33C"/>
    <w:rsid w:val="10C177C0"/>
    <w:rsid w:val="10FB12CE"/>
    <w:rsid w:val="11A54F88"/>
    <w:rsid w:val="11F122C3"/>
    <w:rsid w:val="12F71BB3"/>
    <w:rsid w:val="134E407D"/>
    <w:rsid w:val="144B4CE8"/>
    <w:rsid w:val="155B04E5"/>
    <w:rsid w:val="15675126"/>
    <w:rsid w:val="15762967"/>
    <w:rsid w:val="15FF6AB8"/>
    <w:rsid w:val="16B348F3"/>
    <w:rsid w:val="16BA737C"/>
    <w:rsid w:val="17404D18"/>
    <w:rsid w:val="179E79D9"/>
    <w:rsid w:val="186A5A33"/>
    <w:rsid w:val="18A93AFC"/>
    <w:rsid w:val="18DD5A8A"/>
    <w:rsid w:val="196B6F54"/>
    <w:rsid w:val="19CD71FA"/>
    <w:rsid w:val="1A94413A"/>
    <w:rsid w:val="1AC82436"/>
    <w:rsid w:val="1B683096"/>
    <w:rsid w:val="1B8971E2"/>
    <w:rsid w:val="1BAA0BEC"/>
    <w:rsid w:val="1BDF6BC8"/>
    <w:rsid w:val="1C4B01ED"/>
    <w:rsid w:val="1C535707"/>
    <w:rsid w:val="1D4F18C5"/>
    <w:rsid w:val="1D5C6857"/>
    <w:rsid w:val="1D9A1CE4"/>
    <w:rsid w:val="1DF40F4C"/>
    <w:rsid w:val="1ED35C04"/>
    <w:rsid w:val="1ED53CDC"/>
    <w:rsid w:val="1F406C39"/>
    <w:rsid w:val="1F6B4F03"/>
    <w:rsid w:val="1FE92B41"/>
    <w:rsid w:val="1FF801FF"/>
    <w:rsid w:val="20CB7E98"/>
    <w:rsid w:val="222D5CA1"/>
    <w:rsid w:val="22405BFB"/>
    <w:rsid w:val="23F46FD7"/>
    <w:rsid w:val="24283899"/>
    <w:rsid w:val="248C4080"/>
    <w:rsid w:val="254E051B"/>
    <w:rsid w:val="257C14F2"/>
    <w:rsid w:val="262D6E6F"/>
    <w:rsid w:val="26331263"/>
    <w:rsid w:val="265058AE"/>
    <w:rsid w:val="269921EE"/>
    <w:rsid w:val="273B0505"/>
    <w:rsid w:val="277338DD"/>
    <w:rsid w:val="27FD3BF1"/>
    <w:rsid w:val="27FF4D71"/>
    <w:rsid w:val="282B56B9"/>
    <w:rsid w:val="28317601"/>
    <w:rsid w:val="28CB5EAC"/>
    <w:rsid w:val="294B0B24"/>
    <w:rsid w:val="29581F66"/>
    <w:rsid w:val="29942B89"/>
    <w:rsid w:val="2A14341E"/>
    <w:rsid w:val="2A210B04"/>
    <w:rsid w:val="2A7F945E"/>
    <w:rsid w:val="2A817549"/>
    <w:rsid w:val="2ACD2201"/>
    <w:rsid w:val="2B8F2245"/>
    <w:rsid w:val="2BBE5215"/>
    <w:rsid w:val="2BD8212D"/>
    <w:rsid w:val="2BDE4594"/>
    <w:rsid w:val="2C66157A"/>
    <w:rsid w:val="2CED406D"/>
    <w:rsid w:val="2CF33CB4"/>
    <w:rsid w:val="2D324D1A"/>
    <w:rsid w:val="2D525A3B"/>
    <w:rsid w:val="2D6319D3"/>
    <w:rsid w:val="2DA52FC1"/>
    <w:rsid w:val="2DF126AA"/>
    <w:rsid w:val="2DF91330"/>
    <w:rsid w:val="2EAB4317"/>
    <w:rsid w:val="2F3274A5"/>
    <w:rsid w:val="2F70357F"/>
    <w:rsid w:val="2F722B32"/>
    <w:rsid w:val="2FF755DD"/>
    <w:rsid w:val="3052247A"/>
    <w:rsid w:val="3090670D"/>
    <w:rsid w:val="30AC496E"/>
    <w:rsid w:val="30D4086C"/>
    <w:rsid w:val="312B48AF"/>
    <w:rsid w:val="326232CE"/>
    <w:rsid w:val="32A47AB4"/>
    <w:rsid w:val="32AA70FF"/>
    <w:rsid w:val="32AC5D7B"/>
    <w:rsid w:val="32CB27BC"/>
    <w:rsid w:val="32FC75D4"/>
    <w:rsid w:val="33D34794"/>
    <w:rsid w:val="34B42BB5"/>
    <w:rsid w:val="34C73C1C"/>
    <w:rsid w:val="36001598"/>
    <w:rsid w:val="360308FA"/>
    <w:rsid w:val="36870F62"/>
    <w:rsid w:val="369B1CB2"/>
    <w:rsid w:val="36BF54EC"/>
    <w:rsid w:val="36DC449D"/>
    <w:rsid w:val="377DC02A"/>
    <w:rsid w:val="37BB122C"/>
    <w:rsid w:val="37E36263"/>
    <w:rsid w:val="38D85C62"/>
    <w:rsid w:val="38EF3C8A"/>
    <w:rsid w:val="391FD347"/>
    <w:rsid w:val="394052BF"/>
    <w:rsid w:val="3A3949DD"/>
    <w:rsid w:val="3A5F4A38"/>
    <w:rsid w:val="3AE5274E"/>
    <w:rsid w:val="3B3522AA"/>
    <w:rsid w:val="3B3D6F96"/>
    <w:rsid w:val="3B626037"/>
    <w:rsid w:val="3B6A3F8A"/>
    <w:rsid w:val="3B6B1284"/>
    <w:rsid w:val="3BA9E31C"/>
    <w:rsid w:val="3D1F22E5"/>
    <w:rsid w:val="3D997564"/>
    <w:rsid w:val="3DE130F4"/>
    <w:rsid w:val="3E1F38A1"/>
    <w:rsid w:val="3E432DCF"/>
    <w:rsid w:val="3E7609C3"/>
    <w:rsid w:val="3E776D47"/>
    <w:rsid w:val="3E8E1632"/>
    <w:rsid w:val="3EEF2905"/>
    <w:rsid w:val="3EEF87E3"/>
    <w:rsid w:val="3F6AD8E7"/>
    <w:rsid w:val="3F9B5810"/>
    <w:rsid w:val="3FB57775"/>
    <w:rsid w:val="3FBFEC52"/>
    <w:rsid w:val="3FCF13E7"/>
    <w:rsid w:val="400D7690"/>
    <w:rsid w:val="4069560F"/>
    <w:rsid w:val="415A6585"/>
    <w:rsid w:val="41DC7289"/>
    <w:rsid w:val="41FD2ABB"/>
    <w:rsid w:val="420F4D2F"/>
    <w:rsid w:val="424C0AB3"/>
    <w:rsid w:val="425C18F8"/>
    <w:rsid w:val="427D660A"/>
    <w:rsid w:val="429A7E0D"/>
    <w:rsid w:val="42A2347D"/>
    <w:rsid w:val="43802285"/>
    <w:rsid w:val="43D2284D"/>
    <w:rsid w:val="43ED42A2"/>
    <w:rsid w:val="44865DC2"/>
    <w:rsid w:val="44A86EA6"/>
    <w:rsid w:val="44FE2B7A"/>
    <w:rsid w:val="455812EC"/>
    <w:rsid w:val="45761D23"/>
    <w:rsid w:val="459B16D3"/>
    <w:rsid w:val="462A15BD"/>
    <w:rsid w:val="46BF6F2C"/>
    <w:rsid w:val="48D56225"/>
    <w:rsid w:val="49605DAC"/>
    <w:rsid w:val="49FFC2D1"/>
    <w:rsid w:val="4A3F0AC3"/>
    <w:rsid w:val="4AFA2C7B"/>
    <w:rsid w:val="4B6B11A9"/>
    <w:rsid w:val="4BDE4024"/>
    <w:rsid w:val="4C907F6D"/>
    <w:rsid w:val="4CAE35BE"/>
    <w:rsid w:val="4D6E449B"/>
    <w:rsid w:val="4F7241B1"/>
    <w:rsid w:val="507D0BBC"/>
    <w:rsid w:val="507E6B2A"/>
    <w:rsid w:val="51290B58"/>
    <w:rsid w:val="51381763"/>
    <w:rsid w:val="52265F38"/>
    <w:rsid w:val="523C4EE9"/>
    <w:rsid w:val="52EF2BDF"/>
    <w:rsid w:val="543748C0"/>
    <w:rsid w:val="55AC2CD2"/>
    <w:rsid w:val="55B812E3"/>
    <w:rsid w:val="561A2F05"/>
    <w:rsid w:val="563D0083"/>
    <w:rsid w:val="56934204"/>
    <w:rsid w:val="56A7003A"/>
    <w:rsid w:val="56F7792F"/>
    <w:rsid w:val="575D29C4"/>
    <w:rsid w:val="577B4EF8"/>
    <w:rsid w:val="579A41D9"/>
    <w:rsid w:val="57E13BCA"/>
    <w:rsid w:val="57F939E1"/>
    <w:rsid w:val="5864421C"/>
    <w:rsid w:val="58CA26BF"/>
    <w:rsid w:val="5901172B"/>
    <w:rsid w:val="59065CB4"/>
    <w:rsid w:val="596C2DB0"/>
    <w:rsid w:val="59821BED"/>
    <w:rsid w:val="5AB4383C"/>
    <w:rsid w:val="5ABB2895"/>
    <w:rsid w:val="5B3C271A"/>
    <w:rsid w:val="5B470E11"/>
    <w:rsid w:val="5C5537BA"/>
    <w:rsid w:val="5C694A22"/>
    <w:rsid w:val="5D07484F"/>
    <w:rsid w:val="5D3C5456"/>
    <w:rsid w:val="5FDF6470"/>
    <w:rsid w:val="5FE84E0C"/>
    <w:rsid w:val="5FF4FC2B"/>
    <w:rsid w:val="5FFBCD3B"/>
    <w:rsid w:val="5FFD34BB"/>
    <w:rsid w:val="5FFE5558"/>
    <w:rsid w:val="6020741B"/>
    <w:rsid w:val="608914CC"/>
    <w:rsid w:val="60F102D1"/>
    <w:rsid w:val="615C16D6"/>
    <w:rsid w:val="61876B95"/>
    <w:rsid w:val="618A3DC3"/>
    <w:rsid w:val="627C5614"/>
    <w:rsid w:val="62B74F26"/>
    <w:rsid w:val="62BA758E"/>
    <w:rsid w:val="62BB6119"/>
    <w:rsid w:val="634E45C9"/>
    <w:rsid w:val="63A71F74"/>
    <w:rsid w:val="63DDBBBB"/>
    <w:rsid w:val="65A32AFE"/>
    <w:rsid w:val="65C7404D"/>
    <w:rsid w:val="65F17436"/>
    <w:rsid w:val="65FE5968"/>
    <w:rsid w:val="66B18282"/>
    <w:rsid w:val="66EE54A9"/>
    <w:rsid w:val="67551304"/>
    <w:rsid w:val="675C7C9C"/>
    <w:rsid w:val="67AA541B"/>
    <w:rsid w:val="67AB4C59"/>
    <w:rsid w:val="67C647C0"/>
    <w:rsid w:val="684306E9"/>
    <w:rsid w:val="68723580"/>
    <w:rsid w:val="68994500"/>
    <w:rsid w:val="697F1380"/>
    <w:rsid w:val="69964C0C"/>
    <w:rsid w:val="699A1F8A"/>
    <w:rsid w:val="69A93917"/>
    <w:rsid w:val="69B923D2"/>
    <w:rsid w:val="6A4A3BFD"/>
    <w:rsid w:val="6ACA2779"/>
    <w:rsid w:val="6B1029D1"/>
    <w:rsid w:val="6BD9F023"/>
    <w:rsid w:val="6C75429C"/>
    <w:rsid w:val="6CD4161F"/>
    <w:rsid w:val="6CD785FD"/>
    <w:rsid w:val="6D8E68B6"/>
    <w:rsid w:val="6DEA7766"/>
    <w:rsid w:val="6DEEB0BC"/>
    <w:rsid w:val="6E761153"/>
    <w:rsid w:val="6FC06BC3"/>
    <w:rsid w:val="6FC45E55"/>
    <w:rsid w:val="6FEF29B3"/>
    <w:rsid w:val="6FF2CBB9"/>
    <w:rsid w:val="6FF658FB"/>
    <w:rsid w:val="711A3103"/>
    <w:rsid w:val="71D4087A"/>
    <w:rsid w:val="71DDC9F2"/>
    <w:rsid w:val="71E34413"/>
    <w:rsid w:val="71FFC0C1"/>
    <w:rsid w:val="727D4F24"/>
    <w:rsid w:val="72916D35"/>
    <w:rsid w:val="72A70FAA"/>
    <w:rsid w:val="73113F43"/>
    <w:rsid w:val="734944D8"/>
    <w:rsid w:val="73B7ADB8"/>
    <w:rsid w:val="73FFD1A6"/>
    <w:rsid w:val="740A1865"/>
    <w:rsid w:val="747FFD7A"/>
    <w:rsid w:val="74B54142"/>
    <w:rsid w:val="74E42203"/>
    <w:rsid w:val="756607E5"/>
    <w:rsid w:val="758650B4"/>
    <w:rsid w:val="75A97E24"/>
    <w:rsid w:val="75DD4904"/>
    <w:rsid w:val="75FA3F3B"/>
    <w:rsid w:val="7641097A"/>
    <w:rsid w:val="77245415"/>
    <w:rsid w:val="7771949D"/>
    <w:rsid w:val="77BF2551"/>
    <w:rsid w:val="77BFD273"/>
    <w:rsid w:val="77EDB0D9"/>
    <w:rsid w:val="782E0A91"/>
    <w:rsid w:val="78EDD24C"/>
    <w:rsid w:val="78FF00EB"/>
    <w:rsid w:val="790C3408"/>
    <w:rsid w:val="7922343B"/>
    <w:rsid w:val="7926388B"/>
    <w:rsid w:val="79521C10"/>
    <w:rsid w:val="795E17F1"/>
    <w:rsid w:val="79BC7EAB"/>
    <w:rsid w:val="79D42C0A"/>
    <w:rsid w:val="79F4587B"/>
    <w:rsid w:val="7A727261"/>
    <w:rsid w:val="7B7EBDF0"/>
    <w:rsid w:val="7B93031C"/>
    <w:rsid w:val="7BBFBDE8"/>
    <w:rsid w:val="7BE0208A"/>
    <w:rsid w:val="7BEB4051"/>
    <w:rsid w:val="7C947E21"/>
    <w:rsid w:val="7CCDEC14"/>
    <w:rsid w:val="7CDE1835"/>
    <w:rsid w:val="7CFC4664"/>
    <w:rsid w:val="7D4E5235"/>
    <w:rsid w:val="7D7B5896"/>
    <w:rsid w:val="7D7BD595"/>
    <w:rsid w:val="7DBD2501"/>
    <w:rsid w:val="7E6B12CB"/>
    <w:rsid w:val="7E7273D9"/>
    <w:rsid w:val="7E77D991"/>
    <w:rsid w:val="7EB151EC"/>
    <w:rsid w:val="7EBDF124"/>
    <w:rsid w:val="7EBF5C24"/>
    <w:rsid w:val="7ED5A2C4"/>
    <w:rsid w:val="7F4375B9"/>
    <w:rsid w:val="7F4B6054"/>
    <w:rsid w:val="7F6BD9E0"/>
    <w:rsid w:val="7F7EA9D2"/>
    <w:rsid w:val="7F824F8C"/>
    <w:rsid w:val="7FB26F74"/>
    <w:rsid w:val="7FB7E12A"/>
    <w:rsid w:val="7FC3060F"/>
    <w:rsid w:val="7FDFE08E"/>
    <w:rsid w:val="7FF82738"/>
    <w:rsid w:val="7FF999A7"/>
    <w:rsid w:val="7FFBA9C2"/>
    <w:rsid w:val="7FFBEE05"/>
    <w:rsid w:val="7FFD3163"/>
    <w:rsid w:val="7FFFADCF"/>
    <w:rsid w:val="8FB52647"/>
    <w:rsid w:val="8FD1C878"/>
    <w:rsid w:val="8FEF4A8D"/>
    <w:rsid w:val="971D1DFF"/>
    <w:rsid w:val="97F6179A"/>
    <w:rsid w:val="9AECA37B"/>
    <w:rsid w:val="9DD91B26"/>
    <w:rsid w:val="9F977CEE"/>
    <w:rsid w:val="9FFDD58A"/>
    <w:rsid w:val="AEFF0EDB"/>
    <w:rsid w:val="BA98AF37"/>
    <w:rsid w:val="BADD304E"/>
    <w:rsid w:val="BBABF025"/>
    <w:rsid w:val="BEB561CE"/>
    <w:rsid w:val="BEE77723"/>
    <w:rsid w:val="BEF64A81"/>
    <w:rsid w:val="BFEFC32C"/>
    <w:rsid w:val="C7DED0D6"/>
    <w:rsid w:val="CB5C9E72"/>
    <w:rsid w:val="CFFB968C"/>
    <w:rsid w:val="D15AC55A"/>
    <w:rsid w:val="D27B3645"/>
    <w:rsid w:val="D3FB50D6"/>
    <w:rsid w:val="D7E377CF"/>
    <w:rsid w:val="DB5F406F"/>
    <w:rsid w:val="DBE7F8B4"/>
    <w:rsid w:val="DE3FCB91"/>
    <w:rsid w:val="DEBF1326"/>
    <w:rsid w:val="DEDD909B"/>
    <w:rsid w:val="DFBDAD35"/>
    <w:rsid w:val="DFBE8F09"/>
    <w:rsid w:val="DFF3CC59"/>
    <w:rsid w:val="E7FF1066"/>
    <w:rsid w:val="E9EFB32A"/>
    <w:rsid w:val="EADEFAB7"/>
    <w:rsid w:val="EB73FA1C"/>
    <w:rsid w:val="EBBDBAE0"/>
    <w:rsid w:val="EBC9EB1D"/>
    <w:rsid w:val="EDFC2E87"/>
    <w:rsid w:val="EFD629E5"/>
    <w:rsid w:val="F1FFFF88"/>
    <w:rsid w:val="F39947E1"/>
    <w:rsid w:val="F3D71110"/>
    <w:rsid w:val="F47A67D3"/>
    <w:rsid w:val="F5F59530"/>
    <w:rsid w:val="F79FA366"/>
    <w:rsid w:val="F7A799C3"/>
    <w:rsid w:val="F7CFA86C"/>
    <w:rsid w:val="F7FE8233"/>
    <w:rsid w:val="F97BBCA0"/>
    <w:rsid w:val="F9FF718F"/>
    <w:rsid w:val="FAF94D1D"/>
    <w:rsid w:val="FAFE9232"/>
    <w:rsid w:val="FB8BADB6"/>
    <w:rsid w:val="FBDF1380"/>
    <w:rsid w:val="FBEF817A"/>
    <w:rsid w:val="FDAF4948"/>
    <w:rsid w:val="FE79B20B"/>
    <w:rsid w:val="FEAEB6C6"/>
    <w:rsid w:val="FEB9E49D"/>
    <w:rsid w:val="FEEFD47F"/>
    <w:rsid w:val="FEF179B6"/>
    <w:rsid w:val="FF7FFDFB"/>
    <w:rsid w:val="FFBC43AB"/>
    <w:rsid w:val="FFD325EC"/>
    <w:rsid w:val="FFD5D44E"/>
    <w:rsid w:val="FFF3D0AA"/>
    <w:rsid w:val="FFFF4A65"/>
    <w:rsid w:val="FFFF68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560" w:lineRule="exact"/>
      <w:ind w:firstLine="560" w:firstLineChars="200"/>
    </w:pPr>
    <w:rPr>
      <w:rFonts w:ascii="Times New Roman" w:hAnsi="Times New Roman" w:eastAsia="仿宋"/>
      <w:kern w:val="0"/>
      <w:szCs w:val="20"/>
    </w:rPr>
  </w:style>
  <w:style w:type="paragraph" w:styleId="4">
    <w:name w:val="annotation text"/>
    <w:basedOn w:val="1"/>
    <w:semiHidden/>
    <w:unhideWhenUsed/>
    <w:qFormat/>
    <w:uiPriority w:val="99"/>
    <w:pPr>
      <w:jc w:val="left"/>
    </w:pPr>
  </w:style>
  <w:style w:type="paragraph" w:styleId="5">
    <w:name w:val="Salutation"/>
    <w:basedOn w:val="1"/>
    <w:next w:val="1"/>
    <w:qFormat/>
    <w:uiPriority w:val="0"/>
  </w:style>
  <w:style w:type="paragraph" w:styleId="6">
    <w:name w:val="toc 3"/>
    <w:basedOn w:val="1"/>
    <w:next w:val="1"/>
    <w:semiHidden/>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left" w:pos="709"/>
        <w:tab w:val="right" w:leader="dot" w:pos="8296"/>
      </w:tabs>
    </w:pPr>
  </w:style>
  <w:style w:type="paragraph" w:styleId="10">
    <w:name w:val="toc 2"/>
    <w:basedOn w:val="1"/>
    <w:next w:val="1"/>
    <w:unhideWhenUsed/>
    <w:qFormat/>
    <w:uiPriority w:val="39"/>
    <w:pPr>
      <w:ind w:left="420" w:leftChars="200"/>
    </w:pPr>
  </w:style>
  <w:style w:type="paragraph" w:styleId="11">
    <w:name w:val="Normal (Web)"/>
    <w:basedOn w:val="1"/>
    <w:unhideWhenUsed/>
    <w:qFormat/>
    <w:uiPriority w:val="99"/>
    <w:pPr>
      <w:spacing w:before="100" w:beforeAutospacing="1" w:after="100" w:afterAutospacing="1"/>
      <w:jc w:val="left"/>
    </w:pPr>
    <w:rPr>
      <w:rFonts w:cs="Times New Roman"/>
      <w:kern w:val="0"/>
      <w:sz w:val="24"/>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20"/>
    <w:rPr>
      <w:i/>
    </w:rPr>
  </w:style>
  <w:style w:type="character" w:styleId="16">
    <w:name w:val="Hyperlink"/>
    <w:unhideWhenUsed/>
    <w:qFormat/>
    <w:uiPriority w:val="99"/>
    <w:rPr>
      <w:color w:val="4D4D4D"/>
      <w:u w:val="none"/>
    </w:rPr>
  </w:style>
  <w:style w:type="character" w:styleId="17">
    <w:name w:val="annotation reference"/>
    <w:basedOn w:val="14"/>
    <w:semiHidden/>
    <w:unhideWhenUsed/>
    <w:qFormat/>
    <w:uiPriority w:val="99"/>
    <w:rPr>
      <w:sz w:val="21"/>
      <w:szCs w:val="21"/>
    </w:r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font11"/>
    <w:basedOn w:val="14"/>
    <w:qFormat/>
    <w:uiPriority w:val="0"/>
    <w:rPr>
      <w:rFonts w:hint="eastAsia" w:ascii="宋体" w:hAnsi="宋体" w:eastAsia="宋体" w:cs="宋体"/>
      <w:color w:val="000000"/>
      <w:sz w:val="21"/>
      <w:szCs w:val="21"/>
      <w:u w:val="none"/>
    </w:rPr>
  </w:style>
  <w:style w:type="character" w:customStyle="1" w:styleId="21">
    <w:name w:val="font01"/>
    <w:basedOn w:val="14"/>
    <w:qFormat/>
    <w:uiPriority w:val="0"/>
    <w:rPr>
      <w:rFonts w:hint="default" w:ascii="Calibri" w:hAnsi="Calibri" w:cs="Calibri"/>
      <w:color w:val="000000"/>
      <w:sz w:val="21"/>
      <w:szCs w:val="21"/>
      <w:u w:val="none"/>
    </w:rPr>
  </w:style>
  <w:style w:type="character" w:customStyle="1" w:styleId="22">
    <w:name w:val="font71"/>
    <w:basedOn w:val="14"/>
    <w:qFormat/>
    <w:uiPriority w:val="0"/>
    <w:rPr>
      <w:rFonts w:hint="eastAsia" w:ascii="仿宋" w:hAnsi="仿宋" w:eastAsia="仿宋" w:cs="仿宋"/>
      <w:b/>
      <w:color w:val="000000"/>
      <w:sz w:val="24"/>
      <w:szCs w:val="24"/>
      <w:u w:val="none"/>
    </w:rPr>
  </w:style>
  <w:style w:type="character" w:customStyle="1" w:styleId="23">
    <w:name w:val="font51"/>
    <w:basedOn w:val="14"/>
    <w:qFormat/>
    <w:uiPriority w:val="0"/>
    <w:rPr>
      <w:rFonts w:hint="eastAsia" w:ascii="仿宋" w:hAnsi="仿宋" w:eastAsia="仿宋" w:cs="仿宋"/>
      <w:color w:val="000000"/>
      <w:sz w:val="24"/>
      <w:szCs w:val="24"/>
      <w:u w:val="none"/>
    </w:rPr>
  </w:style>
  <w:style w:type="character" w:customStyle="1" w:styleId="24">
    <w:name w:val="font31"/>
    <w:basedOn w:val="14"/>
    <w:qFormat/>
    <w:uiPriority w:val="0"/>
    <w:rPr>
      <w:rFonts w:hint="eastAsia" w:ascii="宋体" w:hAnsi="宋体" w:eastAsia="宋体" w:cs="宋体"/>
      <w:b/>
      <w:color w:val="000000"/>
      <w:sz w:val="22"/>
      <w:szCs w:val="22"/>
      <w:u w:val="none"/>
    </w:rPr>
  </w:style>
  <w:style w:type="character" w:customStyle="1" w:styleId="25">
    <w:name w:val="font21"/>
    <w:basedOn w:val="14"/>
    <w:qFormat/>
    <w:uiPriority w:val="0"/>
    <w:rPr>
      <w:rFonts w:hint="eastAsia" w:ascii="宋体" w:hAnsi="宋体" w:eastAsia="宋体" w:cs="宋体"/>
      <w:color w:val="000000"/>
      <w:sz w:val="20"/>
      <w:szCs w:val="20"/>
      <w:u w:val="none"/>
    </w:rPr>
  </w:style>
  <w:style w:type="character" w:customStyle="1" w:styleId="26">
    <w:name w:val="font41"/>
    <w:basedOn w:val="14"/>
    <w:qFormat/>
    <w:uiPriority w:val="0"/>
    <w:rPr>
      <w:rFonts w:hint="default" w:ascii="Times New Roman" w:hAnsi="Times New Roman" w:cs="Times New Roman"/>
      <w:b/>
      <w:color w:val="000000"/>
      <w:sz w:val="20"/>
      <w:szCs w:val="20"/>
      <w:u w:val="none"/>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font61"/>
    <w:basedOn w:val="14"/>
    <w:qFormat/>
    <w:uiPriority w:val="0"/>
    <w:rPr>
      <w:rFonts w:hint="eastAsia" w:ascii="宋体" w:hAnsi="宋体" w:eastAsia="宋体" w:cs="宋体"/>
      <w:color w:val="000000"/>
      <w:sz w:val="22"/>
      <w:szCs w:val="22"/>
      <w:u w:val="none"/>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semiHidden/>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noFill/>
        <a:ln w="28575" cap="flat" cmpd="sng" algn="ctr">
          <a:solidFill>
            <a:srgbClr val="000000"/>
          </a:solidFill>
          <a:prstDash val="solid"/>
          <a:miter lim="800000"/>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3392</Words>
  <Characters>3593</Characters>
  <Lines>74</Lines>
  <Paragraphs>20</Paragraphs>
  <TotalTime>0</TotalTime>
  <ScaleCrop>false</ScaleCrop>
  <LinksUpToDate>false</LinksUpToDate>
  <CharactersWithSpaces>3600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2020-04-07T23:49:00Z</dcterms:created>
  <dc:creator>ZC</dc:creator>
  <cp:lastModifiedBy>李国宝</cp:lastModifiedBy>
  <cp:lastPrinted>2024-11-06T09:17:00Z</cp:lastPrinted>
  <dcterms:modified xsi:type="dcterms:W3CDTF">2025-01-08T01:47:25Z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