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07556">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default" w:ascii="Times New Roman" w:hAnsi="Times New Roman" w:eastAsia="方正仿宋简体" w:cs="Times New Roman"/>
          <w:sz w:val="32"/>
          <w:szCs w:val="32"/>
          <w:highlight w:val="none"/>
        </w:rPr>
      </w:pPr>
      <w:bookmarkStart w:id="0" w:name="_Toc32467"/>
      <w:bookmarkStart w:id="1" w:name="_Toc22314"/>
      <w:bookmarkStart w:id="2" w:name="_Toc29524"/>
      <w:bookmarkStart w:id="3" w:name="_Toc14462_WPSOffice_Level1"/>
    </w:p>
    <w:p w14:paraId="569ADBAB">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center"/>
        <w:textAlignment w:val="auto"/>
        <w:rPr>
          <w:rFonts w:hint="default" w:ascii="Times New Roman" w:hAnsi="Times New Roman" w:eastAsia="方正仿宋简体" w:cs="Times New Roman"/>
          <w:color w:val="333333"/>
          <w:kern w:val="0"/>
          <w:sz w:val="32"/>
          <w:szCs w:val="32"/>
          <w:highlight w:val="none"/>
        </w:rPr>
      </w:pPr>
    </w:p>
    <w:p w14:paraId="3736E770">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center"/>
        <w:textAlignment w:val="auto"/>
        <w:rPr>
          <w:rFonts w:hint="default" w:ascii="Times New Roman" w:hAnsi="Times New Roman" w:eastAsia="方正仿宋简体" w:cs="Times New Roman"/>
          <w:color w:val="333333"/>
          <w:kern w:val="0"/>
          <w:sz w:val="32"/>
          <w:szCs w:val="32"/>
          <w:highlight w:val="none"/>
        </w:rPr>
      </w:pPr>
    </w:p>
    <w:p w14:paraId="533E9257">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center"/>
        <w:textAlignment w:val="auto"/>
        <w:rPr>
          <w:rFonts w:hint="default" w:ascii="Times New Roman" w:hAnsi="Times New Roman" w:eastAsia="方正仿宋简体" w:cs="Times New Roman"/>
          <w:color w:val="333333"/>
          <w:kern w:val="0"/>
          <w:sz w:val="32"/>
          <w:szCs w:val="32"/>
          <w:highlight w:val="none"/>
        </w:rPr>
      </w:pPr>
    </w:p>
    <w:p w14:paraId="41632C4F">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center"/>
        <w:textAlignment w:val="auto"/>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333333"/>
          <w:kern w:val="0"/>
          <w:sz w:val="44"/>
          <w:szCs w:val="44"/>
          <w:highlight w:val="none"/>
        </w:rPr>
        <w:t>绩效评价报告</w:t>
      </w:r>
    </w:p>
    <w:p w14:paraId="0EDB3C13">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Times New Roman" w:hAnsi="Times New Roman" w:eastAsia="方正仿宋简体" w:cs="Times New Roman"/>
          <w:color w:val="333333"/>
          <w:kern w:val="0"/>
          <w:sz w:val="32"/>
          <w:szCs w:val="32"/>
          <w:highlight w:val="none"/>
        </w:rPr>
      </w:pPr>
    </w:p>
    <w:p w14:paraId="6891BD89">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Times New Roman" w:hAnsi="Times New Roman" w:eastAsia="方正仿宋简体" w:cs="Times New Roman"/>
          <w:color w:val="333333"/>
          <w:kern w:val="0"/>
          <w:sz w:val="32"/>
          <w:szCs w:val="32"/>
          <w:highlight w:val="none"/>
        </w:rPr>
      </w:pPr>
    </w:p>
    <w:p w14:paraId="65B723D3">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Times New Roman" w:hAnsi="Times New Roman" w:eastAsia="方正仿宋简体" w:cs="Times New Roman"/>
          <w:color w:val="333333"/>
          <w:kern w:val="0"/>
          <w:sz w:val="32"/>
          <w:szCs w:val="32"/>
          <w:highlight w:val="none"/>
        </w:rPr>
      </w:pPr>
    </w:p>
    <w:p w14:paraId="59F527A3">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Times New Roman" w:hAnsi="Times New Roman" w:eastAsia="方正仿宋简体" w:cs="Times New Roman"/>
          <w:color w:val="333333"/>
          <w:kern w:val="0"/>
          <w:sz w:val="32"/>
          <w:szCs w:val="32"/>
          <w:highlight w:val="none"/>
        </w:rPr>
      </w:pPr>
    </w:p>
    <w:p w14:paraId="3695D7FF">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51E58157">
      <w:pPr>
        <w:keepNext w:val="0"/>
        <w:keepLines w:val="0"/>
        <w:pageBreakBefore w:val="0"/>
        <w:widowControl/>
        <w:kinsoku/>
        <w:wordWrap/>
        <w:overflowPunct/>
        <w:topLinePunct w:val="0"/>
        <w:autoSpaceDE/>
        <w:autoSpaceDN/>
        <w:bidi w:val="0"/>
        <w:adjustRightInd/>
        <w:snapToGrid/>
        <w:spacing w:line="600" w:lineRule="exact"/>
        <w:ind w:right="0" w:rightChars="0"/>
        <w:jc w:val="left"/>
        <w:textAlignment w:val="auto"/>
        <w:rPr>
          <w:rFonts w:hint="default" w:ascii="Times New Roman" w:hAnsi="Times New Roman" w:eastAsia="方正仿宋简体" w:cs="Times New Roman"/>
          <w:color w:val="333333"/>
          <w:kern w:val="0"/>
          <w:sz w:val="32"/>
          <w:szCs w:val="32"/>
          <w:highlight w:val="none"/>
          <w:lang w:eastAsia="zh-CN"/>
        </w:rPr>
      </w:pPr>
      <w:r>
        <w:rPr>
          <w:rFonts w:hint="default" w:ascii="Times New Roman" w:hAnsi="Times New Roman" w:eastAsia="方正仿宋简体" w:cs="Times New Roman"/>
          <w:color w:val="333333"/>
          <w:kern w:val="0"/>
          <w:sz w:val="32"/>
          <w:szCs w:val="32"/>
          <w:highlight w:val="none"/>
        </w:rPr>
        <w:t>被评价单位名称：</w:t>
      </w:r>
      <w:r>
        <w:rPr>
          <w:rFonts w:hint="default" w:ascii="Times New Roman" w:hAnsi="Times New Roman" w:eastAsia="方正仿宋简体" w:cs="Times New Roman"/>
          <w:color w:val="333333"/>
          <w:kern w:val="0"/>
          <w:sz w:val="32"/>
          <w:szCs w:val="32"/>
          <w:highlight w:val="none"/>
          <w:lang w:eastAsia="zh-CN"/>
        </w:rPr>
        <w:t>泸定县冷碛镇人民政府</w:t>
      </w:r>
    </w:p>
    <w:p w14:paraId="177FF609">
      <w:pPr>
        <w:keepNext w:val="0"/>
        <w:keepLines w:val="0"/>
        <w:pageBreakBefore w:val="0"/>
        <w:widowControl/>
        <w:kinsoku/>
        <w:wordWrap/>
        <w:overflowPunct/>
        <w:topLinePunct w:val="0"/>
        <w:autoSpaceDE/>
        <w:autoSpaceDN/>
        <w:bidi w:val="0"/>
        <w:adjustRightInd/>
        <w:snapToGrid/>
        <w:spacing w:line="600" w:lineRule="exact"/>
        <w:ind w:left="1600" w:leftChars="0" w:right="0" w:rightChars="0" w:hanging="1600" w:hangingChars="500"/>
        <w:jc w:val="left"/>
        <w:textAlignment w:val="auto"/>
        <w:rPr>
          <w:rFonts w:hint="default" w:ascii="Times New Roman" w:hAnsi="Times New Roman" w:eastAsia="方正仿宋简体" w:cs="Times New Roman"/>
          <w:color w:val="333333"/>
          <w:kern w:val="0"/>
          <w:sz w:val="32"/>
          <w:szCs w:val="32"/>
          <w:highlight w:val="none"/>
        </w:rPr>
      </w:pPr>
      <w:r>
        <w:rPr>
          <w:rFonts w:hint="default" w:ascii="Times New Roman" w:hAnsi="Times New Roman" w:eastAsia="方正仿宋简体" w:cs="Times New Roman"/>
          <w:color w:val="333333"/>
          <w:kern w:val="0"/>
          <w:sz w:val="32"/>
          <w:szCs w:val="32"/>
          <w:highlight w:val="none"/>
        </w:rPr>
        <w:t>评价项目：</w:t>
      </w:r>
      <w:r>
        <w:rPr>
          <w:rFonts w:hint="default" w:ascii="Times New Roman" w:hAnsi="Times New Roman" w:eastAsia="方正仿宋简体" w:cs="Times New Roman"/>
          <w:color w:val="333333"/>
          <w:kern w:val="0"/>
          <w:sz w:val="32"/>
          <w:szCs w:val="32"/>
          <w:highlight w:val="none"/>
          <w:lang w:eastAsia="zh-CN"/>
        </w:rPr>
        <w:t>冷碛镇古银杏保护与抢修复壮项目</w:t>
      </w:r>
    </w:p>
    <w:p w14:paraId="6D8A4CF0">
      <w:pPr>
        <w:keepNext w:val="0"/>
        <w:keepLines w:val="0"/>
        <w:pageBreakBefore w:val="0"/>
        <w:kinsoku/>
        <w:wordWrap/>
        <w:overflowPunct/>
        <w:topLinePunct w:val="0"/>
        <w:autoSpaceDE/>
        <w:autoSpaceDN/>
        <w:bidi w:val="0"/>
        <w:adjustRightInd/>
        <w:snapToGrid/>
        <w:spacing w:line="600" w:lineRule="exact"/>
        <w:ind w:left="0" w:leftChars="0" w:right="0" w:rightChars="0" w:firstLine="320" w:firstLineChars="100"/>
        <w:textAlignment w:val="auto"/>
        <w:rPr>
          <w:rFonts w:hint="default" w:ascii="Times New Roman" w:hAnsi="Times New Roman" w:eastAsia="方正仿宋简体" w:cs="Times New Roman"/>
          <w:sz w:val="32"/>
          <w:szCs w:val="32"/>
          <w:highlight w:val="none"/>
        </w:rPr>
      </w:pPr>
    </w:p>
    <w:p w14:paraId="287FA5DF">
      <w:pPr>
        <w:pStyle w:val="2"/>
        <w:keepNext w:val="0"/>
        <w:keepLines w:val="0"/>
        <w:pageBreakBefore w:val="0"/>
        <w:kinsoku/>
        <w:wordWrap/>
        <w:overflowPunct/>
        <w:topLinePunct w:val="0"/>
        <w:autoSpaceDE/>
        <w:autoSpaceDN/>
        <w:bidi w:val="0"/>
        <w:adjustRightInd/>
        <w:snapToGrid/>
        <w:spacing w:after="0" w:line="600" w:lineRule="exact"/>
        <w:ind w:left="0" w:leftChars="0" w:right="0" w:rightChars="0" w:firstLine="320" w:firstLineChars="100"/>
        <w:textAlignment w:val="auto"/>
        <w:rPr>
          <w:rFonts w:hint="default" w:ascii="Times New Roman" w:hAnsi="Times New Roman" w:eastAsia="方正仿宋简体" w:cs="Times New Roman"/>
          <w:sz w:val="32"/>
          <w:szCs w:val="32"/>
          <w:highlight w:val="none"/>
        </w:rPr>
      </w:pPr>
    </w:p>
    <w:p w14:paraId="1BACC510">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jc w:val="center"/>
        <w:textAlignment w:val="auto"/>
        <w:rPr>
          <w:rFonts w:hint="default" w:ascii="Times New Roman" w:hAnsi="Times New Roman" w:eastAsia="方正仿宋简体" w:cs="Times New Roman"/>
          <w:sz w:val="32"/>
          <w:szCs w:val="32"/>
          <w:highlight w:val="none"/>
        </w:rPr>
      </w:pPr>
    </w:p>
    <w:p w14:paraId="42C0C968">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default" w:ascii="Times New Roman" w:hAnsi="Times New Roman" w:eastAsia="方正仿宋简体" w:cs="Times New Roman"/>
          <w:sz w:val="32"/>
          <w:szCs w:val="32"/>
          <w:highlight w:val="none"/>
        </w:rPr>
      </w:pPr>
      <w:r>
        <w:rPr>
          <w:rFonts w:hint="default" w:ascii="Times New Roman" w:hAnsi="Times New Roman" w:eastAsia="方正仿宋简体" w:cs="Times New Roman"/>
          <w:sz w:val="32"/>
          <w:szCs w:val="32"/>
          <w:highlight w:val="none"/>
        </w:rPr>
        <w:br w:type="page"/>
      </w:r>
    </w:p>
    <w:p w14:paraId="797BFB23">
      <w:pPr>
        <w:pageBreakBefore w:val="0"/>
        <w:kinsoku/>
        <w:wordWrap/>
        <w:overflowPunct/>
        <w:topLinePunct w:val="0"/>
        <w:autoSpaceDE/>
        <w:autoSpaceDN/>
        <w:bidi w:val="0"/>
        <w:spacing w:line="600" w:lineRule="exact"/>
        <w:jc w:val="center"/>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lang w:eastAsia="zh-CN"/>
        </w:rPr>
        <w:t>泸定县冷碛镇人民政府</w:t>
      </w:r>
    </w:p>
    <w:bookmarkEnd w:id="0"/>
    <w:p w14:paraId="373923A3">
      <w:pPr>
        <w:pageBreakBefore w:val="0"/>
        <w:kinsoku/>
        <w:wordWrap/>
        <w:overflowPunct/>
        <w:topLinePunct w:val="0"/>
        <w:autoSpaceDE/>
        <w:autoSpaceDN/>
        <w:bidi w:val="0"/>
        <w:spacing w:line="600" w:lineRule="exact"/>
        <w:jc w:val="center"/>
        <w:rPr>
          <w:rFonts w:hint="eastAsia" w:ascii="方正小标宋简体" w:hAnsi="方正小标宋简体" w:eastAsia="方正小标宋简体" w:cs="方正小标宋简体"/>
          <w:sz w:val="44"/>
          <w:szCs w:val="44"/>
          <w:highlight w:val="none"/>
          <w:lang w:eastAsia="zh-CN"/>
        </w:rPr>
      </w:pPr>
      <w:bookmarkStart w:id="4" w:name="_Hlk143087873"/>
      <w:bookmarkStart w:id="5" w:name="_Toc27398"/>
      <w:r>
        <w:rPr>
          <w:rFonts w:hint="eastAsia" w:ascii="方正小标宋简体" w:hAnsi="方正小标宋简体" w:eastAsia="方正小标宋简体" w:cs="方正小标宋简体"/>
          <w:sz w:val="44"/>
          <w:szCs w:val="44"/>
          <w:highlight w:val="none"/>
          <w:lang w:eastAsia="zh-CN"/>
        </w:rPr>
        <w:t>冷碛镇古银杏保护与抢修复壮项目</w:t>
      </w:r>
      <w:bookmarkEnd w:id="4"/>
    </w:p>
    <w:p w14:paraId="64B52E80">
      <w:pPr>
        <w:pageBreakBefore w:val="0"/>
        <w:kinsoku/>
        <w:wordWrap/>
        <w:overflowPunct/>
        <w:topLinePunct w:val="0"/>
        <w:autoSpaceDE/>
        <w:autoSpaceDN/>
        <w:bidi w:val="0"/>
        <w:spacing w:line="6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绩效评价报告</w:t>
      </w:r>
      <w:bookmarkEnd w:id="1"/>
      <w:bookmarkEnd w:id="2"/>
      <w:bookmarkEnd w:id="5"/>
    </w:p>
    <w:p w14:paraId="7A4BD175">
      <w:pPr>
        <w:pageBreakBefore w:val="0"/>
        <w:widowControl/>
        <w:kinsoku/>
        <w:wordWrap/>
        <w:overflowPunct/>
        <w:topLinePunct w:val="0"/>
        <w:autoSpaceDE/>
        <w:autoSpaceDN/>
        <w:bidi w:val="0"/>
        <w:adjustRightInd w:val="0"/>
        <w:snapToGrid w:val="0"/>
        <w:spacing w:line="600" w:lineRule="exact"/>
        <w:ind w:firstLine="640" w:firstLineChars="200"/>
        <w:jc w:val="center"/>
        <w:rPr>
          <w:rFonts w:hint="eastAsia" w:ascii="方正仿宋简体" w:hAnsi="方正仿宋简体" w:eastAsia="方正仿宋简体" w:cs="方正仿宋简体"/>
          <w:sz w:val="32"/>
          <w:szCs w:val="32"/>
          <w:highlight w:val="none"/>
        </w:rPr>
      </w:pPr>
    </w:p>
    <w:p w14:paraId="7D3056E4">
      <w:pPr>
        <w:pageBreakBefore w:val="0"/>
        <w:kinsoku/>
        <w:wordWrap/>
        <w:overflowPunct/>
        <w:topLinePunct w:val="0"/>
        <w:autoSpaceDE/>
        <w:autoSpaceDN/>
        <w:bidi w:val="0"/>
        <w:adjustRightInd w:val="0"/>
        <w:snapToGrid w:val="0"/>
        <w:spacing w:line="600" w:lineRule="exact"/>
        <w:ind w:firstLine="640" w:firstLineChars="200"/>
        <w:rPr>
          <w:rFonts w:hint="eastAsia" w:ascii="方正仿宋简体" w:hAnsi="方正仿宋简体" w:eastAsia="方正仿宋简体" w:cs="方正仿宋简体"/>
          <w:sz w:val="32"/>
          <w:szCs w:val="32"/>
          <w:highlight w:val="none"/>
          <w:lang w:val="fr-FR"/>
        </w:rPr>
      </w:pPr>
      <w:bookmarkStart w:id="6" w:name="_Toc8938"/>
      <w:bookmarkStart w:id="7" w:name="_Toc26210"/>
      <w:bookmarkStart w:id="8" w:name="_Toc6252"/>
    </w:p>
    <w:p w14:paraId="2607FF8D">
      <w:pPr>
        <w:pageBreakBefore w:val="0"/>
        <w:kinsoku/>
        <w:wordWrap/>
        <w:overflowPunct/>
        <w:topLinePunct w:val="0"/>
        <w:autoSpaceDE/>
        <w:autoSpaceDN/>
        <w:bidi w:val="0"/>
        <w:adjustRightInd w:val="0"/>
        <w:snapToGrid w:val="0"/>
        <w:spacing w:line="600" w:lineRule="exact"/>
        <w:ind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依据</w:t>
      </w:r>
      <w:r>
        <w:rPr>
          <w:rFonts w:hint="default" w:ascii="Times New Roman" w:hAnsi="Times New Roman" w:eastAsia="方正仿宋简体" w:cs="Times New Roman"/>
          <w:sz w:val="32"/>
          <w:szCs w:val="32"/>
          <w:highlight w:val="none"/>
        </w:rPr>
        <w:t>《泸定县财政局关于开展2024年政府性基金预算绩效评价工作</w:t>
      </w:r>
      <w:r>
        <w:rPr>
          <w:rFonts w:hint="eastAsia" w:ascii="方正仿宋简体" w:hAnsi="方正仿宋简体" w:eastAsia="方正仿宋简体" w:cs="方正仿宋简体"/>
          <w:sz w:val="32"/>
          <w:szCs w:val="32"/>
          <w:highlight w:val="none"/>
        </w:rPr>
        <w:t>的通知》（泸财〔</w:t>
      </w:r>
      <w:r>
        <w:rPr>
          <w:rFonts w:hint="default" w:ascii="Times New Roman" w:hAnsi="Times New Roman" w:eastAsia="方正仿宋简体" w:cs="Times New Roman"/>
          <w:sz w:val="32"/>
          <w:szCs w:val="32"/>
          <w:highlight w:val="none"/>
        </w:rPr>
        <w:t>2024〕39</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val="fr-FR"/>
        </w:rPr>
        <w:t>文件要求，</w:t>
      </w:r>
      <w:r>
        <w:rPr>
          <w:rFonts w:hint="eastAsia" w:ascii="方正仿宋简体" w:hAnsi="方正仿宋简体" w:eastAsia="方正仿宋简体" w:cs="方正仿宋简体"/>
          <w:sz w:val="32"/>
          <w:szCs w:val="32"/>
          <w:highlight w:val="none"/>
          <w:lang w:val="en-US" w:eastAsia="zh-CN"/>
        </w:rPr>
        <w:t>我单位</w:t>
      </w:r>
      <w:r>
        <w:rPr>
          <w:rFonts w:hint="eastAsia" w:ascii="方正仿宋简体" w:hAnsi="方正仿宋简体" w:eastAsia="方正仿宋简体" w:cs="方正仿宋简体"/>
          <w:sz w:val="32"/>
          <w:szCs w:val="32"/>
          <w:highlight w:val="none"/>
          <w:lang w:val="fr-FR"/>
        </w:rPr>
        <w:t>对</w:t>
      </w:r>
      <w:r>
        <w:rPr>
          <w:rFonts w:hint="eastAsia" w:ascii="方正仿宋简体" w:hAnsi="方正仿宋简体" w:eastAsia="方正仿宋简体" w:cs="方正仿宋简体"/>
          <w:sz w:val="32"/>
          <w:szCs w:val="32"/>
          <w:highlight w:val="none"/>
          <w:lang w:eastAsia="zh-CN"/>
        </w:rPr>
        <w:t>泸定县冷碛镇人民政府“冷碛镇古银杏保护与抢修复壮项目”（</w:t>
      </w:r>
      <w:r>
        <w:rPr>
          <w:rFonts w:hint="eastAsia" w:ascii="方正仿宋简体" w:hAnsi="方正仿宋简体" w:eastAsia="方正仿宋简体" w:cs="方正仿宋简体"/>
          <w:sz w:val="32"/>
          <w:szCs w:val="32"/>
          <w:highlight w:val="none"/>
          <w:lang w:val="en-US" w:eastAsia="zh-CN"/>
        </w:rPr>
        <w:t>以下简称“本项目”</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进行</w:t>
      </w:r>
      <w:r>
        <w:rPr>
          <w:rFonts w:hint="eastAsia" w:ascii="方正仿宋简体" w:hAnsi="方正仿宋简体" w:eastAsia="方正仿宋简体" w:cs="方正仿宋简体"/>
          <w:sz w:val="32"/>
          <w:szCs w:val="32"/>
          <w:highlight w:val="none"/>
          <w:lang w:val="fr-FR"/>
        </w:rPr>
        <w:t>绩效评价。</w:t>
      </w:r>
      <w:r>
        <w:rPr>
          <w:rFonts w:hint="eastAsia" w:ascii="方正仿宋简体" w:hAnsi="方正仿宋简体" w:eastAsia="方正仿宋简体" w:cs="方正仿宋简体"/>
          <w:sz w:val="32"/>
          <w:szCs w:val="32"/>
          <w:highlight w:val="none"/>
          <w:lang w:eastAsia="zh-CN"/>
        </w:rPr>
        <w:t>泸定县冷碛镇人民政府</w:t>
      </w:r>
      <w:r>
        <w:rPr>
          <w:rFonts w:hint="eastAsia" w:ascii="方正仿宋简体" w:hAnsi="方正仿宋简体" w:eastAsia="方正仿宋简体" w:cs="方正仿宋简体"/>
          <w:sz w:val="32"/>
          <w:szCs w:val="32"/>
          <w:highlight w:val="none"/>
          <w:lang w:val="fr-FR"/>
        </w:rPr>
        <w:t>对其提供的绩效评价相关资料的真实性、合法性和完整性负责；我们的责任是依据《中共中央</w:t>
      </w:r>
      <w:r>
        <w:rPr>
          <w:rFonts w:hint="eastAsia" w:ascii="方正仿宋简体" w:hAnsi="方正仿宋简体" w:eastAsia="方正仿宋简体" w:cs="方正仿宋简体"/>
          <w:sz w:val="32"/>
          <w:szCs w:val="32"/>
          <w:highlight w:val="none"/>
        </w:rPr>
        <w:t xml:space="preserve"> </w:t>
      </w:r>
      <w:r>
        <w:rPr>
          <w:rFonts w:hint="eastAsia" w:ascii="方正仿宋简体" w:hAnsi="方正仿宋简体" w:eastAsia="方正仿宋简体" w:cs="方正仿宋简体"/>
          <w:sz w:val="32"/>
          <w:szCs w:val="32"/>
          <w:highlight w:val="none"/>
          <w:lang w:val="fr-FR"/>
        </w:rPr>
        <w:t>国务院关于全面实施预算绩效管理的意见》（中发〔</w:t>
      </w:r>
      <w:r>
        <w:rPr>
          <w:rFonts w:hint="default" w:ascii="Times New Roman" w:hAnsi="Times New Roman" w:eastAsia="方正仿宋简体" w:cs="Times New Roman"/>
          <w:sz w:val="32"/>
          <w:szCs w:val="32"/>
          <w:highlight w:val="none"/>
          <w:lang w:val="fr-FR"/>
        </w:rPr>
        <w:t>2018</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34</w:t>
      </w:r>
      <w:r>
        <w:rPr>
          <w:rFonts w:hint="eastAsia" w:ascii="方正仿宋简体" w:hAnsi="方正仿宋简体" w:eastAsia="方正仿宋简体" w:cs="方正仿宋简体"/>
          <w:sz w:val="32"/>
          <w:szCs w:val="32"/>
          <w:highlight w:val="none"/>
          <w:lang w:val="fr-FR"/>
        </w:rPr>
        <w:t>号）、《中共四川省委 四川省人民政府关于全面实施预算绩效管理的实施意见》（川委发〔</w:t>
      </w:r>
      <w:r>
        <w:rPr>
          <w:rFonts w:hint="default" w:ascii="Times New Roman" w:hAnsi="Times New Roman" w:eastAsia="方正仿宋简体" w:cs="Times New Roman"/>
          <w:sz w:val="32"/>
          <w:szCs w:val="32"/>
          <w:highlight w:val="none"/>
          <w:lang w:val="fr-FR"/>
        </w:rPr>
        <w:t>201</w:t>
      </w:r>
      <w:r>
        <w:rPr>
          <w:rFonts w:hint="default" w:ascii="Times New Roman" w:hAnsi="Times New Roman" w:eastAsia="方正仿宋简体" w:cs="Times New Roman"/>
          <w:sz w:val="32"/>
          <w:szCs w:val="32"/>
          <w:highlight w:val="none"/>
        </w:rPr>
        <w:t>9</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8</w:t>
      </w:r>
      <w:r>
        <w:rPr>
          <w:rFonts w:hint="eastAsia" w:ascii="方正仿宋简体" w:hAnsi="方正仿宋简体" w:eastAsia="方正仿宋简体" w:cs="方正仿宋简体"/>
          <w:sz w:val="32"/>
          <w:szCs w:val="32"/>
          <w:highlight w:val="none"/>
          <w:lang w:val="fr-FR"/>
        </w:rPr>
        <w:t>号）、《中共甘孜州委办公室 甘孜州人民政府办公室关于印发</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fr-FR"/>
        </w:rPr>
        <w:t>甘孜州全面实施预算绩效管理工作实施方案</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fr-FR"/>
        </w:rPr>
        <w:t>的通知》（甘委办〔</w:t>
      </w:r>
      <w:r>
        <w:rPr>
          <w:rFonts w:hint="default" w:ascii="Times New Roman" w:hAnsi="Times New Roman" w:eastAsia="方正仿宋简体" w:cs="Times New Roman"/>
          <w:sz w:val="32"/>
          <w:szCs w:val="32"/>
          <w:highlight w:val="none"/>
          <w:lang w:val="fr-FR"/>
        </w:rPr>
        <w:t>201</w:t>
      </w:r>
      <w:r>
        <w:rPr>
          <w:rFonts w:hint="default" w:ascii="Times New Roman" w:hAnsi="Times New Roman" w:eastAsia="方正仿宋简体" w:cs="Times New Roman"/>
          <w:sz w:val="32"/>
          <w:szCs w:val="32"/>
          <w:highlight w:val="none"/>
        </w:rPr>
        <w:t>9</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120</w:t>
      </w:r>
      <w:r>
        <w:rPr>
          <w:rFonts w:hint="eastAsia" w:ascii="方正仿宋简体" w:hAnsi="方正仿宋简体" w:eastAsia="方正仿宋简体" w:cs="方正仿宋简体"/>
          <w:sz w:val="32"/>
          <w:szCs w:val="32"/>
          <w:highlight w:val="none"/>
          <w:lang w:val="fr-FR"/>
        </w:rPr>
        <w:t>号）</w:t>
      </w:r>
      <w:r>
        <w:rPr>
          <w:rFonts w:hint="eastAsia" w:ascii="方正仿宋简体" w:hAnsi="方正仿宋简体" w:eastAsia="方正仿宋简体" w:cs="方正仿宋简体"/>
          <w:sz w:val="32"/>
          <w:szCs w:val="32"/>
          <w:highlight w:val="none"/>
        </w:rPr>
        <w:t>和《泸定县财政局关于开展</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年县本级财政支出项目绩效评价工作的通知》（泸财〔</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41</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val="fr-FR"/>
        </w:rPr>
        <w:t>文件要求，结合</w:t>
      </w:r>
      <w:r>
        <w:rPr>
          <w:rFonts w:hint="eastAsia" w:ascii="方正仿宋简体" w:hAnsi="方正仿宋简体" w:eastAsia="方正仿宋简体" w:cs="方正仿宋简体"/>
          <w:sz w:val="32"/>
          <w:szCs w:val="32"/>
          <w:highlight w:val="none"/>
          <w:lang w:eastAsia="zh-CN"/>
        </w:rPr>
        <w:t>泸定县冷碛镇人民政府“冷碛镇古银杏保护与抢修复壮项目</w:t>
      </w:r>
      <w:r>
        <w:rPr>
          <w:rFonts w:hint="eastAsia" w:ascii="方正仿宋简体" w:hAnsi="方正仿宋简体" w:eastAsia="方正仿宋简体" w:cs="方正仿宋简体"/>
          <w:sz w:val="32"/>
          <w:szCs w:val="32"/>
          <w:highlight w:val="none"/>
          <w:lang w:val="fr-FR" w:eastAsia="zh-CN"/>
        </w:rPr>
        <w:t>”</w:t>
      </w:r>
      <w:r>
        <w:rPr>
          <w:rFonts w:hint="eastAsia" w:ascii="方正仿宋简体" w:hAnsi="方正仿宋简体" w:eastAsia="方正仿宋简体" w:cs="方正仿宋简体"/>
          <w:sz w:val="32"/>
          <w:szCs w:val="32"/>
          <w:highlight w:val="none"/>
          <w:lang w:val="fr-FR"/>
        </w:rPr>
        <w:t>的实际情况，对该项目进行绩效评价，并出具绩效评价报告，现将相关情况报告如下：</w:t>
      </w:r>
    </w:p>
    <w:bookmarkEnd w:id="6"/>
    <w:bookmarkEnd w:id="7"/>
    <w:bookmarkEnd w:id="8"/>
    <w:p w14:paraId="0E2336A4">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9" w:name="_Toc8555"/>
      <w:bookmarkStart w:id="10" w:name="_Toc9514"/>
      <w:bookmarkStart w:id="11" w:name="_Toc12185"/>
      <w:bookmarkStart w:id="12" w:name="_Toc10380"/>
      <w:bookmarkStart w:id="13" w:name="_Toc839625728"/>
      <w:bookmarkStart w:id="14" w:name="_Toc1399960540"/>
      <w:bookmarkStart w:id="15" w:name="_Toc1220804308"/>
      <w:r>
        <w:rPr>
          <w:rFonts w:hint="eastAsia" w:ascii="方正黑体简体" w:hAnsi="方正黑体简体" w:eastAsia="方正黑体简体" w:cs="方正黑体简体"/>
          <w:color w:val="000000"/>
          <w:kern w:val="0"/>
          <w:sz w:val="32"/>
          <w:szCs w:val="32"/>
          <w:highlight w:val="none"/>
          <w:shd w:val="clear" w:color="auto" w:fill="FFFFFF"/>
        </w:rPr>
        <w:t>一、</w:t>
      </w:r>
      <w:bookmarkEnd w:id="9"/>
      <w:r>
        <w:rPr>
          <w:rFonts w:hint="eastAsia" w:ascii="方正黑体简体" w:hAnsi="方正黑体简体" w:eastAsia="方正黑体简体" w:cs="方正黑体简体"/>
          <w:color w:val="000000"/>
          <w:kern w:val="0"/>
          <w:sz w:val="32"/>
          <w:szCs w:val="32"/>
          <w:highlight w:val="none"/>
          <w:shd w:val="clear" w:color="auto" w:fill="FFFFFF"/>
        </w:rPr>
        <w:t>项目基本情况</w:t>
      </w:r>
      <w:bookmarkEnd w:id="10"/>
      <w:bookmarkEnd w:id="11"/>
      <w:bookmarkEnd w:id="12"/>
      <w:bookmarkEnd w:id="13"/>
      <w:bookmarkEnd w:id="14"/>
      <w:bookmarkEnd w:id="15"/>
    </w:p>
    <w:p w14:paraId="6A929472">
      <w:pPr>
        <w:pageBreakBefore w:val="0"/>
        <w:widowControl/>
        <w:kinsoku/>
        <w:wordWrap/>
        <w:overflowPunct/>
        <w:topLinePunct w:val="0"/>
        <w:autoSpaceDE/>
        <w:autoSpaceDN/>
        <w:bidi w:val="0"/>
        <w:adjustRightInd w:val="0"/>
        <w:snapToGrid w:val="0"/>
        <w:spacing w:line="600" w:lineRule="exact"/>
        <w:ind w:firstLine="640" w:firstLineChars="200"/>
        <w:jc w:val="left"/>
        <w:outlineLvl w:val="1"/>
        <w:rPr>
          <w:rFonts w:hint="eastAsia" w:ascii="方正楷体简体" w:hAnsi="方正楷体简体" w:eastAsia="方正楷体简体" w:cs="方正楷体简体"/>
          <w:color w:val="000000"/>
          <w:sz w:val="32"/>
          <w:szCs w:val="32"/>
          <w:highlight w:val="none"/>
          <w:shd w:val="clear" w:color="auto" w:fill="FFFFFF"/>
        </w:rPr>
      </w:pPr>
      <w:bookmarkStart w:id="16" w:name="_Toc16549"/>
      <w:bookmarkStart w:id="17" w:name="_Toc30550"/>
      <w:bookmarkStart w:id="18" w:name="_Toc2076172284"/>
      <w:bookmarkStart w:id="19" w:name="_Toc28885"/>
      <w:bookmarkStart w:id="20" w:name="_Toc28085"/>
      <w:bookmarkStart w:id="21" w:name="_Toc431776514"/>
      <w:bookmarkStart w:id="22" w:name="_Toc102061818"/>
      <w:r>
        <w:rPr>
          <w:rFonts w:hint="eastAsia" w:ascii="方正楷体简体" w:hAnsi="方正楷体简体" w:eastAsia="方正楷体简体" w:cs="方正楷体简体"/>
          <w:color w:val="000000"/>
          <w:kern w:val="0"/>
          <w:sz w:val="32"/>
          <w:szCs w:val="32"/>
          <w:highlight w:val="none"/>
          <w:shd w:val="clear" w:color="auto" w:fill="FFFFFF"/>
          <w:lang w:val="zh-CN"/>
        </w:rPr>
        <w:t>（一）</w:t>
      </w:r>
      <w:bookmarkEnd w:id="16"/>
      <w:r>
        <w:rPr>
          <w:rFonts w:hint="eastAsia" w:ascii="方正楷体简体" w:hAnsi="方正楷体简体" w:eastAsia="方正楷体简体" w:cs="方正楷体简体"/>
          <w:color w:val="000000"/>
          <w:kern w:val="0"/>
          <w:sz w:val="32"/>
          <w:szCs w:val="32"/>
          <w:highlight w:val="none"/>
          <w:shd w:val="clear" w:color="auto" w:fill="FFFFFF"/>
        </w:rPr>
        <w:t>项目概况</w:t>
      </w:r>
      <w:bookmarkEnd w:id="17"/>
      <w:bookmarkEnd w:id="18"/>
      <w:bookmarkEnd w:id="19"/>
      <w:bookmarkEnd w:id="20"/>
      <w:bookmarkEnd w:id="21"/>
      <w:bookmarkEnd w:id="22"/>
    </w:p>
    <w:p w14:paraId="705C4D63">
      <w:pPr>
        <w:pageBreakBefore w:val="0"/>
        <w:kinsoku/>
        <w:wordWrap/>
        <w:overflowPunct/>
        <w:topLinePunct w:val="0"/>
        <w:autoSpaceDE/>
        <w:autoSpaceDN/>
        <w:bidi w:val="0"/>
        <w:adjustRightInd w:val="0"/>
        <w:snapToGrid w:val="0"/>
        <w:spacing w:line="600" w:lineRule="exact"/>
        <w:ind w:firstLine="640" w:firstLineChars="200"/>
        <w:rPr>
          <w:rFonts w:hint="eastAsia" w:ascii="方正仿宋简体" w:hAnsi="方正仿宋简体" w:eastAsia="方正仿宋简体" w:cs="方正仿宋简体"/>
          <w:sz w:val="32"/>
          <w:szCs w:val="32"/>
          <w:highlight w:val="none"/>
        </w:rPr>
      </w:pPr>
      <w:bookmarkStart w:id="23" w:name="_Toc12470"/>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.被评价单位</w:t>
      </w:r>
    </w:p>
    <w:p w14:paraId="566B4ACB">
      <w:pPr>
        <w:pStyle w:val="2"/>
        <w:pageBreakBefore w:val="0"/>
        <w:kinsoku/>
        <w:wordWrap/>
        <w:overflowPunct/>
        <w:topLinePunct w:val="0"/>
        <w:autoSpaceDE/>
        <w:autoSpaceDN/>
        <w:bidi w:val="0"/>
        <w:spacing w:after="0" w:line="600" w:lineRule="exact"/>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 xml:space="preserve">    </w:t>
      </w:r>
      <w:r>
        <w:rPr>
          <w:rFonts w:hint="eastAsia" w:ascii="方正仿宋简体" w:hAnsi="方正仿宋简体" w:eastAsia="方正仿宋简体" w:cs="方正仿宋简体"/>
          <w:sz w:val="32"/>
          <w:szCs w:val="32"/>
          <w:highlight w:val="none"/>
          <w:lang w:eastAsia="zh-CN"/>
        </w:rPr>
        <w:t>泸定县冷碛镇人民政府属财政全额拨款的一级预算单位，机构性质：机关；单位负责人：秦建；统一社会信用代码：</w:t>
      </w:r>
      <w:r>
        <w:rPr>
          <w:rFonts w:hint="default" w:ascii="Times New Roman" w:hAnsi="Times New Roman" w:eastAsia="方正仿宋简体" w:cs="Times New Roman"/>
          <w:sz w:val="32"/>
          <w:szCs w:val="32"/>
          <w:highlight w:val="none"/>
          <w:lang w:eastAsia="zh-CN"/>
        </w:rPr>
        <w:t>11513322008981544</w:t>
      </w:r>
      <w:r>
        <w:rPr>
          <w:rFonts w:hint="eastAsia" w:ascii="方正仿宋简体" w:hAnsi="方正仿宋简体" w:eastAsia="方正仿宋简体" w:cs="方正仿宋简体"/>
          <w:sz w:val="32"/>
          <w:szCs w:val="32"/>
          <w:highlight w:val="none"/>
          <w:lang w:eastAsia="zh-CN"/>
        </w:rPr>
        <w:t>W。单位所在地：四川省甘孜藏族自治州泸定县冷碛镇新公路</w:t>
      </w:r>
      <w:r>
        <w:rPr>
          <w:rFonts w:hint="default" w:ascii="Times New Roman" w:hAnsi="Times New Roman" w:eastAsia="方正仿宋简体" w:cs="Times New Roman"/>
          <w:sz w:val="32"/>
          <w:szCs w:val="32"/>
          <w:highlight w:val="none"/>
          <w:lang w:eastAsia="zh-CN"/>
        </w:rPr>
        <w:t>216</w:t>
      </w:r>
      <w:r>
        <w:rPr>
          <w:rFonts w:hint="eastAsia" w:ascii="方正仿宋简体" w:hAnsi="方正仿宋简体" w:eastAsia="方正仿宋简体" w:cs="方正仿宋简体"/>
          <w:sz w:val="32"/>
          <w:szCs w:val="32"/>
          <w:highlight w:val="none"/>
          <w:lang w:eastAsia="zh-CN"/>
        </w:rPr>
        <w:t>号。</w:t>
      </w:r>
    </w:p>
    <w:p w14:paraId="51C07289">
      <w:pPr>
        <w:pageBreakBefore w:val="0"/>
        <w:kinsoku/>
        <w:wordWrap/>
        <w:overflowPunct/>
        <w:topLinePunct w:val="0"/>
        <w:autoSpaceDE/>
        <w:autoSpaceDN/>
        <w:bidi w:val="0"/>
        <w:adjustRightInd w:val="0"/>
        <w:snapToGrid w:val="0"/>
        <w:spacing w:line="600" w:lineRule="exact"/>
        <w:ind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.项目背景</w:t>
      </w:r>
      <w:bookmarkEnd w:id="23"/>
    </w:p>
    <w:p w14:paraId="01F664EB">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24" w:name="_Hlk143095508"/>
      <w:r>
        <w:rPr>
          <w:rFonts w:hint="eastAsia" w:ascii="方正仿宋简体" w:hAnsi="方正仿宋简体" w:eastAsia="方正仿宋简体" w:cs="方正仿宋简体"/>
          <w:sz w:val="32"/>
          <w:szCs w:val="32"/>
          <w:highlight w:val="none"/>
          <w:lang w:val="en-US" w:eastAsia="zh-CN"/>
        </w:rPr>
        <w:t>四川省甘孜州泸定县冷碛镇内有一棵距今</w:t>
      </w:r>
      <w:r>
        <w:rPr>
          <w:rFonts w:hint="default" w:ascii="Times New Roman" w:hAnsi="Times New Roman" w:eastAsia="方正仿宋简体" w:cs="Times New Roman"/>
          <w:sz w:val="32"/>
          <w:szCs w:val="32"/>
          <w:highlight w:val="none"/>
          <w:lang w:val="en-US" w:eastAsia="zh-CN"/>
        </w:rPr>
        <w:t>1900</w:t>
      </w:r>
      <w:r>
        <w:rPr>
          <w:rFonts w:hint="eastAsia" w:ascii="方正仿宋简体" w:hAnsi="方正仿宋简体" w:eastAsia="方正仿宋简体" w:cs="方正仿宋简体"/>
          <w:sz w:val="32"/>
          <w:szCs w:val="32"/>
          <w:highlight w:val="none"/>
          <w:lang w:val="en-US" w:eastAsia="zh-CN"/>
        </w:rPr>
        <w:t>多年历史的古银杏树，该树高约</w:t>
      </w:r>
      <w:r>
        <w:rPr>
          <w:rFonts w:hint="default" w:ascii="Times New Roman" w:hAnsi="Times New Roman" w:eastAsia="方正仿宋简体" w:cs="Times New Roman"/>
          <w:sz w:val="32"/>
          <w:szCs w:val="32"/>
          <w:highlight w:val="none"/>
          <w:lang w:val="en-US" w:eastAsia="zh-CN"/>
        </w:rPr>
        <w:t>30</w:t>
      </w:r>
      <w:r>
        <w:rPr>
          <w:rFonts w:hint="eastAsia" w:ascii="方正仿宋简体" w:hAnsi="方正仿宋简体" w:eastAsia="方正仿宋简体" w:cs="方正仿宋简体"/>
          <w:sz w:val="32"/>
          <w:szCs w:val="32"/>
          <w:highlight w:val="none"/>
          <w:lang w:val="en-US" w:eastAsia="zh-CN"/>
        </w:rPr>
        <w:t>m，胸径</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lang w:val="en-US" w:eastAsia="zh-CN"/>
        </w:rPr>
        <w:t>m，荫地面积</w:t>
      </w:r>
      <w:r>
        <w:rPr>
          <w:rFonts w:hint="default" w:ascii="Times New Roman" w:hAnsi="Times New Roman" w:eastAsia="方正仿宋简体" w:cs="Times New Roman"/>
          <w:sz w:val="32"/>
          <w:szCs w:val="32"/>
          <w:highlight w:val="none"/>
          <w:lang w:val="en-US" w:eastAsia="zh-CN"/>
        </w:rPr>
        <w:t>800</w:t>
      </w:r>
      <w:r>
        <w:rPr>
          <w:rFonts w:hint="eastAsia" w:ascii="方正仿宋简体" w:hAnsi="方正仿宋简体" w:eastAsia="方正仿宋简体" w:cs="方正仿宋简体"/>
          <w:sz w:val="32"/>
          <w:szCs w:val="32"/>
          <w:highlight w:val="none"/>
          <w:lang w:val="en-US" w:eastAsia="zh-CN"/>
        </w:rPr>
        <w:t>余平方米，树形奇特，至今仍苍劲挺拔、开花结果。现为四川省一级保护古树，编号：</w:t>
      </w:r>
      <w:r>
        <w:rPr>
          <w:rFonts w:hint="default" w:ascii="Times New Roman" w:hAnsi="Times New Roman" w:eastAsia="方正仿宋简体" w:cs="Times New Roman"/>
          <w:sz w:val="32"/>
          <w:szCs w:val="32"/>
          <w:highlight w:val="none"/>
          <w:lang w:val="en-US" w:eastAsia="zh-CN"/>
        </w:rPr>
        <w:t>51332200017</w:t>
      </w:r>
      <w:r>
        <w:rPr>
          <w:rFonts w:hint="eastAsia" w:ascii="方正仿宋简体" w:hAnsi="方正仿宋简体" w:eastAsia="方正仿宋简体" w:cs="方正仿宋简体"/>
          <w:sz w:val="32"/>
          <w:szCs w:val="32"/>
          <w:highlight w:val="none"/>
          <w:lang w:val="en-US" w:eastAsia="zh-CN"/>
        </w:rPr>
        <w:t>。随着社会经济发展，上世纪</w:t>
      </w:r>
      <w:r>
        <w:rPr>
          <w:rFonts w:hint="default" w:ascii="Times New Roman" w:hAnsi="Times New Roman" w:eastAsia="方正仿宋简体" w:cs="Times New Roman"/>
          <w:sz w:val="32"/>
          <w:szCs w:val="32"/>
          <w:highlight w:val="none"/>
          <w:lang w:val="en-US" w:eastAsia="zh-CN"/>
        </w:rPr>
        <w:t>80</w:t>
      </w:r>
      <w:r>
        <w:rPr>
          <w:rFonts w:hint="eastAsia" w:ascii="方正仿宋简体" w:hAnsi="方正仿宋简体" w:eastAsia="方正仿宋简体" w:cs="方正仿宋简体"/>
          <w:sz w:val="32"/>
          <w:szCs w:val="32"/>
          <w:highlight w:val="none"/>
          <w:lang w:val="en-US" w:eastAsia="zh-CN"/>
        </w:rPr>
        <w:t>年代开始，原来的木结构民居渐渐被钢筋混凝土的现代建筑所替代，古树的生长环境慢慢被蚕食侵占；修建楼房将树枝锯掉或将枝干包于建筑内无法承受自然降水；原有的透气性土壤被建设和道路硬化封闭；原有的一条水渠也被管道所替代，现在荒废后再无活水来。综合以上原因，银杏树地面和地下生存空间被严重挤压，造成根系对氧气及养分、水分的吸收不足，对古银杏的生长造成了不可挽回的破坏。</w:t>
      </w:r>
      <w:r>
        <w:rPr>
          <w:rFonts w:hint="default" w:ascii="Times New Roman" w:hAnsi="Times New Roman" w:eastAsia="方正仿宋简体" w:cs="Times New Roman"/>
          <w:sz w:val="32"/>
          <w:szCs w:val="32"/>
          <w:highlight w:val="none"/>
          <w:lang w:val="en-US" w:eastAsia="zh-CN"/>
        </w:rPr>
        <w:t>2000</w:t>
      </w:r>
      <w:r>
        <w:rPr>
          <w:rFonts w:hint="eastAsia" w:ascii="方正仿宋简体" w:hAnsi="方正仿宋简体" w:eastAsia="方正仿宋简体" w:cs="方正仿宋简体"/>
          <w:sz w:val="32"/>
          <w:szCs w:val="32"/>
          <w:highlight w:val="none"/>
          <w:lang w:val="en-US" w:eastAsia="zh-CN"/>
        </w:rPr>
        <w:t>年以来，古银杏树明显出现了树势衰退，表现为枝叶萌发减弱、叶量减少且发育不良、枯死枝条增多易受风雪折损、寄生植物大量繁殖、病虫害时有发生等现象，泸定县林业主管部门于</w:t>
      </w:r>
      <w:r>
        <w:rPr>
          <w:rFonts w:hint="default" w:ascii="Times New Roman" w:hAnsi="Times New Roman" w:eastAsia="方正仿宋简体" w:cs="Times New Roman"/>
          <w:sz w:val="32"/>
          <w:szCs w:val="32"/>
          <w:highlight w:val="none"/>
          <w:lang w:val="en-US" w:eastAsia="zh-CN"/>
        </w:rPr>
        <w:t>2008</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2021</w:t>
      </w:r>
      <w:r>
        <w:rPr>
          <w:rFonts w:hint="eastAsia" w:ascii="方正仿宋简体" w:hAnsi="方正仿宋简体" w:eastAsia="方正仿宋简体" w:cs="方正仿宋简体"/>
          <w:sz w:val="32"/>
          <w:szCs w:val="32"/>
          <w:highlight w:val="none"/>
          <w:lang w:val="en-US" w:eastAsia="zh-CN"/>
        </w:rPr>
        <w:t>年进行了两次抢救性保护，仅缓解了衰退之势，未能从根本上解决该树生存环境恶化、树体生命受威胁的问题，古树抢救工作刻不容缓</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p>
    <w:bookmarkEnd w:id="24"/>
    <w:p w14:paraId="3E802C49">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.项目实施情况</w:t>
      </w:r>
    </w:p>
    <w:p w14:paraId="7E7D621F">
      <w:pPr>
        <w:pStyle w:val="2"/>
        <w:pageBreakBefore w:val="0"/>
        <w:kinsoku/>
        <w:wordWrap/>
        <w:overflowPunct/>
        <w:topLinePunct w:val="0"/>
        <w:autoSpaceDE/>
        <w:autoSpaceDN/>
        <w:bidi w:val="0"/>
        <w:spacing w:after="0" w:line="600" w:lineRule="exact"/>
        <w:ind w:firstLine="640" w:firstLineChars="200"/>
        <w:jc w:val="left"/>
        <w:rPr>
          <w:rFonts w:hint="eastAsia" w:ascii="方正仿宋简体" w:hAnsi="方正仿宋简体" w:eastAsia="方正仿宋简体" w:cs="方正仿宋简体"/>
          <w:color w:val="000000" w:themeColor="text1"/>
          <w:kern w:val="2"/>
          <w:sz w:val="32"/>
          <w:szCs w:val="32"/>
          <w:highlight w:val="none"/>
          <w:lang w:val="en-US"/>
          <w14:textFill>
            <w14:solidFill>
              <w14:schemeClr w14:val="tx1"/>
            </w14:solidFill>
          </w14:textFill>
        </w:rPr>
      </w:pPr>
      <w:bookmarkStart w:id="25" w:name="_Toc1137465073"/>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泸定县冷碛镇人民政府</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根据《泸定县冷碛镇古银杏保护及抢救复壮项目实施方案》及项目建议书等文件规划，结合冷碛镇古树实际环境情况，在古树原址（泸定县冷碛镇桐子林村二组古银杏周边地块）开展古银杏保护及抢救复壮。一是关于农户拆迁：需要进行全拆除搬迁安置的共</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6</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户，需要拆除圈舍的</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户，需要拆除围墙的</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户，建筑面积约</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1200</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平方米。二是古树保护及抢救复壮、配套设施设备、宣传教育标牌、绿化等。主要有：地上、地下生长环境改良；树体清腐及防腐处理、树体支撑、树体输液、有害生物防治、避雷设施、步行道路、地上、地下管网进行改建；公园围栏建设、客土回填、草坪铺设、休息椅设置、日常管护等。项目建设期</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年，即</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年</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月至</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2024</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年</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12</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月。</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年</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月—</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12</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月开展前期调查，申报项目落实资金，</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12</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月前全部完成拆除搬迁安置，同步进行现有步行道路、地上、地下直管网进行改建；</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2024</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年</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月至</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10</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月完成古树保护、抢救复壮、公园建设，同步开展日常管护工作，</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11</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月至</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12</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月检查验收。本次评价项目仅为</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年</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12</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月实施的农户拆除搬迁部分。</w:t>
      </w:r>
    </w:p>
    <w:p w14:paraId="24499256">
      <w:pPr>
        <w:pStyle w:val="2"/>
        <w:pageBreakBefore w:val="0"/>
        <w:kinsoku/>
        <w:wordWrap/>
        <w:overflowPunct/>
        <w:topLinePunct w:val="0"/>
        <w:autoSpaceDE/>
        <w:autoSpaceDN/>
        <w:bidi w:val="0"/>
        <w:spacing w:after="0" w:line="600" w:lineRule="exact"/>
        <w:ind w:firstLine="640" w:firstLineChars="200"/>
        <w:jc w:val="left"/>
        <w:outlineLvl w:val="1"/>
        <w:rPr>
          <w:rFonts w:hint="eastAsia" w:ascii="方正楷体简体" w:hAnsi="方正楷体简体" w:eastAsia="方正楷体简体" w:cs="方正楷体简体"/>
          <w:color w:val="000000"/>
          <w:sz w:val="32"/>
          <w:szCs w:val="32"/>
          <w:highlight w:val="none"/>
          <w:shd w:val="clear" w:color="auto" w:fill="FFFFFF"/>
          <w:lang w:val="zh-CN"/>
        </w:rPr>
      </w:pPr>
      <w:bookmarkStart w:id="26" w:name="_Toc11275"/>
      <w:bookmarkStart w:id="27" w:name="_Toc373335861"/>
      <w:bookmarkStart w:id="28" w:name="_Toc1872624354"/>
      <w:bookmarkStart w:id="29" w:name="_Toc28148"/>
      <w:r>
        <w:rPr>
          <w:rFonts w:hint="eastAsia" w:ascii="方正楷体简体" w:hAnsi="方正楷体简体" w:eastAsia="方正楷体简体" w:cs="方正楷体简体"/>
          <w:color w:val="000000"/>
          <w:sz w:val="32"/>
          <w:szCs w:val="32"/>
          <w:highlight w:val="none"/>
          <w:shd w:val="clear" w:color="auto" w:fill="FFFFFF"/>
          <w:lang w:val="zh-CN"/>
        </w:rPr>
        <w:t>（</w:t>
      </w:r>
      <w:r>
        <w:rPr>
          <w:rFonts w:hint="eastAsia" w:ascii="方正楷体简体" w:hAnsi="方正楷体简体" w:eastAsia="方正楷体简体" w:cs="方正楷体简体"/>
          <w:color w:val="000000"/>
          <w:sz w:val="32"/>
          <w:szCs w:val="32"/>
          <w:highlight w:val="none"/>
          <w:shd w:val="clear" w:color="auto" w:fill="FFFFFF"/>
        </w:rPr>
        <w:t>二</w:t>
      </w:r>
      <w:r>
        <w:rPr>
          <w:rFonts w:hint="eastAsia" w:ascii="方正楷体简体" w:hAnsi="方正楷体简体" w:eastAsia="方正楷体简体" w:cs="方正楷体简体"/>
          <w:color w:val="000000"/>
          <w:sz w:val="32"/>
          <w:szCs w:val="32"/>
          <w:highlight w:val="none"/>
          <w:shd w:val="clear" w:color="auto" w:fill="FFFFFF"/>
          <w:lang w:val="zh-CN"/>
        </w:rPr>
        <w:t>）资金投入及使用情况</w:t>
      </w:r>
      <w:bookmarkEnd w:id="25"/>
      <w:bookmarkEnd w:id="26"/>
      <w:bookmarkEnd w:id="27"/>
      <w:bookmarkEnd w:id="28"/>
      <w:bookmarkEnd w:id="29"/>
    </w:p>
    <w:p w14:paraId="5AE5B0D7">
      <w:pPr>
        <w:pageBreakBefore w:val="0"/>
        <w:widowControl/>
        <w:kinsoku/>
        <w:wordWrap/>
        <w:overflowPunct/>
        <w:topLinePunct w:val="0"/>
        <w:autoSpaceDE/>
        <w:autoSpaceDN/>
        <w:bidi w:val="0"/>
        <w:adjustRightInd w:val="0"/>
        <w:snapToGrid w:val="0"/>
        <w:spacing w:line="600" w:lineRule="exact"/>
        <w:ind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30" w:name="_Toc92"/>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冷碛镇古银杏保护与抢修复壮项目申请财政资金</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395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泸定县财政局</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年</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月</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14</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日以（</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泸财</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乡</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202</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25</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文件安排</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政府性基金</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380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年</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月</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日以（</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泸财</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乡</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202</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文件安排</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政府性基金</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，实际到位资金</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395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万元，共计支出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390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38</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w:t>
      </w:r>
    </w:p>
    <w:p w14:paraId="5074698B">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31" w:name="_Toc823786307"/>
      <w:bookmarkStart w:id="32" w:name="_Toc2013461402"/>
      <w:bookmarkStart w:id="33" w:name="_Toc1475229012"/>
      <w:bookmarkStart w:id="34" w:name="_Toc14051"/>
      <w:bookmarkStart w:id="35" w:name="_Toc16650"/>
      <w:r>
        <w:rPr>
          <w:rFonts w:hint="eastAsia" w:ascii="方正黑体简体" w:hAnsi="方正黑体简体" w:eastAsia="方正黑体简体" w:cs="方正黑体简体"/>
          <w:color w:val="000000"/>
          <w:kern w:val="0"/>
          <w:sz w:val="32"/>
          <w:szCs w:val="32"/>
          <w:highlight w:val="none"/>
          <w:shd w:val="clear" w:color="auto" w:fill="FFFFFF"/>
        </w:rPr>
        <w:t>二、评价工作开展情况</w:t>
      </w:r>
      <w:bookmarkEnd w:id="30"/>
      <w:bookmarkEnd w:id="31"/>
      <w:bookmarkEnd w:id="32"/>
      <w:bookmarkEnd w:id="33"/>
      <w:bookmarkEnd w:id="34"/>
      <w:bookmarkEnd w:id="35"/>
    </w:p>
    <w:p w14:paraId="04485974">
      <w:pPr>
        <w:pageBreakBefore w:val="0"/>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rPr>
      </w:pPr>
      <w:bookmarkStart w:id="36" w:name="_Toc26040"/>
      <w:bookmarkStart w:id="37" w:name="_Toc374873874"/>
      <w:bookmarkStart w:id="38" w:name="_Toc552897559"/>
      <w:bookmarkStart w:id="39" w:name="_Toc14618"/>
      <w:bookmarkStart w:id="40" w:name="_Toc1526787527"/>
      <w:bookmarkStart w:id="41" w:name="_Toc3977"/>
      <w:r>
        <w:rPr>
          <w:rFonts w:hint="eastAsia" w:ascii="方正楷体简体" w:hAnsi="方正楷体简体" w:eastAsia="方正楷体简体" w:cs="方正楷体简体"/>
          <w:color w:val="000000"/>
          <w:kern w:val="0"/>
          <w:sz w:val="32"/>
          <w:szCs w:val="32"/>
          <w:highlight w:val="none"/>
          <w:shd w:val="clear" w:color="auto" w:fill="FFFFFF"/>
        </w:rPr>
        <w:t>（一）评价范围</w:t>
      </w:r>
      <w:bookmarkEnd w:id="36"/>
      <w:bookmarkEnd w:id="37"/>
      <w:bookmarkEnd w:id="38"/>
      <w:bookmarkEnd w:id="39"/>
      <w:bookmarkEnd w:id="40"/>
      <w:bookmarkEnd w:id="41"/>
    </w:p>
    <w:p w14:paraId="68DE9746">
      <w:pPr>
        <w:pStyle w:val="2"/>
        <w:pageBreakBefore w:val="0"/>
        <w:kinsoku/>
        <w:wordWrap/>
        <w:overflowPunct/>
        <w:topLinePunct w:val="0"/>
        <w:autoSpaceDE/>
        <w:autoSpaceDN/>
        <w:bidi w:val="0"/>
        <w:spacing w:after="0" w:line="600" w:lineRule="exact"/>
        <w:ind w:firstLine="640" w:firstLineChars="200"/>
        <w:rPr>
          <w:rFonts w:hint="eastAsia" w:ascii="方正仿宋简体" w:hAnsi="方正仿宋简体" w:eastAsia="方正仿宋简体" w:cs="方正仿宋简体"/>
          <w:color w:val="000000"/>
          <w:kern w:val="2"/>
          <w:sz w:val="32"/>
          <w:szCs w:val="32"/>
          <w:highlight w:val="none"/>
          <w:shd w:val="clear" w:color="auto" w:fill="FFFFFF"/>
          <w:lang w:eastAsia="zh-CN"/>
        </w:rPr>
      </w:pPr>
      <w:r>
        <w:rPr>
          <w:rFonts w:hint="eastAsia" w:ascii="方正仿宋简体" w:hAnsi="方正仿宋简体" w:eastAsia="方正仿宋简体" w:cs="方正仿宋简体"/>
          <w:color w:val="000000"/>
          <w:kern w:val="2"/>
          <w:sz w:val="32"/>
          <w:szCs w:val="32"/>
          <w:highlight w:val="none"/>
          <w:shd w:val="clear" w:color="auto" w:fill="FFFFFF"/>
        </w:rPr>
        <w:t>对</w:t>
      </w:r>
      <w:r>
        <w:rPr>
          <w:rFonts w:hint="eastAsia" w:ascii="方正仿宋简体" w:hAnsi="方正仿宋简体" w:eastAsia="方正仿宋简体" w:cs="方正仿宋简体"/>
          <w:color w:val="000000"/>
          <w:kern w:val="2"/>
          <w:sz w:val="32"/>
          <w:szCs w:val="32"/>
          <w:highlight w:val="none"/>
          <w:shd w:val="clear" w:color="auto" w:fill="FFFFFF"/>
          <w:lang w:eastAsia="zh-CN"/>
        </w:rPr>
        <w:t>泸定县冷碛镇人民政府</w:t>
      </w:r>
      <w:r>
        <w:rPr>
          <w:rFonts w:hint="eastAsia" w:ascii="方正仿宋简体" w:hAnsi="方正仿宋简体" w:eastAsia="方正仿宋简体" w:cs="方正仿宋简体"/>
          <w:color w:val="000000"/>
          <w:kern w:val="2"/>
          <w:sz w:val="32"/>
          <w:szCs w:val="32"/>
          <w:highlight w:val="none"/>
          <w:shd w:val="clear" w:color="auto" w:fill="FFFFFF"/>
          <w:lang w:val="en-US" w:eastAsia="zh-CN"/>
        </w:rPr>
        <w:t>实施的</w:t>
      </w:r>
      <w:r>
        <w:rPr>
          <w:rFonts w:hint="eastAsia" w:ascii="方正仿宋简体" w:hAnsi="方正仿宋简体" w:eastAsia="方正仿宋简体" w:cs="方正仿宋简体"/>
          <w:color w:val="000000"/>
          <w:kern w:val="2"/>
          <w:sz w:val="32"/>
          <w:szCs w:val="32"/>
          <w:highlight w:val="none"/>
          <w:shd w:val="clear" w:color="auto" w:fill="FFFFFF"/>
          <w:lang w:eastAsia="zh-CN"/>
        </w:rPr>
        <w:t>冷碛镇古银杏保护与抢修复壮项目</w:t>
      </w:r>
      <w:r>
        <w:rPr>
          <w:rFonts w:hint="eastAsia" w:ascii="方正仿宋简体" w:hAnsi="方正仿宋简体" w:eastAsia="方正仿宋简体" w:cs="方正仿宋简体"/>
          <w:color w:val="000000"/>
          <w:kern w:val="2"/>
          <w:sz w:val="32"/>
          <w:szCs w:val="32"/>
          <w:highlight w:val="none"/>
          <w:shd w:val="clear" w:color="auto" w:fill="FFFFFF"/>
        </w:rPr>
        <w:t>进行绩效评价</w:t>
      </w:r>
      <w:r>
        <w:rPr>
          <w:rFonts w:hint="eastAsia" w:ascii="方正仿宋简体" w:hAnsi="方正仿宋简体" w:eastAsia="方正仿宋简体" w:cs="方正仿宋简体"/>
          <w:color w:val="000000"/>
          <w:kern w:val="2"/>
          <w:sz w:val="32"/>
          <w:szCs w:val="32"/>
          <w:highlight w:val="none"/>
          <w:shd w:val="clear" w:color="auto" w:fill="FFFFFF"/>
          <w:lang w:eastAsia="zh-CN"/>
        </w:rPr>
        <w:t>。</w:t>
      </w:r>
    </w:p>
    <w:p w14:paraId="37458BFB">
      <w:pPr>
        <w:pageBreakBefore w:val="0"/>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rPr>
      </w:pPr>
      <w:bookmarkStart w:id="42" w:name="_Toc410"/>
      <w:r>
        <w:rPr>
          <w:rFonts w:hint="eastAsia" w:ascii="方正楷体简体" w:hAnsi="方正楷体简体" w:eastAsia="方正楷体简体" w:cs="方正楷体简体"/>
          <w:color w:val="000000"/>
          <w:kern w:val="0"/>
          <w:sz w:val="32"/>
          <w:szCs w:val="32"/>
          <w:highlight w:val="none"/>
          <w:shd w:val="clear" w:color="auto" w:fill="FFFFFF"/>
        </w:rPr>
        <w:t>（二）评价目的</w:t>
      </w:r>
      <w:bookmarkEnd w:id="42"/>
    </w:p>
    <w:p w14:paraId="1AC1AD53">
      <w:pPr>
        <w:pStyle w:val="2"/>
        <w:pageBreakBefore w:val="0"/>
        <w:kinsoku/>
        <w:wordWrap/>
        <w:overflowPunct/>
        <w:topLinePunct w:val="0"/>
        <w:autoSpaceDE/>
        <w:autoSpaceDN/>
        <w:bidi w:val="0"/>
        <w:spacing w:after="0" w:line="600" w:lineRule="exact"/>
        <w:ind w:firstLine="561"/>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通过对</w:t>
      </w:r>
      <w:r>
        <w:rPr>
          <w:rFonts w:hint="eastAsia" w:ascii="方正仿宋简体" w:hAnsi="方正仿宋简体" w:eastAsia="方正仿宋简体" w:cs="方正仿宋简体"/>
          <w:sz w:val="32"/>
          <w:szCs w:val="32"/>
          <w:highlight w:val="none"/>
          <w:lang w:eastAsia="zh-CN"/>
        </w:rPr>
        <w:t>冷碛镇古银杏保护与抢修复壮项目</w:t>
      </w:r>
      <w:r>
        <w:rPr>
          <w:rFonts w:hint="eastAsia" w:ascii="方正仿宋简体" w:hAnsi="方正仿宋简体" w:eastAsia="方正仿宋简体" w:cs="方正仿宋简体"/>
          <w:sz w:val="32"/>
          <w:szCs w:val="32"/>
          <w:highlight w:val="none"/>
        </w:rPr>
        <w:t>进行绩效评价，发现项目实施过程存在的问题，并督促被评价单位及时整改。同时对</w:t>
      </w:r>
      <w:r>
        <w:rPr>
          <w:rFonts w:hint="eastAsia" w:ascii="方正仿宋简体" w:hAnsi="方正仿宋简体" w:eastAsia="方正仿宋简体" w:cs="方正仿宋简体"/>
          <w:sz w:val="32"/>
          <w:szCs w:val="32"/>
          <w:highlight w:val="none"/>
          <w:lang w:eastAsia="zh-CN"/>
        </w:rPr>
        <w:t>冷碛镇古银杏保护与抢修复壮项目</w:t>
      </w:r>
      <w:r>
        <w:rPr>
          <w:rFonts w:hint="eastAsia" w:ascii="方正仿宋简体" w:hAnsi="方正仿宋简体" w:eastAsia="方正仿宋简体" w:cs="方正仿宋简体"/>
          <w:sz w:val="32"/>
          <w:szCs w:val="32"/>
          <w:highlight w:val="none"/>
        </w:rPr>
        <w:t>绩效评价主要目的是发挥绩效评价对决策信息的反馈作用，建立一种科学、明确的绩效目标作为预算编制依据，将绩效评价融入整个预算编制过程，为规范和加强财政支出管理，强化支出责任，建立科学、规范的财政支出绩效评价管理体系，提高财政资金使用效益</w:t>
      </w:r>
      <w:r>
        <w:rPr>
          <w:rFonts w:hint="eastAsia" w:ascii="方正仿宋简体" w:hAnsi="方正仿宋简体" w:eastAsia="方正仿宋简体" w:cs="方正仿宋简体"/>
          <w:color w:val="000000"/>
          <w:sz w:val="32"/>
          <w:szCs w:val="32"/>
          <w:highlight w:val="none"/>
          <w:shd w:val="clear" w:color="auto" w:fill="FFFFFF"/>
        </w:rPr>
        <w:t>。</w:t>
      </w:r>
      <w:bookmarkStart w:id="43" w:name="_Toc25044"/>
    </w:p>
    <w:p w14:paraId="18AA5C1D">
      <w:pPr>
        <w:pageBreakBefore w:val="0"/>
        <w:kinsoku/>
        <w:wordWrap/>
        <w:overflowPunct/>
        <w:topLinePunct w:val="0"/>
        <w:autoSpaceDE/>
        <w:autoSpaceDN/>
        <w:bidi w:val="0"/>
        <w:spacing w:line="600" w:lineRule="exact"/>
        <w:ind w:firstLine="561"/>
        <w:outlineLvl w:val="1"/>
        <w:rPr>
          <w:rFonts w:hint="eastAsia" w:ascii="方正楷体简体" w:hAnsi="方正楷体简体" w:eastAsia="方正楷体简体" w:cs="方正楷体简体"/>
          <w:color w:val="000000"/>
          <w:kern w:val="0"/>
          <w:sz w:val="32"/>
          <w:szCs w:val="32"/>
          <w:highlight w:val="none"/>
          <w:shd w:val="clear" w:color="auto" w:fill="FFFFFF"/>
        </w:rPr>
      </w:pPr>
      <w:bookmarkStart w:id="44" w:name="_Toc69892372"/>
      <w:bookmarkStart w:id="45" w:name="_Toc256358140"/>
      <w:bookmarkStart w:id="46" w:name="_Toc695837166"/>
      <w:bookmarkStart w:id="47" w:name="_Toc4506"/>
      <w:bookmarkStart w:id="48" w:name="_Toc18461"/>
      <w:r>
        <w:rPr>
          <w:rFonts w:hint="eastAsia" w:ascii="方正楷体简体" w:hAnsi="方正楷体简体" w:eastAsia="方正楷体简体" w:cs="方正楷体简体"/>
          <w:color w:val="000000"/>
          <w:kern w:val="0"/>
          <w:sz w:val="32"/>
          <w:szCs w:val="32"/>
          <w:highlight w:val="none"/>
          <w:shd w:val="clear" w:color="auto" w:fill="FFFFFF"/>
        </w:rPr>
        <w:t>（三）</w:t>
      </w:r>
      <w:bookmarkEnd w:id="43"/>
      <w:bookmarkEnd w:id="44"/>
      <w:bookmarkEnd w:id="45"/>
      <w:bookmarkEnd w:id="46"/>
      <w:bookmarkEnd w:id="47"/>
      <w:r>
        <w:rPr>
          <w:rFonts w:hint="eastAsia" w:ascii="方正楷体简体" w:hAnsi="方正楷体简体" w:eastAsia="方正楷体简体" w:cs="方正楷体简体"/>
          <w:color w:val="000000"/>
          <w:kern w:val="0"/>
          <w:sz w:val="32"/>
          <w:szCs w:val="32"/>
          <w:highlight w:val="none"/>
          <w:shd w:val="clear" w:color="auto" w:fill="FFFFFF"/>
        </w:rPr>
        <w:t>评价依据</w:t>
      </w:r>
      <w:bookmarkEnd w:id="48"/>
    </w:p>
    <w:p w14:paraId="41C170CA">
      <w:pPr>
        <w:pStyle w:val="2"/>
        <w:pageBreakBefore w:val="0"/>
        <w:numPr>
          <w:ilvl w:val="0"/>
          <w:numId w:val="2"/>
        </w:numPr>
        <w:kinsoku/>
        <w:wordWrap/>
        <w:overflowPunct/>
        <w:topLinePunct w:val="0"/>
        <w:autoSpaceDE/>
        <w:autoSpaceDN/>
        <w:bidi w:val="0"/>
        <w:spacing w:after="0" w:line="600" w:lineRule="exact"/>
        <w:ind w:left="0" w:leftChars="0" w:firstLine="567" w:firstLineChars="0"/>
        <w:rPr>
          <w:rFonts w:hint="eastAsia" w:ascii="方正仿宋简体" w:hAnsi="方正仿宋简体" w:eastAsia="方正仿宋简体" w:cs="方正仿宋简体"/>
          <w:sz w:val="32"/>
          <w:szCs w:val="32"/>
          <w:highlight w:val="none"/>
        </w:rPr>
      </w:pPr>
      <w:bookmarkStart w:id="49" w:name="_Toc1431999818"/>
      <w:bookmarkStart w:id="50" w:name="_Toc1283387961"/>
      <w:bookmarkStart w:id="51" w:name="_Toc2131644227"/>
      <w:bookmarkStart w:id="52" w:name="_Toc12644"/>
      <w:bookmarkStart w:id="53" w:name="_Toc24122"/>
      <w:r>
        <w:rPr>
          <w:rFonts w:hint="eastAsia" w:ascii="方正仿宋简体" w:hAnsi="方正仿宋简体" w:eastAsia="方正仿宋简体" w:cs="方正仿宋简体"/>
          <w:sz w:val="32"/>
          <w:szCs w:val="32"/>
          <w:highlight w:val="none"/>
        </w:rPr>
        <w:t>《关于推进预算绩效管理的指导意见》（财预〔</w:t>
      </w:r>
      <w:r>
        <w:rPr>
          <w:rFonts w:hint="default" w:ascii="Times New Roman" w:hAnsi="Times New Roman" w:eastAsia="方正仿宋简体" w:cs="Times New Roman"/>
          <w:sz w:val="32"/>
          <w:szCs w:val="32"/>
          <w:highlight w:val="none"/>
        </w:rPr>
        <w:t>2011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416</w:t>
      </w:r>
      <w:r>
        <w:rPr>
          <w:rFonts w:hint="eastAsia" w:ascii="方正仿宋简体" w:hAnsi="方正仿宋简体" w:eastAsia="方正仿宋简体" w:cs="方正仿宋简体"/>
          <w:sz w:val="32"/>
          <w:szCs w:val="32"/>
          <w:highlight w:val="none"/>
        </w:rPr>
        <w:t>号）；</w:t>
      </w:r>
    </w:p>
    <w:p w14:paraId="44DDEF18">
      <w:pPr>
        <w:pStyle w:val="2"/>
        <w:pageBreakBefore w:val="0"/>
        <w:numPr>
          <w:ilvl w:val="0"/>
          <w:numId w:val="2"/>
        </w:numPr>
        <w:kinsoku/>
        <w:wordWrap/>
        <w:overflowPunct/>
        <w:topLinePunct w:val="0"/>
        <w:autoSpaceDE/>
        <w:autoSpaceDN/>
        <w:bidi w:val="0"/>
        <w:spacing w:after="0" w:line="600" w:lineRule="exact"/>
        <w:ind w:left="0" w:leftChars="0" w:firstLine="567" w:firstLine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《财政部〈关于印发项目支出绩效评价管理办法〉的通知》（财预〔</w:t>
      </w:r>
      <w:r>
        <w:rPr>
          <w:rFonts w:hint="default" w:ascii="Times New Roman" w:hAnsi="Times New Roman" w:eastAsia="方正仿宋简体" w:cs="Times New Roman"/>
          <w:sz w:val="32"/>
          <w:szCs w:val="32"/>
          <w:highlight w:val="none"/>
        </w:rPr>
        <w:t>2020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号）；</w:t>
      </w:r>
    </w:p>
    <w:p w14:paraId="41BB57DE">
      <w:pPr>
        <w:pStyle w:val="2"/>
        <w:pageBreakBefore w:val="0"/>
        <w:numPr>
          <w:ilvl w:val="0"/>
          <w:numId w:val="2"/>
        </w:numPr>
        <w:kinsoku/>
        <w:wordWrap/>
        <w:overflowPunct/>
        <w:topLinePunct w:val="0"/>
        <w:autoSpaceDE/>
        <w:autoSpaceDN/>
        <w:bidi w:val="0"/>
        <w:spacing w:after="0" w:line="600" w:lineRule="exact"/>
        <w:ind w:left="0" w:leftChars="0" w:firstLine="567" w:firstLine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《中共中央 国务院关于全面实施预算绩效管理的意见》（中发〔</w:t>
      </w:r>
      <w:r>
        <w:rPr>
          <w:rFonts w:hint="default" w:ascii="Times New Roman" w:hAnsi="Times New Roman" w:eastAsia="方正仿宋简体" w:cs="Times New Roman"/>
          <w:sz w:val="32"/>
          <w:szCs w:val="32"/>
          <w:highlight w:val="none"/>
        </w:rPr>
        <w:t>2018</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34</w:t>
      </w:r>
      <w:r>
        <w:rPr>
          <w:rFonts w:hint="eastAsia" w:ascii="方正仿宋简体" w:hAnsi="方正仿宋简体" w:eastAsia="方正仿宋简体" w:cs="方正仿宋简体"/>
          <w:sz w:val="32"/>
          <w:szCs w:val="32"/>
          <w:highlight w:val="none"/>
        </w:rPr>
        <w:t>号）；</w:t>
      </w:r>
    </w:p>
    <w:p w14:paraId="31BDACDE">
      <w:pPr>
        <w:pStyle w:val="2"/>
        <w:pageBreakBefore w:val="0"/>
        <w:numPr>
          <w:ilvl w:val="0"/>
          <w:numId w:val="2"/>
        </w:numPr>
        <w:kinsoku/>
        <w:wordWrap/>
        <w:overflowPunct/>
        <w:topLinePunct w:val="0"/>
        <w:autoSpaceDE/>
        <w:autoSpaceDN/>
        <w:bidi w:val="0"/>
        <w:spacing w:after="0" w:line="600" w:lineRule="exact"/>
        <w:ind w:left="0" w:leftChars="0" w:firstLine="567" w:firstLine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《中共四川省委 四川省人民政府关于全面实施预算绩效管理的实施意见》（川委发〔</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w:t>
      </w:r>
      <w:r>
        <w:rPr>
          <w:rFonts w:hint="eastAsia" w:ascii="方正仿宋简体" w:hAnsi="方正仿宋简体" w:eastAsia="方正仿宋简体" w:cs="方正仿宋简体"/>
          <w:sz w:val="32"/>
          <w:szCs w:val="32"/>
          <w:highlight w:val="none"/>
        </w:rPr>
        <w:t xml:space="preserve"> 号）；</w:t>
      </w:r>
    </w:p>
    <w:p w14:paraId="56D964E1">
      <w:pPr>
        <w:pStyle w:val="2"/>
        <w:pageBreakBefore w:val="0"/>
        <w:numPr>
          <w:ilvl w:val="0"/>
          <w:numId w:val="2"/>
        </w:numPr>
        <w:kinsoku/>
        <w:wordWrap/>
        <w:overflowPunct/>
        <w:topLinePunct w:val="0"/>
        <w:autoSpaceDE/>
        <w:autoSpaceDN/>
        <w:bidi w:val="0"/>
        <w:spacing w:after="0" w:line="600" w:lineRule="exact"/>
        <w:ind w:left="0" w:leftChars="0" w:firstLine="567" w:firstLine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《四川省省级项目支出绩效管理办法》（川财绩〔</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14</w:t>
      </w:r>
      <w:r>
        <w:rPr>
          <w:rFonts w:hint="eastAsia" w:ascii="方正仿宋简体" w:hAnsi="方正仿宋简体" w:eastAsia="方正仿宋简体" w:cs="方正仿宋简体"/>
          <w:sz w:val="32"/>
          <w:szCs w:val="32"/>
          <w:highlight w:val="none"/>
        </w:rPr>
        <w:t xml:space="preserve"> 号）；</w:t>
      </w:r>
    </w:p>
    <w:p w14:paraId="1082B11A">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rPr>
        <w:t>《泸定县财政局关于开展</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年县本级财政支出项目绩效评价工作的通知》（泸财〔</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41</w:t>
      </w:r>
      <w:r>
        <w:rPr>
          <w:rFonts w:hint="eastAsia" w:ascii="方正仿宋简体" w:hAnsi="方正仿宋简体" w:eastAsia="方正仿宋简体" w:cs="方正仿宋简体"/>
          <w:sz w:val="32"/>
          <w:szCs w:val="32"/>
          <w:highlight w:val="none"/>
        </w:rPr>
        <w:t>号）；</w:t>
      </w:r>
    </w:p>
    <w:p w14:paraId="724B921D">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 xml:space="preserve"> </w:t>
      </w:r>
      <w:r>
        <w:rPr>
          <w:rFonts w:hint="eastAsia" w:ascii="方正仿宋简体" w:hAnsi="方正仿宋简体" w:eastAsia="方正仿宋简体" w:cs="方正仿宋简体"/>
          <w:sz w:val="32"/>
          <w:szCs w:val="32"/>
          <w:highlight w:val="none"/>
        </w:rPr>
        <w:t>其他相关法规及操作规范。</w:t>
      </w:r>
    </w:p>
    <w:p w14:paraId="2112342C">
      <w:pPr>
        <w:pageBreakBefore w:val="0"/>
        <w:kinsoku/>
        <w:wordWrap/>
        <w:overflowPunct/>
        <w:topLinePunct w:val="0"/>
        <w:autoSpaceDE/>
        <w:autoSpaceDN/>
        <w:bidi w:val="0"/>
        <w:spacing w:line="600" w:lineRule="exact"/>
        <w:ind w:firstLine="561"/>
        <w:outlineLvl w:val="1"/>
        <w:rPr>
          <w:rFonts w:hint="eastAsia" w:ascii="方正楷体简体" w:hAnsi="方正楷体简体" w:eastAsia="方正楷体简体" w:cs="方正楷体简体"/>
          <w:color w:val="000000"/>
          <w:kern w:val="0"/>
          <w:sz w:val="32"/>
          <w:szCs w:val="32"/>
          <w:highlight w:val="none"/>
          <w:shd w:val="clear" w:color="auto" w:fill="FFFFFF"/>
        </w:rPr>
      </w:pPr>
      <w:bookmarkStart w:id="54" w:name="_Toc11327"/>
      <w:r>
        <w:rPr>
          <w:rFonts w:hint="eastAsia" w:ascii="方正楷体简体" w:hAnsi="方正楷体简体" w:eastAsia="方正楷体简体" w:cs="方正楷体简体"/>
          <w:color w:val="000000"/>
          <w:kern w:val="0"/>
          <w:sz w:val="32"/>
          <w:szCs w:val="32"/>
          <w:highlight w:val="none"/>
          <w:shd w:val="clear" w:color="auto" w:fill="FFFFFF"/>
        </w:rPr>
        <w:t>（四）绩效评价指标体系</w:t>
      </w:r>
      <w:bookmarkEnd w:id="54"/>
    </w:p>
    <w:p w14:paraId="1FE111B4">
      <w:pPr>
        <w:pStyle w:val="2"/>
        <w:pageBreakBefore w:val="0"/>
        <w:kinsoku/>
        <w:wordWrap/>
        <w:overflowPunct/>
        <w:topLinePunct w:val="0"/>
        <w:autoSpaceDE/>
        <w:autoSpaceDN/>
        <w:bidi w:val="0"/>
        <w:spacing w:after="0" w:line="600" w:lineRule="exact"/>
        <w:ind w:firstLine="564"/>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w:t>
      </w:r>
      <w:r>
        <w:rPr>
          <w:rFonts w:hint="eastAsia" w:ascii="方正仿宋简体" w:hAnsi="方正仿宋简体" w:eastAsia="方正仿宋简体" w:cs="方正仿宋简体"/>
          <w:sz w:val="32"/>
          <w:szCs w:val="32"/>
          <w:highlight w:val="none"/>
          <w:lang w:eastAsia="zh-CN"/>
        </w:rPr>
        <w:t>《泸定县财政局关于开展</w:t>
      </w:r>
      <w:r>
        <w:rPr>
          <w:rFonts w:hint="default" w:ascii="Times New Roman" w:hAnsi="Times New Roman" w:eastAsia="方正仿宋简体" w:cs="Times New Roman"/>
          <w:sz w:val="32"/>
          <w:szCs w:val="32"/>
          <w:highlight w:val="none"/>
          <w:lang w:eastAsia="zh-CN"/>
        </w:rPr>
        <w:t>2024</w:t>
      </w:r>
      <w:r>
        <w:rPr>
          <w:rFonts w:hint="eastAsia" w:ascii="方正仿宋简体" w:hAnsi="方正仿宋简体" w:eastAsia="方正仿宋简体" w:cs="方正仿宋简体"/>
          <w:sz w:val="32"/>
          <w:szCs w:val="32"/>
          <w:highlight w:val="none"/>
          <w:lang w:eastAsia="zh-CN"/>
        </w:rPr>
        <w:t>年县本级财政支出项目绩效评价工作的通知》（泸财〔</w:t>
      </w:r>
      <w:r>
        <w:rPr>
          <w:rFonts w:hint="default" w:ascii="Times New Roman" w:hAnsi="Times New Roman" w:eastAsia="方正仿宋简体" w:cs="Times New Roman"/>
          <w:sz w:val="32"/>
          <w:szCs w:val="32"/>
          <w:highlight w:val="none"/>
          <w:lang w:eastAsia="zh-CN"/>
        </w:rPr>
        <w:t>2024</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41</w:t>
      </w:r>
      <w:r>
        <w:rPr>
          <w:rFonts w:hint="eastAsia" w:ascii="方正仿宋简体" w:hAnsi="方正仿宋简体" w:eastAsia="方正仿宋简体" w:cs="方正仿宋简体"/>
          <w:sz w:val="32"/>
          <w:szCs w:val="32"/>
          <w:highlight w:val="none"/>
          <w:lang w:eastAsia="zh-CN"/>
        </w:rPr>
        <w:t>号）</w:t>
      </w:r>
      <w:r>
        <w:rPr>
          <w:rFonts w:hint="eastAsia" w:ascii="方正仿宋简体" w:hAnsi="方正仿宋简体" w:eastAsia="方正仿宋简体" w:cs="方正仿宋简体"/>
          <w:sz w:val="32"/>
          <w:szCs w:val="32"/>
          <w:highlight w:val="none"/>
        </w:rPr>
        <w:t>等相关规定的评价指标体系和该项目的实际情况，评价组将项目支出绩效评价指标体系中共性指标设定为：基础设施（设备购置）项目，特性指标设定为：</w:t>
      </w:r>
      <w:r>
        <w:rPr>
          <w:rFonts w:hint="eastAsia" w:ascii="方正仿宋简体" w:hAnsi="方正仿宋简体" w:eastAsia="方正仿宋简体" w:cs="方正仿宋简体"/>
          <w:sz w:val="32"/>
          <w:szCs w:val="32"/>
          <w:highlight w:val="none"/>
          <w:lang w:val="en-US" w:eastAsia="zh-CN"/>
        </w:rPr>
        <w:t>基础设施（设备购置）项目</w:t>
      </w:r>
      <w:r>
        <w:rPr>
          <w:rFonts w:hint="eastAsia" w:ascii="方正仿宋简体" w:hAnsi="方正仿宋简体" w:eastAsia="方正仿宋简体" w:cs="方正仿宋简体"/>
          <w:sz w:val="32"/>
          <w:szCs w:val="32"/>
          <w:highlight w:val="none"/>
        </w:rPr>
        <w:t>，个性指标设定为：</w:t>
      </w:r>
      <w:r>
        <w:rPr>
          <w:rFonts w:hint="eastAsia" w:ascii="方正仿宋简体" w:hAnsi="方正仿宋简体" w:eastAsia="方正仿宋简体" w:cs="方正仿宋简体"/>
          <w:sz w:val="32"/>
          <w:szCs w:val="32"/>
          <w:highlight w:val="none"/>
          <w:lang w:val="en-US" w:eastAsia="zh-CN"/>
        </w:rPr>
        <w:t>满意度</w:t>
      </w:r>
      <w:r>
        <w:rPr>
          <w:rFonts w:hint="eastAsia" w:ascii="方正仿宋简体" w:hAnsi="方正仿宋简体" w:eastAsia="方正仿宋简体" w:cs="方正仿宋简体"/>
          <w:sz w:val="32"/>
          <w:szCs w:val="32"/>
          <w:highlight w:val="none"/>
        </w:rPr>
        <w:t>。设定评价指标及权重如下：</w:t>
      </w:r>
    </w:p>
    <w:p w14:paraId="44DAF835">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.项目决策：含</w:t>
      </w:r>
      <w:bookmarkStart w:id="55" w:name="_Hlk142489161"/>
      <w:r>
        <w:rPr>
          <w:rFonts w:hint="eastAsia" w:ascii="方正仿宋简体" w:hAnsi="方正仿宋简体" w:eastAsia="方正仿宋简体" w:cs="方正仿宋简体"/>
          <w:sz w:val="32"/>
          <w:szCs w:val="32"/>
          <w:highlight w:val="none"/>
        </w:rPr>
        <w:t>程序严密、规划合理、制度完备</w:t>
      </w:r>
      <w:bookmarkEnd w:id="55"/>
      <w:r>
        <w:rPr>
          <w:rFonts w:hint="eastAsia" w:ascii="方正仿宋简体" w:hAnsi="方正仿宋简体" w:eastAsia="方正仿宋简体" w:cs="方正仿宋简体"/>
          <w:sz w:val="32"/>
          <w:szCs w:val="32"/>
          <w:highlight w:val="none"/>
        </w:rPr>
        <w:t>三个二级指标，权重合计为</w:t>
      </w:r>
      <w:r>
        <w:rPr>
          <w:rFonts w:hint="default" w:ascii="Times New Roman" w:hAnsi="Times New Roman" w:eastAsia="方正仿宋简体" w:cs="Times New Roman"/>
          <w:sz w:val="32"/>
          <w:szCs w:val="32"/>
          <w:highlight w:val="none"/>
        </w:rPr>
        <w:t>12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EAEAB92">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.项目实施：含分配合理、使用合规、执行有效三个二级指标，权重合计为</w:t>
      </w:r>
      <w:r>
        <w:rPr>
          <w:rFonts w:hint="default" w:ascii="Times New Roman" w:hAnsi="Times New Roman" w:eastAsia="方正仿宋简体" w:cs="Times New Roman"/>
          <w:sz w:val="32"/>
          <w:szCs w:val="32"/>
          <w:highlight w:val="none"/>
        </w:rPr>
        <w:t>11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2F6E0354">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.完成结果：含预算完成、目标完成、完成及时、违规记录四个二级指标，权重合计为</w:t>
      </w:r>
      <w:r>
        <w:rPr>
          <w:rFonts w:hint="default" w:ascii="Times New Roman" w:hAnsi="Times New Roman" w:eastAsia="方正仿宋简体" w:cs="Times New Roman"/>
          <w:sz w:val="32"/>
          <w:szCs w:val="32"/>
          <w:highlight w:val="none"/>
        </w:rPr>
        <w:t>17</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7C0202C5">
      <w:pPr>
        <w:pageBreakBefore w:val="0"/>
        <w:kinsoku/>
        <w:wordWrap/>
        <w:overflowPunct/>
        <w:topLinePunct w:val="0"/>
        <w:autoSpaceDE/>
        <w:autoSpaceDN/>
        <w:bidi w:val="0"/>
        <w:spacing w:line="600" w:lineRule="exact"/>
        <w:ind w:firstLine="564"/>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.项目效果：含</w:t>
      </w:r>
      <w:r>
        <w:rPr>
          <w:rFonts w:hint="eastAsia" w:ascii="方正仿宋简体" w:hAnsi="方正仿宋简体" w:eastAsia="方正仿宋简体" w:cs="方正仿宋简体"/>
          <w:sz w:val="32"/>
          <w:szCs w:val="32"/>
          <w:highlight w:val="none"/>
          <w:lang w:val="en-US" w:eastAsia="zh-CN"/>
        </w:rPr>
        <w:t>功能性、配套性两个</w:t>
      </w:r>
      <w:r>
        <w:rPr>
          <w:rFonts w:hint="eastAsia" w:ascii="方正仿宋简体" w:hAnsi="方正仿宋简体" w:eastAsia="方正仿宋简体" w:cs="方正仿宋简体"/>
          <w:sz w:val="32"/>
          <w:szCs w:val="32"/>
          <w:highlight w:val="none"/>
        </w:rPr>
        <w:t>二级指标，权重合计为</w:t>
      </w:r>
      <w:r>
        <w:rPr>
          <w:rFonts w:hint="default" w:ascii="Times New Roman" w:hAnsi="Times New Roman" w:eastAsia="方正仿宋简体" w:cs="Times New Roman"/>
          <w:sz w:val="32"/>
          <w:szCs w:val="32"/>
          <w:highlight w:val="none"/>
          <w:lang w:val="en-US" w:eastAsia="zh-CN"/>
        </w:rPr>
        <w:t>2</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2494431">
      <w:pPr>
        <w:pStyle w:val="2"/>
        <w:pageBreakBefore w:val="0"/>
        <w:kinsoku/>
        <w:wordWrap/>
        <w:overflowPunct/>
        <w:topLinePunct w:val="0"/>
        <w:autoSpaceDE/>
        <w:autoSpaceDN/>
        <w:bidi w:val="0"/>
        <w:spacing w:after="0" w:line="600" w:lineRule="exact"/>
        <w:ind w:firstLine="564"/>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完成质量</w:t>
      </w:r>
      <w:r>
        <w:rPr>
          <w:rFonts w:hint="eastAsia" w:ascii="方正仿宋简体" w:hAnsi="方正仿宋简体" w:eastAsia="方正仿宋简体" w:cs="方正仿宋简体"/>
          <w:sz w:val="32"/>
          <w:szCs w:val="32"/>
          <w:highlight w:val="none"/>
        </w:rPr>
        <w:t>：含</w:t>
      </w:r>
      <w:r>
        <w:rPr>
          <w:rFonts w:hint="eastAsia" w:ascii="方正仿宋简体" w:hAnsi="方正仿宋简体" w:eastAsia="方正仿宋简体" w:cs="方正仿宋简体"/>
          <w:sz w:val="32"/>
          <w:szCs w:val="32"/>
          <w:highlight w:val="none"/>
          <w:lang w:val="en-US" w:eastAsia="zh-CN"/>
        </w:rPr>
        <w:t>质量达标</w:t>
      </w:r>
      <w:r>
        <w:rPr>
          <w:rFonts w:hint="eastAsia" w:ascii="方正仿宋简体" w:hAnsi="方正仿宋简体" w:eastAsia="方正仿宋简体" w:cs="方正仿宋简体"/>
          <w:sz w:val="32"/>
          <w:szCs w:val="32"/>
          <w:highlight w:val="none"/>
        </w:rPr>
        <w:t>一个二级指标，权重合计为</w:t>
      </w:r>
      <w:r>
        <w:rPr>
          <w:rFonts w:hint="default" w:ascii="Times New Roman" w:hAnsi="Times New Roman" w:eastAsia="方正仿宋简体" w:cs="Times New Roman"/>
          <w:sz w:val="32"/>
          <w:szCs w:val="32"/>
          <w:highlight w:val="none"/>
        </w:rPr>
        <w:t>1</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69347F95">
      <w:pPr>
        <w:pageBreakBefore w:val="0"/>
        <w:kinsoku/>
        <w:wordWrap/>
        <w:overflowPunct/>
        <w:topLinePunct w:val="0"/>
        <w:autoSpaceDE/>
        <w:autoSpaceDN/>
        <w:bidi w:val="0"/>
        <w:spacing w:line="600" w:lineRule="exact"/>
        <w:ind w:firstLine="564"/>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6</w:t>
      </w:r>
      <w:r>
        <w:rPr>
          <w:rFonts w:hint="eastAsia" w:ascii="方正仿宋简体" w:hAnsi="方正仿宋简体" w:eastAsia="方正仿宋简体" w:cs="方正仿宋简体"/>
          <w:sz w:val="32"/>
          <w:szCs w:val="32"/>
          <w:highlight w:val="none"/>
        </w:rPr>
        <w:t>.社会效益：含</w:t>
      </w:r>
      <w:r>
        <w:rPr>
          <w:rFonts w:hint="eastAsia" w:ascii="方正仿宋简体" w:hAnsi="方正仿宋简体" w:eastAsia="方正仿宋简体" w:cs="方正仿宋简体"/>
          <w:sz w:val="32"/>
          <w:szCs w:val="32"/>
          <w:highlight w:val="none"/>
          <w:lang w:val="en-US" w:eastAsia="zh-CN"/>
        </w:rPr>
        <w:t>生态效益和经济效益两</w:t>
      </w:r>
      <w:r>
        <w:rPr>
          <w:rFonts w:hint="eastAsia" w:ascii="方正仿宋简体" w:hAnsi="方正仿宋简体" w:eastAsia="方正仿宋简体" w:cs="方正仿宋简体"/>
          <w:sz w:val="32"/>
          <w:szCs w:val="32"/>
          <w:highlight w:val="none"/>
        </w:rPr>
        <w:t>个二级指标，权重合计为</w:t>
      </w:r>
      <w:r>
        <w:rPr>
          <w:rFonts w:hint="default" w:ascii="Times New Roman" w:hAnsi="Times New Roman" w:eastAsia="方正仿宋简体" w:cs="Times New Roman"/>
          <w:sz w:val="32"/>
          <w:szCs w:val="32"/>
          <w:highlight w:val="none"/>
          <w:lang w:val="en-US" w:eastAsia="zh-CN"/>
        </w:rPr>
        <w:t>20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496C461">
      <w:pPr>
        <w:pageBreakBefore w:val="0"/>
        <w:kinsoku/>
        <w:wordWrap/>
        <w:overflowPunct/>
        <w:topLinePunct w:val="0"/>
        <w:autoSpaceDE/>
        <w:autoSpaceDN/>
        <w:bidi w:val="0"/>
        <w:spacing w:line="600" w:lineRule="exact"/>
        <w:ind w:firstLine="564"/>
        <w:rPr>
          <w:rFonts w:hint="eastAsia" w:ascii="方正黑体简体" w:hAnsi="方正黑体简体" w:eastAsia="方正黑体简体" w:cs="方正黑体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lang w:val="en-US" w:eastAsia="zh-CN"/>
        </w:rPr>
        <w:t>.满意度：含社会满意度一个二级指标，权重合计为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265D8307">
      <w:pPr>
        <w:pageBreakBefore w:val="0"/>
        <w:kinsoku/>
        <w:wordWrap/>
        <w:overflowPunct/>
        <w:topLinePunct w:val="0"/>
        <w:autoSpaceDE/>
        <w:autoSpaceDN/>
        <w:bidi w:val="0"/>
        <w:spacing w:line="600" w:lineRule="exact"/>
        <w:ind w:firstLine="640" w:firstLineChars="200"/>
        <w:outlineLvl w:val="0"/>
        <w:rPr>
          <w:rFonts w:hint="eastAsia" w:ascii="方正黑体简体" w:hAnsi="方正黑体简体" w:eastAsia="方正黑体简体" w:cs="方正黑体简体"/>
          <w:sz w:val="32"/>
          <w:szCs w:val="32"/>
          <w:highlight w:val="none"/>
        </w:rPr>
      </w:pPr>
      <w:r>
        <w:rPr>
          <w:rFonts w:hint="eastAsia" w:ascii="方正黑体简体" w:hAnsi="方正黑体简体" w:eastAsia="方正黑体简体" w:cs="方正黑体简体"/>
          <w:sz w:val="32"/>
          <w:szCs w:val="32"/>
          <w:highlight w:val="none"/>
        </w:rPr>
        <w:t>三、评价情况及结论</w:t>
      </w:r>
      <w:bookmarkEnd w:id="49"/>
      <w:bookmarkEnd w:id="50"/>
      <w:bookmarkEnd w:id="51"/>
      <w:bookmarkEnd w:id="52"/>
      <w:bookmarkEnd w:id="53"/>
    </w:p>
    <w:p w14:paraId="54DB838C">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color w:val="000000"/>
          <w:sz w:val="32"/>
          <w:szCs w:val="32"/>
          <w:highlight w:val="none"/>
          <w:shd w:val="clear" w:color="auto" w:fill="FFFFFF"/>
          <w:lang w:val="en-US" w:eastAsia="zh-CN"/>
        </w:rPr>
      </w:pPr>
      <w:r>
        <w:rPr>
          <w:rFonts w:hint="eastAsia" w:ascii="方正仿宋简体" w:hAnsi="方正仿宋简体" w:eastAsia="方正仿宋简体" w:cs="方正仿宋简体"/>
          <w:color w:val="000000"/>
          <w:kern w:val="2"/>
          <w:sz w:val="32"/>
          <w:szCs w:val="32"/>
          <w:highlight w:val="none"/>
          <w:shd w:val="clear" w:color="auto" w:fill="FFFFFF"/>
          <w:lang w:eastAsia="zh-CN"/>
        </w:rPr>
        <w:t>冷碛镇古银杏保护与抢修复壮项目</w:t>
      </w:r>
      <w:r>
        <w:rPr>
          <w:rFonts w:hint="eastAsia" w:ascii="方正仿宋简体" w:hAnsi="方正仿宋简体" w:eastAsia="方正仿宋简体" w:cs="方正仿宋简体"/>
          <w:color w:val="000000"/>
          <w:kern w:val="2"/>
          <w:sz w:val="32"/>
          <w:szCs w:val="32"/>
          <w:highlight w:val="none"/>
          <w:shd w:val="clear" w:color="auto" w:fill="FFFFFF"/>
          <w:lang w:val="en-US" w:eastAsia="zh-CN"/>
        </w:rPr>
        <w:t>已完成了对古银杏范围内</w:t>
      </w:r>
      <w:r>
        <w:rPr>
          <w:rFonts w:hint="default" w:ascii="Times New Roman" w:hAnsi="Times New Roman" w:eastAsia="方正仿宋简体" w:cs="Times New Roman"/>
          <w:color w:val="000000"/>
          <w:kern w:val="2"/>
          <w:sz w:val="32"/>
          <w:szCs w:val="32"/>
          <w:highlight w:val="none"/>
          <w:shd w:val="clear" w:color="auto" w:fill="FFFFFF"/>
          <w:lang w:val="en-US" w:eastAsia="zh-CN"/>
        </w:rPr>
        <w:t>6</w:t>
      </w:r>
      <w:r>
        <w:rPr>
          <w:rFonts w:hint="eastAsia" w:ascii="方正仿宋简体" w:hAnsi="方正仿宋简体" w:eastAsia="方正仿宋简体" w:cs="方正仿宋简体"/>
          <w:color w:val="000000"/>
          <w:kern w:val="2"/>
          <w:sz w:val="32"/>
          <w:szCs w:val="32"/>
          <w:highlight w:val="none"/>
          <w:shd w:val="clear" w:color="auto" w:fill="FFFFFF"/>
          <w:lang w:val="en-US" w:eastAsia="zh-CN"/>
        </w:rPr>
        <w:t>户农户的拆除搬迁，</w:t>
      </w:r>
      <w:r>
        <w:rPr>
          <w:rFonts w:hint="eastAsia" w:ascii="方正仿宋简体" w:hAnsi="方正仿宋简体" w:eastAsia="方正仿宋简体" w:cs="方正仿宋简体"/>
          <w:color w:val="000000"/>
          <w:sz w:val="32"/>
          <w:szCs w:val="32"/>
          <w:highlight w:val="none"/>
          <w:shd w:val="clear" w:color="auto" w:fill="FFFFFF"/>
          <w:lang w:val="en-US" w:eastAsia="zh-CN"/>
        </w:rPr>
        <w:t>初步解决了古银杏生命受威胁的问题，遏制了其衰弱退化趋势，改善了古银杏的外部生存环境。区域居民期望能尽快组织开展项目实施方案和项目建议书中的尚未实施的</w:t>
      </w:r>
      <w:r>
        <w:rPr>
          <w:rFonts w:hint="eastAsia" w:ascii="方正仿宋简体" w:hAnsi="方正仿宋简体" w:eastAsia="方正仿宋简体" w:cs="方正仿宋简体"/>
          <w:sz w:val="32"/>
          <w:szCs w:val="32"/>
          <w:highlight w:val="none"/>
          <w:lang w:val="en-US" w:eastAsia="zh-CN"/>
        </w:rPr>
        <w:t>古树抢救与复壮、</w:t>
      </w:r>
      <w:r>
        <w:rPr>
          <w:rFonts w:hint="eastAsia" w:ascii="方正仿宋简体" w:hAnsi="方正仿宋简体" w:eastAsia="方正仿宋简体" w:cs="方正仿宋简体"/>
          <w:color w:val="000000"/>
          <w:sz w:val="32"/>
          <w:szCs w:val="32"/>
          <w:highlight w:val="none"/>
          <w:shd w:val="clear" w:color="auto" w:fill="FFFFFF"/>
          <w:lang w:val="en-US" w:eastAsia="zh-CN"/>
        </w:rPr>
        <w:t>古树公园建设，快速恢复古银杏生理机能，建成具有科研探索价值和经济价值为一体的文化旅游观光场所，促进生态效益、社会效益、经济效益的完美结合。</w:t>
      </w:r>
    </w:p>
    <w:p w14:paraId="29D35571">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综上所述，按照设定的评价指标体系，通过对</w:t>
      </w:r>
      <w:r>
        <w:rPr>
          <w:rFonts w:hint="eastAsia" w:ascii="方正仿宋简体" w:hAnsi="方正仿宋简体" w:eastAsia="方正仿宋简体" w:cs="方正仿宋简体"/>
          <w:color w:val="000000"/>
          <w:kern w:val="2"/>
          <w:sz w:val="32"/>
          <w:szCs w:val="32"/>
          <w:highlight w:val="none"/>
          <w:shd w:val="clear" w:color="auto" w:fill="FFFFFF"/>
          <w:lang w:eastAsia="zh-CN"/>
        </w:rPr>
        <w:t>冷碛镇古银杏保护与抢修复壮项目</w:t>
      </w:r>
      <w:r>
        <w:rPr>
          <w:rFonts w:hint="eastAsia" w:ascii="方正仿宋简体" w:hAnsi="方正仿宋简体" w:eastAsia="方正仿宋简体" w:cs="方正仿宋简体"/>
          <w:sz w:val="32"/>
          <w:szCs w:val="32"/>
          <w:highlight w:val="none"/>
        </w:rPr>
        <w:t>在项目决策、项目实施、完成结果、项目效果、</w:t>
      </w:r>
      <w:r>
        <w:rPr>
          <w:rFonts w:hint="eastAsia" w:ascii="方正仿宋简体" w:hAnsi="方正仿宋简体" w:eastAsia="方正仿宋简体" w:cs="方正仿宋简体"/>
          <w:sz w:val="32"/>
          <w:szCs w:val="32"/>
          <w:highlight w:val="none"/>
          <w:lang w:val="en-US" w:eastAsia="zh-CN"/>
        </w:rPr>
        <w:t>完成质量、社会效益和满意度</w:t>
      </w:r>
      <w:r>
        <w:rPr>
          <w:rFonts w:hint="eastAsia" w:ascii="方正仿宋简体" w:hAnsi="方正仿宋简体" w:eastAsia="方正仿宋简体" w:cs="方正仿宋简体"/>
          <w:sz w:val="32"/>
          <w:szCs w:val="32"/>
          <w:highlight w:val="none"/>
        </w:rPr>
        <w:t>进行综合评价，</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color w:val="000000"/>
          <w:kern w:val="2"/>
          <w:sz w:val="32"/>
          <w:szCs w:val="32"/>
          <w:highlight w:val="none"/>
          <w:shd w:val="clear" w:color="auto" w:fill="FFFFFF"/>
          <w:lang w:eastAsia="zh-CN"/>
        </w:rPr>
        <w:t>冷碛镇古银杏保护与抢修复壮项目</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绩效评价得分为</w:t>
      </w:r>
      <w:r>
        <w:rPr>
          <w:rFonts w:hint="default" w:ascii="Times New Roman" w:hAnsi="Times New Roman" w:eastAsia="方正仿宋简体" w:cs="Times New Roman"/>
          <w:sz w:val="32"/>
          <w:szCs w:val="32"/>
          <w:highlight w:val="none"/>
          <w:lang w:val="en-US" w:eastAsia="zh-CN"/>
        </w:rPr>
        <w:t>87</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74</w:t>
      </w:r>
      <w:r>
        <w:rPr>
          <w:rFonts w:hint="eastAsia" w:ascii="方正仿宋简体" w:hAnsi="方正仿宋简体" w:eastAsia="方正仿宋简体" w:cs="方正仿宋简体"/>
          <w:sz w:val="32"/>
          <w:szCs w:val="32"/>
          <w:highlight w:val="none"/>
        </w:rPr>
        <w:t>分，详见下表：</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2261"/>
        <w:gridCol w:w="2265"/>
        <w:gridCol w:w="2265"/>
      </w:tblGrid>
      <w:tr w14:paraId="2B29C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09A74FC0">
            <w:pPr>
              <w:pageBreakBefore w:val="0"/>
              <w:kinsoku/>
              <w:wordWrap/>
              <w:overflowPunct/>
              <w:topLinePunct w:val="0"/>
              <w:autoSpaceDE/>
              <w:autoSpaceDN/>
              <w:bidi w:val="0"/>
              <w:spacing w:line="600" w:lineRule="exact"/>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一级指标</w:t>
            </w:r>
          </w:p>
        </w:tc>
        <w:tc>
          <w:tcPr>
            <w:tcW w:w="1248" w:type="pct"/>
            <w:vAlign w:val="center"/>
          </w:tcPr>
          <w:p w14:paraId="2839F429">
            <w:pPr>
              <w:pageBreakBefore w:val="0"/>
              <w:kinsoku/>
              <w:wordWrap/>
              <w:overflowPunct/>
              <w:topLinePunct w:val="0"/>
              <w:autoSpaceDE/>
              <w:autoSpaceDN/>
              <w:bidi w:val="0"/>
              <w:spacing w:line="600" w:lineRule="exact"/>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分值</w:t>
            </w:r>
          </w:p>
        </w:tc>
        <w:tc>
          <w:tcPr>
            <w:tcW w:w="1250" w:type="pct"/>
            <w:vAlign w:val="center"/>
          </w:tcPr>
          <w:p w14:paraId="3FDCDF42">
            <w:pPr>
              <w:pageBreakBefore w:val="0"/>
              <w:kinsoku/>
              <w:wordWrap/>
              <w:overflowPunct/>
              <w:topLinePunct w:val="0"/>
              <w:autoSpaceDE/>
              <w:autoSpaceDN/>
              <w:bidi w:val="0"/>
              <w:spacing w:line="600" w:lineRule="exact"/>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得分</w:t>
            </w:r>
          </w:p>
        </w:tc>
        <w:tc>
          <w:tcPr>
            <w:tcW w:w="1250" w:type="pct"/>
            <w:vAlign w:val="center"/>
          </w:tcPr>
          <w:p w14:paraId="05812EA5">
            <w:pPr>
              <w:pageBreakBefore w:val="0"/>
              <w:kinsoku/>
              <w:wordWrap/>
              <w:overflowPunct/>
              <w:topLinePunct w:val="0"/>
              <w:autoSpaceDE/>
              <w:autoSpaceDN/>
              <w:bidi w:val="0"/>
              <w:spacing w:line="600" w:lineRule="exact"/>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得分率</w:t>
            </w:r>
          </w:p>
        </w:tc>
      </w:tr>
      <w:tr w14:paraId="0B189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center"/>
          </w:tcPr>
          <w:p w14:paraId="7080A002">
            <w:pPr>
              <w:keepNext w:val="0"/>
              <w:keepLines w:val="0"/>
              <w:pageBreakBefore w:val="0"/>
              <w:widowControl/>
              <w:suppressLineNumbers w:val="0"/>
              <w:kinsoku/>
              <w:wordWrap/>
              <w:overflowPunct/>
              <w:topLinePunct w:val="0"/>
              <w:autoSpaceDE/>
              <w:autoSpaceDN/>
              <w:bidi w:val="0"/>
              <w:spacing w:line="600" w:lineRule="exact"/>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项目决策</w:t>
            </w:r>
          </w:p>
        </w:tc>
        <w:tc>
          <w:tcPr>
            <w:tcW w:w="2127" w:type="dxa"/>
            <w:vAlign w:val="center"/>
          </w:tcPr>
          <w:p w14:paraId="33F8B0CF">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12</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14761F50">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lang w:val="en-US"/>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80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4CD33634">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73</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33%</w:t>
            </w:r>
          </w:p>
        </w:tc>
      </w:tr>
      <w:tr w14:paraId="2CCC2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center"/>
          </w:tcPr>
          <w:p w14:paraId="1ED8FC33">
            <w:pPr>
              <w:keepNext w:val="0"/>
              <w:keepLines w:val="0"/>
              <w:pageBreakBefore w:val="0"/>
              <w:widowControl/>
              <w:suppressLineNumbers w:val="0"/>
              <w:kinsoku/>
              <w:wordWrap/>
              <w:overflowPunct/>
              <w:topLinePunct w:val="0"/>
              <w:autoSpaceDE/>
              <w:autoSpaceDN/>
              <w:bidi w:val="0"/>
              <w:spacing w:line="600" w:lineRule="exact"/>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项目实施</w:t>
            </w:r>
          </w:p>
        </w:tc>
        <w:tc>
          <w:tcPr>
            <w:tcW w:w="2127" w:type="dxa"/>
            <w:vAlign w:val="center"/>
          </w:tcPr>
          <w:p w14:paraId="317AE177">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11</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612B515D">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44E92338">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90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91%</w:t>
            </w:r>
          </w:p>
        </w:tc>
      </w:tr>
      <w:tr w14:paraId="6396B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center"/>
          </w:tcPr>
          <w:p w14:paraId="67F2B598">
            <w:pPr>
              <w:keepNext w:val="0"/>
              <w:keepLines w:val="0"/>
              <w:pageBreakBefore w:val="0"/>
              <w:widowControl/>
              <w:suppressLineNumbers w:val="0"/>
              <w:kinsoku/>
              <w:wordWrap/>
              <w:overflowPunct/>
              <w:topLinePunct w:val="0"/>
              <w:autoSpaceDE/>
              <w:autoSpaceDN/>
              <w:bidi w:val="0"/>
              <w:spacing w:line="600" w:lineRule="exact"/>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完成结果</w:t>
            </w:r>
          </w:p>
        </w:tc>
        <w:tc>
          <w:tcPr>
            <w:tcW w:w="2127" w:type="dxa"/>
            <w:vAlign w:val="center"/>
          </w:tcPr>
          <w:p w14:paraId="470A8FB1">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17</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16065987">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94</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580CDBDF">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99</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65%</w:t>
            </w:r>
          </w:p>
        </w:tc>
      </w:tr>
      <w:tr w14:paraId="0B5C3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center"/>
          </w:tcPr>
          <w:p w14:paraId="42A0323A">
            <w:pPr>
              <w:keepNext w:val="0"/>
              <w:keepLines w:val="0"/>
              <w:pageBreakBefore w:val="0"/>
              <w:widowControl/>
              <w:suppressLineNumbers w:val="0"/>
              <w:kinsoku/>
              <w:wordWrap/>
              <w:overflowPunct/>
              <w:topLinePunct w:val="0"/>
              <w:autoSpaceDE/>
              <w:autoSpaceDN/>
              <w:bidi w:val="0"/>
              <w:spacing w:line="600" w:lineRule="exact"/>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项目效果</w:t>
            </w:r>
          </w:p>
        </w:tc>
        <w:tc>
          <w:tcPr>
            <w:tcW w:w="2127" w:type="dxa"/>
            <w:vAlign w:val="center"/>
          </w:tcPr>
          <w:p w14:paraId="437B6FFD">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20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1F7B6B75">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1ED50A3D">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451AD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center"/>
          </w:tcPr>
          <w:p w14:paraId="2D4DE6B0">
            <w:pPr>
              <w:keepNext w:val="0"/>
              <w:keepLines w:val="0"/>
              <w:pageBreakBefore w:val="0"/>
              <w:widowControl/>
              <w:suppressLineNumbers w:val="0"/>
              <w:kinsoku/>
              <w:wordWrap/>
              <w:overflowPunct/>
              <w:topLinePunct w:val="0"/>
              <w:autoSpaceDE/>
              <w:autoSpaceDN/>
              <w:bidi w:val="0"/>
              <w:spacing w:line="600" w:lineRule="exact"/>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完成质量</w:t>
            </w:r>
          </w:p>
        </w:tc>
        <w:tc>
          <w:tcPr>
            <w:tcW w:w="2127" w:type="dxa"/>
            <w:vAlign w:val="center"/>
          </w:tcPr>
          <w:p w14:paraId="732052B1">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52BCF2B2">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415FAA7E">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601F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center"/>
          </w:tcPr>
          <w:p w14:paraId="51B18F26">
            <w:pPr>
              <w:keepNext w:val="0"/>
              <w:keepLines w:val="0"/>
              <w:pageBreakBefore w:val="0"/>
              <w:widowControl/>
              <w:suppressLineNumbers w:val="0"/>
              <w:kinsoku/>
              <w:wordWrap/>
              <w:overflowPunct/>
              <w:topLinePunct w:val="0"/>
              <w:autoSpaceDE/>
              <w:autoSpaceDN/>
              <w:bidi w:val="0"/>
              <w:spacing w:line="600" w:lineRule="exact"/>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社会效益</w:t>
            </w:r>
          </w:p>
        </w:tc>
        <w:tc>
          <w:tcPr>
            <w:tcW w:w="2127" w:type="dxa"/>
            <w:vAlign w:val="center"/>
          </w:tcPr>
          <w:p w14:paraId="23088412">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color w:val="000000"/>
                <w:kern w:val="0"/>
                <w:sz w:val="32"/>
                <w:szCs w:val="32"/>
                <w:highlight w:val="none"/>
                <w:lang w:bidi="ar"/>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20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22256F54">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128AF483">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90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5E779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center"/>
          </w:tcPr>
          <w:p w14:paraId="48562C6E">
            <w:pPr>
              <w:keepNext w:val="0"/>
              <w:keepLines w:val="0"/>
              <w:pageBreakBefore w:val="0"/>
              <w:widowControl/>
              <w:suppressLineNumbers w:val="0"/>
              <w:kinsoku/>
              <w:wordWrap/>
              <w:overflowPunct/>
              <w:topLinePunct w:val="0"/>
              <w:autoSpaceDE/>
              <w:autoSpaceDN/>
              <w:bidi w:val="0"/>
              <w:spacing w:line="600" w:lineRule="exact"/>
              <w:jc w:val="center"/>
              <w:textAlignment w:val="bottom"/>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满意度</w:t>
            </w:r>
          </w:p>
        </w:tc>
        <w:tc>
          <w:tcPr>
            <w:tcW w:w="2127" w:type="dxa"/>
            <w:vAlign w:val="center"/>
          </w:tcPr>
          <w:p w14:paraId="6716149C">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7921F830">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739FC303">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65DC2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bottom"/>
          </w:tcPr>
          <w:p w14:paraId="564658D6">
            <w:pPr>
              <w:keepNext w:val="0"/>
              <w:keepLines w:val="0"/>
              <w:pageBreakBefore w:val="0"/>
              <w:widowControl/>
              <w:suppressLineNumbers w:val="0"/>
              <w:kinsoku/>
              <w:wordWrap/>
              <w:overflowPunct/>
              <w:topLinePunct w:val="0"/>
              <w:autoSpaceDE/>
              <w:autoSpaceDN/>
              <w:bidi w:val="0"/>
              <w:spacing w:line="600" w:lineRule="exact"/>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合计</w:t>
            </w:r>
          </w:p>
        </w:tc>
        <w:tc>
          <w:tcPr>
            <w:tcW w:w="2127" w:type="dxa"/>
            <w:vAlign w:val="center"/>
          </w:tcPr>
          <w:p w14:paraId="3DE229D9">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1F129F0D">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87</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74</w:t>
            </w:r>
          </w:p>
        </w:tc>
        <w:tc>
          <w:tcPr>
            <w:tcW w:w="2131" w:type="dxa"/>
            <w:vAlign w:val="center"/>
          </w:tcPr>
          <w:p w14:paraId="5B563528">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87</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74%</w:t>
            </w:r>
          </w:p>
        </w:tc>
      </w:tr>
    </w:tbl>
    <w:p w14:paraId="15B4DD20">
      <w:pPr>
        <w:pageBreakBefore w:val="0"/>
        <w:kinsoku/>
        <w:wordWrap/>
        <w:overflowPunct/>
        <w:topLinePunct w:val="0"/>
        <w:autoSpaceDE/>
        <w:autoSpaceDN/>
        <w:bidi w:val="0"/>
        <w:spacing w:line="600" w:lineRule="exact"/>
        <w:ind w:firstLine="640" w:firstLineChars="200"/>
        <w:outlineLvl w:val="0"/>
        <w:rPr>
          <w:rFonts w:hint="eastAsia" w:ascii="方正黑体简体" w:hAnsi="方正黑体简体" w:eastAsia="方正黑体简体" w:cs="方正黑体简体"/>
          <w:sz w:val="32"/>
          <w:szCs w:val="32"/>
          <w:highlight w:val="none"/>
          <w:lang w:val="en-US" w:eastAsia="zh-CN"/>
        </w:rPr>
      </w:pPr>
      <w:bookmarkStart w:id="56" w:name="_Toc20940"/>
      <w:bookmarkStart w:id="57" w:name="_Toc2038909009"/>
      <w:bookmarkStart w:id="58" w:name="_Toc21540"/>
      <w:bookmarkStart w:id="59" w:name="_Toc121121045"/>
      <w:bookmarkStart w:id="60" w:name="_Toc13308"/>
      <w:bookmarkStart w:id="61" w:name="_Toc488092938"/>
      <w:r>
        <w:rPr>
          <w:rFonts w:hint="eastAsia" w:ascii="方正黑体简体" w:hAnsi="方正黑体简体" w:eastAsia="方正黑体简体" w:cs="方正黑体简体"/>
          <w:sz w:val="32"/>
          <w:szCs w:val="32"/>
          <w:highlight w:val="none"/>
        </w:rPr>
        <w:t>四、</w:t>
      </w:r>
      <w:r>
        <w:rPr>
          <w:rFonts w:hint="eastAsia" w:ascii="方正黑体简体" w:hAnsi="方正黑体简体" w:eastAsia="方正黑体简体" w:cs="方正黑体简体"/>
          <w:sz w:val="32"/>
          <w:szCs w:val="32"/>
          <w:highlight w:val="none"/>
          <w:lang w:val="en-US" w:eastAsia="zh-CN"/>
        </w:rPr>
        <w:t>绩效结果应用</w:t>
      </w:r>
      <w:bookmarkEnd w:id="56"/>
    </w:p>
    <w:p w14:paraId="0F94D7D2">
      <w:pPr>
        <w:pageBreakBefore w:val="0"/>
        <w:numPr>
          <w:ilvl w:val="1"/>
          <w:numId w:val="0"/>
        </w:numPr>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泸定县冷碛镇人民政府根据冷碛镇古银杏保护与抢修复壮项目实施方案和项目建议书，结合泸定县实际情况，在</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年度实施冷碛镇古银杏保护与抢修复壮项目，主要内容为冷碛镇古银杏保护与抢修复壮项目实施方案中的农户拆除搬迁，经评价组事后评价，该项目</w:t>
      </w:r>
    </w:p>
    <w:p w14:paraId="2FDFD6D9">
      <w:pPr>
        <w:pageBreakBefore w:val="0"/>
        <w:kinsoku/>
        <w:wordWrap/>
        <w:overflowPunct/>
        <w:topLinePunct w:val="0"/>
        <w:autoSpaceDE/>
        <w:autoSpaceDN/>
        <w:bidi w:val="0"/>
        <w:spacing w:line="600" w:lineRule="exact"/>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已按要求完成</w:t>
      </w: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户农户的拆除搬迁，初步改善了古银杏的生存环境，绩效等级为“良”。秉承科学公正、统筹兼顾、激励约束和公开透明财政绩效原则。我单位建议泸定县财政局针对专项预算项目绩效管理，进一步要求泸定县冷碛镇人民政府加强项目规划、项目实施过程管理、项目验收和项目自评管理，对目标管理数据实施有效统筹与运用，充分发挥古银杏的科研价值、文化价值和经济价值，</w:t>
      </w:r>
      <w:r>
        <w:rPr>
          <w:rFonts w:hint="eastAsia" w:ascii="方正仿宋简体" w:hAnsi="方正仿宋简体" w:eastAsia="方正仿宋简体" w:cs="方正仿宋简体"/>
          <w:color w:val="000000"/>
          <w:sz w:val="32"/>
          <w:szCs w:val="32"/>
          <w:highlight w:val="none"/>
          <w:shd w:val="clear" w:color="auto" w:fill="FFFFFF"/>
          <w:lang w:val="en-US" w:eastAsia="zh-CN"/>
        </w:rPr>
        <w:t>促进生态效益、社会效益、经济效益的完美结合。</w:t>
      </w:r>
    </w:p>
    <w:p w14:paraId="057D9183">
      <w:pPr>
        <w:pageBreakBefore w:val="0"/>
        <w:kinsoku/>
        <w:wordWrap/>
        <w:overflowPunct/>
        <w:topLinePunct w:val="0"/>
        <w:autoSpaceDE/>
        <w:autoSpaceDN/>
        <w:bidi w:val="0"/>
        <w:spacing w:line="600" w:lineRule="exact"/>
        <w:ind w:firstLine="640" w:firstLineChars="200"/>
        <w:outlineLvl w:val="0"/>
        <w:rPr>
          <w:rFonts w:hint="eastAsia" w:ascii="方正黑体简体" w:hAnsi="方正黑体简体" w:eastAsia="方正黑体简体" w:cs="方正黑体简体"/>
          <w:sz w:val="32"/>
          <w:szCs w:val="32"/>
          <w:highlight w:val="none"/>
        </w:rPr>
      </w:pPr>
      <w:bookmarkStart w:id="62" w:name="_Toc16505"/>
      <w:r>
        <w:rPr>
          <w:rFonts w:hint="eastAsia" w:ascii="方正黑体简体" w:hAnsi="方正黑体简体" w:eastAsia="方正黑体简体" w:cs="方正黑体简体"/>
          <w:sz w:val="32"/>
          <w:szCs w:val="32"/>
          <w:highlight w:val="none"/>
          <w:lang w:val="en-US" w:eastAsia="zh-CN"/>
        </w:rPr>
        <w:t>五、</w:t>
      </w:r>
      <w:r>
        <w:rPr>
          <w:rFonts w:hint="eastAsia" w:ascii="方正黑体简体" w:hAnsi="方正黑体简体" w:eastAsia="方正黑体简体" w:cs="方正黑体简体"/>
          <w:sz w:val="32"/>
          <w:szCs w:val="32"/>
          <w:highlight w:val="none"/>
        </w:rPr>
        <w:t>绩效评价指标分析</w:t>
      </w:r>
      <w:bookmarkEnd w:id="57"/>
      <w:bookmarkEnd w:id="58"/>
      <w:bookmarkEnd w:id="59"/>
      <w:bookmarkEnd w:id="60"/>
      <w:bookmarkEnd w:id="61"/>
      <w:bookmarkEnd w:id="62"/>
    </w:p>
    <w:bookmarkEnd w:id="3"/>
    <w:p w14:paraId="58412E5F">
      <w:pPr>
        <w:pageBreakBefore w:val="0"/>
        <w:numPr>
          <w:ilvl w:val="1"/>
          <w:numId w:val="0"/>
        </w:numPr>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sz w:val="32"/>
          <w:szCs w:val="32"/>
          <w:highlight w:val="none"/>
        </w:rPr>
      </w:pPr>
      <w:bookmarkStart w:id="63" w:name="_Toc12635"/>
      <w:bookmarkStart w:id="64" w:name="_Toc1889406865"/>
      <w:bookmarkStart w:id="65" w:name="_Toc314064335"/>
      <w:bookmarkStart w:id="66" w:name="_Toc31799"/>
      <w:bookmarkStart w:id="67" w:name="_Toc142913852"/>
      <w:bookmarkStart w:id="68" w:name="_Toc5860"/>
      <w:bookmarkStart w:id="69" w:name="_Toc1228970844"/>
      <w:bookmarkStart w:id="70" w:name="_Toc1568235950"/>
      <w:bookmarkStart w:id="71" w:name="_Toc30800"/>
      <w:bookmarkStart w:id="72" w:name="_Toc1409505349"/>
      <w:r>
        <w:rPr>
          <w:rFonts w:hint="eastAsia" w:ascii="方正楷体简体" w:hAnsi="方正楷体简体" w:eastAsia="方正楷体简体" w:cs="方正楷体简体"/>
          <w:sz w:val="32"/>
          <w:szCs w:val="32"/>
          <w:highlight w:val="none"/>
        </w:rPr>
        <w:t>（一）项目</w:t>
      </w:r>
      <w:bookmarkEnd w:id="63"/>
      <w:bookmarkEnd w:id="64"/>
      <w:bookmarkEnd w:id="65"/>
      <w:bookmarkEnd w:id="66"/>
      <w:bookmarkStart w:id="73" w:name="_Toc23796"/>
      <w:r>
        <w:rPr>
          <w:rFonts w:hint="eastAsia" w:ascii="方正楷体简体" w:hAnsi="方正楷体简体" w:eastAsia="方正楷体简体" w:cs="方正楷体简体"/>
          <w:sz w:val="32"/>
          <w:szCs w:val="32"/>
          <w:highlight w:val="none"/>
        </w:rPr>
        <w:t>决策</w:t>
      </w:r>
      <w:bookmarkEnd w:id="67"/>
      <w:bookmarkEnd w:id="68"/>
    </w:p>
    <w:p w14:paraId="75D7ECD5">
      <w:pPr>
        <w:pageBreakBefore w:val="0"/>
        <w:numPr>
          <w:ilvl w:val="1"/>
          <w:numId w:val="0"/>
        </w:numPr>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项目决策</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下设三个三级指标分别为：</w:t>
      </w:r>
      <w:bookmarkEnd w:id="73"/>
      <w:r>
        <w:rPr>
          <w:rFonts w:hint="eastAsia" w:ascii="方正仿宋简体" w:hAnsi="方正仿宋简体" w:eastAsia="方正仿宋简体" w:cs="方正仿宋简体"/>
          <w:sz w:val="32"/>
          <w:szCs w:val="32"/>
          <w:highlight w:val="none"/>
        </w:rPr>
        <w:t>立项程序严密性、规划合理性、管理制度完备性。</w:t>
      </w:r>
    </w:p>
    <w:p w14:paraId="58FE34C7">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.立项程序严密性</w:t>
      </w:r>
      <w:bookmarkStart w:id="74" w:name="_Toc18487"/>
    </w:p>
    <w:p w14:paraId="5924735B">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项目依照《</w:t>
      </w:r>
      <w:r>
        <w:rPr>
          <w:rFonts w:hint="eastAsia" w:ascii="方正仿宋简体" w:hAnsi="方正仿宋简体" w:eastAsia="方正仿宋简体" w:cs="方正仿宋简体"/>
          <w:sz w:val="32"/>
          <w:szCs w:val="32"/>
          <w:highlight w:val="none"/>
          <w:lang w:eastAsia="zh-CN"/>
        </w:rPr>
        <w:t>冷碛镇古银杏保护与抢修复壮项目</w:t>
      </w:r>
      <w:r>
        <w:rPr>
          <w:rFonts w:hint="eastAsia" w:ascii="方正仿宋简体" w:hAnsi="方正仿宋简体" w:eastAsia="方正仿宋简体" w:cs="方正仿宋简体"/>
          <w:sz w:val="32"/>
          <w:szCs w:val="32"/>
          <w:highlight w:val="none"/>
          <w:lang w:val="en-US" w:eastAsia="zh-CN"/>
        </w:rPr>
        <w:t>实施方案</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eastAsia="zh-CN"/>
        </w:rPr>
        <w:t>《泸定县冷碛镇古银杏树保护及抢救复壮项目建议书》</w:t>
      </w:r>
      <w:r>
        <w:rPr>
          <w:rFonts w:hint="eastAsia" w:ascii="方正仿宋简体" w:hAnsi="方正仿宋简体" w:eastAsia="方正仿宋简体" w:cs="方正仿宋简体"/>
          <w:sz w:val="32"/>
          <w:szCs w:val="32"/>
          <w:highlight w:val="none"/>
          <w:lang w:val="en-US" w:eastAsia="zh-CN"/>
        </w:rPr>
        <w:t>，按照《</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年度泸定县县级预算事前绩效评估报告》</w:t>
      </w:r>
      <w:r>
        <w:rPr>
          <w:rFonts w:hint="eastAsia" w:ascii="方正仿宋简体" w:hAnsi="方正仿宋简体" w:eastAsia="方正仿宋简体" w:cs="方正仿宋简体"/>
          <w:sz w:val="32"/>
          <w:szCs w:val="32"/>
          <w:highlight w:val="none"/>
        </w:rPr>
        <w:t>文件要求</w:t>
      </w:r>
      <w:r>
        <w:rPr>
          <w:rFonts w:hint="eastAsia" w:ascii="方正仿宋简体" w:hAnsi="方正仿宋简体" w:eastAsia="方正仿宋简体" w:cs="方正仿宋简体"/>
          <w:sz w:val="32"/>
          <w:szCs w:val="32"/>
          <w:highlight w:val="none"/>
          <w:lang w:val="en-US" w:eastAsia="zh-CN"/>
        </w:rPr>
        <w:t>完成古银杏保护范围内房屋、圈舍和围墙的拆除搬迁。冷碛镇古银杏保护与抢修复壮项目实施程序较完善，存在项目实施程序不严密的情况，如：（</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）财政资金下达时间早于事前绩效评估时间。泸定县财政局</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月</w:t>
      </w:r>
      <w:r>
        <w:rPr>
          <w:rFonts w:hint="default" w:ascii="Times New Roman" w:hAnsi="Times New Roman" w:eastAsia="方正仿宋简体" w:cs="Times New Roman"/>
          <w:sz w:val="32"/>
          <w:szCs w:val="32"/>
          <w:highlight w:val="none"/>
          <w:lang w:val="en-US" w:eastAsia="zh-CN"/>
        </w:rPr>
        <w:t>14</w:t>
      </w:r>
      <w:r>
        <w:rPr>
          <w:rFonts w:hint="eastAsia" w:ascii="方正仿宋简体" w:hAnsi="方正仿宋简体" w:eastAsia="方正仿宋简体" w:cs="方正仿宋简体"/>
          <w:sz w:val="32"/>
          <w:szCs w:val="32"/>
          <w:highlight w:val="none"/>
          <w:lang w:val="en-US" w:eastAsia="zh-CN"/>
        </w:rPr>
        <w:t>日向冷碛镇人民政府下达泸定县冷碛镇古银杏保护及抢救复壮项目征拆资金</w:t>
      </w:r>
      <w:r>
        <w:rPr>
          <w:rFonts w:hint="default" w:ascii="Times New Roman" w:hAnsi="Times New Roman" w:eastAsia="方正仿宋简体" w:cs="Times New Roman"/>
          <w:sz w:val="32"/>
          <w:szCs w:val="32"/>
          <w:highlight w:val="none"/>
          <w:lang w:val="en-US" w:eastAsia="zh-CN"/>
        </w:rPr>
        <w:t>380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万元。项目单位泸定县冷碛镇人民政府</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月</w:t>
      </w:r>
      <w:r>
        <w:rPr>
          <w:rFonts w:hint="default" w:ascii="Times New Roman" w:hAnsi="Times New Roman" w:eastAsia="方正仿宋简体" w:cs="Times New Roman"/>
          <w:sz w:val="32"/>
          <w:szCs w:val="32"/>
          <w:highlight w:val="none"/>
          <w:lang w:val="en-US" w:eastAsia="zh-CN"/>
        </w:rPr>
        <w:t>15</w:t>
      </w:r>
      <w:r>
        <w:rPr>
          <w:rFonts w:hint="eastAsia" w:ascii="方正仿宋简体" w:hAnsi="方正仿宋简体" w:eastAsia="方正仿宋简体" w:cs="方正仿宋简体"/>
          <w:sz w:val="32"/>
          <w:szCs w:val="32"/>
          <w:highlight w:val="none"/>
          <w:lang w:val="en-US" w:eastAsia="zh-CN"/>
        </w:rPr>
        <w:t>日编制《</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年度泸定县县级预算事前绩效评估报告》，申请实施泸定县冷碛镇古银杏保护及抢救复壮项目。（</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）项目实际开展时间早于事前绩效评估时间。</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月</w:t>
      </w:r>
      <w:r>
        <w:rPr>
          <w:rFonts w:hint="default" w:ascii="Times New Roman" w:hAnsi="Times New Roman" w:eastAsia="方正仿宋简体" w:cs="Times New Roman"/>
          <w:sz w:val="32"/>
          <w:szCs w:val="32"/>
          <w:highlight w:val="none"/>
          <w:lang w:val="en-US" w:eastAsia="zh-CN"/>
        </w:rPr>
        <w:t>13</w:t>
      </w:r>
      <w:r>
        <w:rPr>
          <w:rFonts w:hint="eastAsia" w:ascii="方正仿宋简体" w:hAnsi="方正仿宋简体" w:eastAsia="方正仿宋简体" w:cs="方正仿宋简体"/>
          <w:sz w:val="32"/>
          <w:szCs w:val="32"/>
          <w:highlight w:val="none"/>
          <w:lang w:val="en-US" w:eastAsia="zh-CN"/>
        </w:rPr>
        <w:t>日与余有平签订房屋征收补偿协议，</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月</w:t>
      </w:r>
      <w:r>
        <w:rPr>
          <w:rFonts w:hint="default" w:ascii="Times New Roman" w:hAnsi="Times New Roman" w:eastAsia="方正仿宋简体" w:cs="Times New Roman"/>
          <w:sz w:val="32"/>
          <w:szCs w:val="32"/>
          <w:highlight w:val="none"/>
          <w:lang w:val="en-US" w:eastAsia="zh-CN"/>
        </w:rPr>
        <w:t>14</w:t>
      </w:r>
      <w:r>
        <w:rPr>
          <w:rFonts w:hint="eastAsia" w:ascii="方正仿宋简体" w:hAnsi="方正仿宋简体" w:eastAsia="方正仿宋简体" w:cs="方正仿宋简体"/>
          <w:sz w:val="32"/>
          <w:szCs w:val="32"/>
          <w:highlight w:val="none"/>
          <w:lang w:val="en-US" w:eastAsia="zh-CN"/>
        </w:rPr>
        <w:t>日分别与邹桂珍、邹国琼签订房屋征收补偿协议，编制事前评估报告时间早于部分房屋征收补偿协议签订时间。</w:t>
      </w:r>
    </w:p>
    <w:bookmarkEnd w:id="74"/>
    <w:p w14:paraId="0899886D">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bookmarkStart w:id="75" w:name="_Toc4104"/>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80</w:t>
      </w:r>
      <w:r>
        <w:rPr>
          <w:rFonts w:hint="eastAsia" w:ascii="方正仿宋简体" w:hAnsi="方正仿宋简体" w:eastAsia="方正仿宋简体" w:cs="方正仿宋简体"/>
          <w:sz w:val="32"/>
          <w:szCs w:val="32"/>
          <w:highlight w:val="none"/>
        </w:rPr>
        <w:t>分。</w:t>
      </w:r>
      <w:bookmarkEnd w:id="75"/>
    </w:p>
    <w:p w14:paraId="694FD868">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.规划合理性</w:t>
      </w:r>
    </w:p>
    <w:p w14:paraId="1A3C8BB0">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rPr>
        <w:t>评价组查阅了</w:t>
      </w:r>
      <w:r>
        <w:rPr>
          <w:rFonts w:hint="eastAsia" w:ascii="方正仿宋简体" w:hAnsi="方正仿宋简体" w:eastAsia="方正仿宋简体" w:cs="方正仿宋简体"/>
          <w:sz w:val="32"/>
          <w:szCs w:val="32"/>
          <w:highlight w:val="none"/>
          <w:lang w:eastAsia="zh-CN"/>
        </w:rPr>
        <w:t>《冷碛镇古银杏保护与抢修复壮项目</w:t>
      </w:r>
      <w:r>
        <w:rPr>
          <w:rFonts w:hint="eastAsia" w:ascii="方正仿宋简体" w:hAnsi="方正仿宋简体" w:eastAsia="方正仿宋简体" w:cs="方正仿宋简体"/>
          <w:sz w:val="32"/>
          <w:szCs w:val="32"/>
          <w:highlight w:val="none"/>
          <w:lang w:val="en-US" w:eastAsia="zh-CN"/>
        </w:rPr>
        <w:t>实施方案</w:t>
      </w:r>
      <w:r>
        <w:rPr>
          <w:rFonts w:hint="eastAsia" w:ascii="方正仿宋简体" w:hAnsi="方正仿宋简体" w:eastAsia="方正仿宋简体" w:cs="方正仿宋简体"/>
          <w:sz w:val="32"/>
          <w:szCs w:val="32"/>
          <w:highlight w:val="none"/>
          <w:lang w:eastAsia="zh-CN"/>
        </w:rPr>
        <w:t>》《泸定县冷碛镇古银杏树保护及抢救复壮项目建议书》</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年度泸定县县级预算事前绩效评估报告》和</w:t>
      </w:r>
      <w:r>
        <w:rPr>
          <w:rFonts w:hint="eastAsia" w:ascii="方正仿宋简体" w:hAnsi="方正仿宋简体" w:eastAsia="方正仿宋简体" w:cs="方正仿宋简体"/>
          <w:sz w:val="32"/>
          <w:szCs w:val="32"/>
          <w:highlight w:val="none"/>
        </w:rPr>
        <w:t>项目绩效目标申报表，项目实施符合州委、州政府重大决策部署和宏观政策规划，</w:t>
      </w:r>
      <w:r>
        <w:rPr>
          <w:rFonts w:hint="eastAsia" w:ascii="方正仿宋简体" w:hAnsi="方正仿宋简体" w:eastAsia="方正仿宋简体" w:cs="方正仿宋简体"/>
          <w:sz w:val="32"/>
          <w:szCs w:val="32"/>
          <w:highlight w:val="none"/>
          <w:lang w:val="en-US" w:eastAsia="zh-CN"/>
        </w:rPr>
        <w:t>项目实施</w:t>
      </w:r>
      <w:r>
        <w:rPr>
          <w:rFonts w:hint="eastAsia" w:ascii="方正仿宋简体" w:hAnsi="方正仿宋简体" w:eastAsia="方正仿宋简体" w:cs="方正仿宋简体"/>
          <w:sz w:val="32"/>
          <w:szCs w:val="32"/>
          <w:highlight w:val="none"/>
        </w:rPr>
        <w:t>与现实需求</w:t>
      </w:r>
      <w:r>
        <w:rPr>
          <w:rFonts w:hint="eastAsia" w:ascii="方正仿宋简体" w:hAnsi="方正仿宋简体" w:eastAsia="方正仿宋简体" w:cs="方正仿宋简体"/>
          <w:sz w:val="32"/>
          <w:szCs w:val="32"/>
          <w:highlight w:val="none"/>
          <w:lang w:val="en-US" w:eastAsia="zh-CN"/>
        </w:rPr>
        <w:t>基本</w:t>
      </w:r>
      <w:r>
        <w:rPr>
          <w:rFonts w:hint="eastAsia" w:ascii="方正仿宋简体" w:hAnsi="方正仿宋简体" w:eastAsia="方正仿宋简体" w:cs="方正仿宋简体"/>
          <w:sz w:val="32"/>
          <w:szCs w:val="32"/>
          <w:highlight w:val="none"/>
        </w:rPr>
        <w:t>匹配</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但作为本项目实际执行单位，泸定县冷碛镇人民政府未按照项目实施方案和项目建议书规划的项目建设内容和进度实施地上、地下管网进行改建，</w:t>
      </w:r>
      <w:r>
        <w:rPr>
          <w:rFonts w:hint="default" w:ascii="Times New Roman" w:hAnsi="Times New Roman" w:eastAsia="方正仿宋简体" w:cs="Times New Roman"/>
          <w:sz w:val="32"/>
          <w:szCs w:val="32"/>
          <w:highlight w:val="none"/>
          <w:lang w:val="en-US" w:eastAsia="zh-CN"/>
        </w:rPr>
        <w:t>2024</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12</w:t>
      </w:r>
      <w:r>
        <w:rPr>
          <w:rFonts w:hint="eastAsia" w:ascii="方正仿宋简体" w:hAnsi="方正仿宋简体" w:eastAsia="方正仿宋简体" w:cs="方正仿宋简体"/>
          <w:sz w:val="32"/>
          <w:szCs w:val="32"/>
          <w:highlight w:val="none"/>
          <w:lang w:val="en-US" w:eastAsia="zh-CN"/>
        </w:rPr>
        <w:t>月也未开展古树保护、抢救复壮、公园建设工作，导致本项目在延展性及可持续发展效益发挥存在缺陷。</w:t>
      </w:r>
    </w:p>
    <w:p w14:paraId="10C697A9">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F0D8210">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.管理制度完备性</w:t>
      </w:r>
    </w:p>
    <w:p w14:paraId="7E6B0C83">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eastAsia="zh-CN"/>
        </w:rPr>
        <w:t>泸定县冷碛镇人民政府</w:t>
      </w:r>
      <w:r>
        <w:rPr>
          <w:rFonts w:hint="eastAsia" w:ascii="方正仿宋简体" w:hAnsi="方正仿宋简体" w:eastAsia="方正仿宋简体" w:cs="方正仿宋简体"/>
          <w:sz w:val="32"/>
          <w:szCs w:val="32"/>
          <w:highlight w:val="none"/>
        </w:rPr>
        <w:t>对项目的管理</w:t>
      </w:r>
      <w:r>
        <w:rPr>
          <w:rFonts w:hint="eastAsia" w:ascii="方正仿宋简体" w:hAnsi="方正仿宋简体" w:eastAsia="方正仿宋简体" w:cs="方正仿宋简体"/>
          <w:sz w:val="32"/>
          <w:szCs w:val="32"/>
          <w:highlight w:val="none"/>
          <w:lang w:val="en-US" w:eastAsia="zh-CN"/>
        </w:rPr>
        <w:t>编制了日常管理制度，如《项目建设管理制度》《合同管理制度》《资产管理制度》和《财务管理制度》等，项目管理制度基本完善。</w:t>
      </w:r>
    </w:p>
    <w:p w14:paraId="5AE8B326">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w:t>
      </w:r>
    </w:p>
    <w:p w14:paraId="6055AAD9">
      <w:pPr>
        <w:pageBreakBefore w:val="0"/>
        <w:numPr>
          <w:ilvl w:val="1"/>
          <w:numId w:val="0"/>
        </w:numPr>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sz w:val="32"/>
          <w:szCs w:val="32"/>
          <w:highlight w:val="none"/>
        </w:rPr>
      </w:pPr>
      <w:bookmarkStart w:id="76" w:name="_Toc32636"/>
      <w:bookmarkStart w:id="77" w:name="_Toc32247"/>
      <w:bookmarkStart w:id="78" w:name="_Toc31125"/>
      <w:bookmarkStart w:id="79" w:name="_Toc88957765"/>
      <w:bookmarkStart w:id="80" w:name="_Toc14016"/>
      <w:bookmarkStart w:id="81" w:name="_Toc1541608668"/>
      <w:bookmarkStart w:id="82" w:name="_Toc142913853"/>
      <w:bookmarkStart w:id="83" w:name="_Toc11010"/>
      <w:bookmarkStart w:id="84" w:name="_Toc319507675_WPSOffice_Level3"/>
      <w:r>
        <w:rPr>
          <w:rFonts w:hint="eastAsia" w:ascii="方正楷体简体" w:hAnsi="方正楷体简体" w:eastAsia="方正楷体简体" w:cs="方正楷体简体"/>
          <w:sz w:val="32"/>
          <w:szCs w:val="32"/>
          <w:highlight w:val="none"/>
        </w:rPr>
        <w:t>（二）</w:t>
      </w:r>
      <w:bookmarkEnd w:id="76"/>
      <w:bookmarkEnd w:id="77"/>
      <w:bookmarkEnd w:id="78"/>
      <w:bookmarkEnd w:id="79"/>
      <w:bookmarkEnd w:id="80"/>
      <w:bookmarkEnd w:id="81"/>
      <w:r>
        <w:rPr>
          <w:rFonts w:hint="eastAsia" w:ascii="方正楷体简体" w:hAnsi="方正楷体简体" w:eastAsia="方正楷体简体" w:cs="方正楷体简体"/>
          <w:sz w:val="32"/>
          <w:szCs w:val="32"/>
          <w:highlight w:val="none"/>
        </w:rPr>
        <w:t>项目实施</w:t>
      </w:r>
      <w:bookmarkEnd w:id="82"/>
      <w:bookmarkEnd w:id="83"/>
    </w:p>
    <w:p w14:paraId="690F1FE8">
      <w:pPr>
        <w:pStyle w:val="2"/>
        <w:keepNext w:val="0"/>
        <w:keepLines w:val="0"/>
        <w:pageBreakBefore w:val="0"/>
        <w:widowControl w:val="0"/>
        <w:kinsoku/>
        <w:wordWrap/>
        <w:overflowPunct/>
        <w:topLinePunct w:val="0"/>
        <w:autoSpaceDE/>
        <w:autoSpaceDN/>
        <w:bidi w:val="0"/>
        <w:adjustRightInd/>
        <w:snapToGrid/>
        <w:spacing w:after="0" w:line="600" w:lineRule="exact"/>
        <w:ind w:firstLine="0"/>
        <w:textAlignment w:val="auto"/>
        <w:rPr>
          <w:rFonts w:hint="eastAsia" w:ascii="方正仿宋简体" w:hAnsi="方正仿宋简体" w:eastAsia="方正仿宋简体" w:cs="方正仿宋简体"/>
          <w:sz w:val="32"/>
          <w:szCs w:val="32"/>
          <w:highlight w:val="none"/>
        </w:rPr>
      </w:pPr>
      <w:bookmarkStart w:id="85" w:name="_Toc4448"/>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项目实施</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下设三个三级指标分别为：资金分配合理性、资金使用合规性、项目执行有效性。</w:t>
      </w:r>
      <w:bookmarkEnd w:id="85"/>
    </w:p>
    <w:p w14:paraId="65411F0B">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.资金分配合理性</w:t>
      </w:r>
    </w:p>
    <w:p w14:paraId="4CA9607D">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泸定县财政局根据冷碛镇古银杏保护与抢修复壮项目实施方案和事前绩效评估报告的规划，冷碛镇古银杏保护与抢修复壮项目申请财政资金</w:t>
      </w:r>
      <w:r>
        <w:rPr>
          <w:rFonts w:hint="default" w:ascii="Times New Roman" w:hAnsi="Times New Roman" w:eastAsia="方正仿宋简体" w:cs="Times New Roman"/>
          <w:sz w:val="32"/>
          <w:szCs w:val="32"/>
          <w:highlight w:val="none"/>
        </w:rPr>
        <w:t>395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万元，泸定县财政局</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rPr>
        <w:t>6</w:t>
      </w:r>
      <w:r>
        <w:rPr>
          <w:rFonts w:hint="eastAsia" w:ascii="方正仿宋简体" w:hAnsi="方正仿宋简体" w:eastAsia="方正仿宋简体" w:cs="方正仿宋简体"/>
          <w:sz w:val="32"/>
          <w:szCs w:val="32"/>
          <w:highlight w:val="none"/>
        </w:rPr>
        <w:t>月</w:t>
      </w:r>
      <w:r>
        <w:rPr>
          <w:rFonts w:hint="default" w:ascii="Times New Roman" w:hAnsi="Times New Roman" w:eastAsia="方正仿宋简体" w:cs="Times New Roman"/>
          <w:sz w:val="32"/>
          <w:szCs w:val="32"/>
          <w:highlight w:val="none"/>
        </w:rPr>
        <w:t>14</w:t>
      </w:r>
      <w:r>
        <w:rPr>
          <w:rFonts w:hint="eastAsia" w:ascii="方正仿宋简体" w:hAnsi="方正仿宋简体" w:eastAsia="方正仿宋简体" w:cs="方正仿宋简体"/>
          <w:sz w:val="32"/>
          <w:szCs w:val="32"/>
          <w:highlight w:val="none"/>
        </w:rPr>
        <w:t>日以（泸财乡〔</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25</w:t>
      </w:r>
      <w:r>
        <w:rPr>
          <w:rFonts w:hint="eastAsia" w:ascii="方正仿宋简体" w:hAnsi="方正仿宋简体" w:eastAsia="方正仿宋简体" w:cs="方正仿宋简体"/>
          <w:sz w:val="32"/>
          <w:szCs w:val="32"/>
          <w:highlight w:val="none"/>
        </w:rPr>
        <w:t>号）文件安排政府性基金</w:t>
      </w:r>
      <w:r>
        <w:rPr>
          <w:rFonts w:hint="default" w:ascii="Times New Roman" w:hAnsi="Times New Roman" w:eastAsia="方正仿宋简体" w:cs="Times New Roman"/>
          <w:sz w:val="32"/>
          <w:szCs w:val="32"/>
          <w:highlight w:val="none"/>
        </w:rPr>
        <w:t>380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万元，</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rPr>
        <w:t>9</w:t>
      </w:r>
      <w:r>
        <w:rPr>
          <w:rFonts w:hint="eastAsia" w:ascii="方正仿宋简体" w:hAnsi="方正仿宋简体" w:eastAsia="方正仿宋简体" w:cs="方正仿宋简体"/>
          <w:sz w:val="32"/>
          <w:szCs w:val="32"/>
          <w:highlight w:val="none"/>
        </w:rPr>
        <w:t>月</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日以（泸财乡〔</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30</w:t>
      </w:r>
      <w:r>
        <w:rPr>
          <w:rFonts w:hint="eastAsia" w:ascii="方正仿宋简体" w:hAnsi="方正仿宋简体" w:eastAsia="方正仿宋简体" w:cs="方正仿宋简体"/>
          <w:sz w:val="32"/>
          <w:szCs w:val="32"/>
          <w:highlight w:val="none"/>
        </w:rPr>
        <w:t>号）文件安排政府性基金</w:t>
      </w:r>
      <w:r>
        <w:rPr>
          <w:rFonts w:hint="default" w:ascii="Times New Roman" w:hAnsi="Times New Roman" w:eastAsia="方正仿宋简体" w:cs="Times New Roman"/>
          <w:sz w:val="32"/>
          <w:szCs w:val="32"/>
          <w:highlight w:val="none"/>
        </w:rPr>
        <w:t>15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万元，实际到位资金</w:t>
      </w:r>
      <w:r>
        <w:rPr>
          <w:rFonts w:hint="default" w:ascii="Times New Roman" w:hAnsi="Times New Roman" w:eastAsia="方正仿宋简体" w:cs="Times New Roman"/>
          <w:sz w:val="32"/>
          <w:szCs w:val="32"/>
          <w:highlight w:val="none"/>
        </w:rPr>
        <w:t>395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万元，项目资金分配结果与规划计划一致，按规定及时将专项资金下达至泸定县冷碛镇人民政府。</w:t>
      </w:r>
    </w:p>
    <w:p w14:paraId="125FFF1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4B362BA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.资金使用合规性</w:t>
      </w:r>
    </w:p>
    <w:p w14:paraId="7F80A3A4">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eastAsia="zh-CN"/>
        </w:rPr>
        <w:t>泸定县冷碛镇人民政府在实施本项目过程中，严格按照国家财经法规、财务管理制度及有关专项资金管理办法规定执行，严格执行国库集中支付规定，资金拨付均有完整的审批程序和手续；符合项目预算批复或合同规定用途；不存在截留、挤占、挪用、虚列支出等情况。</w:t>
      </w:r>
    </w:p>
    <w:p w14:paraId="70AB290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2642B06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.项目执行有效性</w:t>
      </w:r>
    </w:p>
    <w:p w14:paraId="629D9BC1">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lang w:val="en-US"/>
        </w:rPr>
      </w:pPr>
      <w:bookmarkStart w:id="86" w:name="_Toc1369"/>
      <w:r>
        <w:rPr>
          <w:rFonts w:hint="eastAsia" w:ascii="方正仿宋简体" w:hAnsi="方正仿宋简体" w:eastAsia="方正仿宋简体" w:cs="方正仿宋简体"/>
          <w:sz w:val="32"/>
          <w:szCs w:val="32"/>
          <w:highlight w:val="none"/>
          <w:lang w:eastAsia="zh-CN"/>
        </w:rPr>
        <w:t>本项目实施均遵守相关法律法规；项目调整手续完备；项目合同、验收报告、技术鉴定等资料齐全并及时归档；项目实施的人员条件、场地设备、信息支撑等全部落实到位。评价组现场发现，项目实施过程存在不规范的情况，如：（</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eastAsia="zh-CN"/>
        </w:rPr>
        <w:t>）项目实施过程涉及的资产评估、劳务派遣和设备租赁合同未签订日期。（</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项目完成后未进行专项验收。</w:t>
      </w:r>
    </w:p>
    <w:p w14:paraId="108ED5DA">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w:t>
      </w:r>
      <w:bookmarkEnd w:id="86"/>
    </w:p>
    <w:p w14:paraId="5D12E5FA">
      <w:pPr>
        <w:pageBreakBefore w:val="0"/>
        <w:numPr>
          <w:ilvl w:val="1"/>
          <w:numId w:val="0"/>
        </w:numPr>
        <w:kinsoku/>
        <w:wordWrap/>
        <w:overflowPunct/>
        <w:topLinePunct w:val="0"/>
        <w:autoSpaceDE/>
        <w:autoSpaceDN/>
        <w:bidi w:val="0"/>
        <w:spacing w:line="600" w:lineRule="exact"/>
        <w:ind w:firstLine="640" w:firstLineChars="200"/>
        <w:outlineLvl w:val="1"/>
        <w:rPr>
          <w:rFonts w:hint="eastAsia" w:ascii="方正楷体简体" w:hAnsi="方正楷体简体" w:eastAsia="方正楷体简体" w:cs="方正楷体简体"/>
          <w:sz w:val="32"/>
          <w:szCs w:val="32"/>
          <w:highlight w:val="none"/>
        </w:rPr>
      </w:pPr>
      <w:bookmarkStart w:id="87" w:name="_Toc16444"/>
      <w:bookmarkStart w:id="88" w:name="_Toc2043726100"/>
      <w:bookmarkStart w:id="89" w:name="_Toc1142577582"/>
      <w:bookmarkStart w:id="90" w:name="_Toc32069"/>
      <w:bookmarkStart w:id="91" w:name="_Toc142913854"/>
      <w:bookmarkStart w:id="92" w:name="_Toc27768"/>
      <w:r>
        <w:rPr>
          <w:rFonts w:hint="eastAsia" w:ascii="方正楷体简体" w:hAnsi="方正楷体简体" w:eastAsia="方正楷体简体" w:cs="方正楷体简体"/>
          <w:sz w:val="32"/>
          <w:szCs w:val="32"/>
          <w:highlight w:val="none"/>
        </w:rPr>
        <w:t>（三）</w:t>
      </w:r>
      <w:bookmarkEnd w:id="87"/>
      <w:bookmarkEnd w:id="88"/>
      <w:bookmarkEnd w:id="89"/>
      <w:bookmarkEnd w:id="90"/>
      <w:r>
        <w:rPr>
          <w:rFonts w:hint="eastAsia" w:ascii="方正楷体简体" w:hAnsi="方正楷体简体" w:eastAsia="方正楷体简体" w:cs="方正楷体简体"/>
          <w:sz w:val="32"/>
          <w:szCs w:val="32"/>
          <w:highlight w:val="none"/>
        </w:rPr>
        <w:t>完成结果</w:t>
      </w:r>
      <w:bookmarkEnd w:id="91"/>
      <w:bookmarkEnd w:id="92"/>
    </w:p>
    <w:p w14:paraId="2D8F51C2">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bookmarkStart w:id="93" w:name="_Toc1661"/>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完成结果</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下设四个三级指标分别为：预算完成</w:t>
      </w:r>
      <w:r>
        <w:rPr>
          <w:rFonts w:hint="eastAsia" w:ascii="方正仿宋简体" w:hAnsi="方正仿宋简体" w:eastAsia="方正仿宋简体" w:cs="方正仿宋简体"/>
          <w:sz w:val="32"/>
          <w:szCs w:val="32"/>
          <w:highlight w:val="none"/>
          <w:lang w:val="en-US" w:eastAsia="zh-CN"/>
        </w:rPr>
        <w:t>率</w:t>
      </w:r>
      <w:r>
        <w:rPr>
          <w:rFonts w:hint="eastAsia" w:ascii="方正仿宋简体" w:hAnsi="方正仿宋简体" w:eastAsia="方正仿宋简体" w:cs="方正仿宋简体"/>
          <w:sz w:val="32"/>
          <w:szCs w:val="32"/>
          <w:highlight w:val="none"/>
        </w:rPr>
        <w:t>、目标完成</w:t>
      </w:r>
      <w:r>
        <w:rPr>
          <w:rFonts w:hint="eastAsia" w:ascii="方正仿宋简体" w:hAnsi="方正仿宋简体" w:eastAsia="方正仿宋简体" w:cs="方正仿宋简体"/>
          <w:sz w:val="32"/>
          <w:szCs w:val="32"/>
          <w:highlight w:val="none"/>
          <w:lang w:val="en-US" w:eastAsia="zh-CN"/>
        </w:rPr>
        <w:t>率</w:t>
      </w:r>
      <w:r>
        <w:rPr>
          <w:rFonts w:hint="eastAsia" w:ascii="方正仿宋简体" w:hAnsi="方正仿宋简体" w:eastAsia="方正仿宋简体" w:cs="方正仿宋简体"/>
          <w:sz w:val="32"/>
          <w:szCs w:val="32"/>
          <w:highlight w:val="none"/>
        </w:rPr>
        <w:t>、</w:t>
      </w:r>
      <w:bookmarkStart w:id="94" w:name="_Hlk142494591"/>
      <w:r>
        <w:rPr>
          <w:rFonts w:hint="eastAsia" w:ascii="方正仿宋简体" w:hAnsi="方正仿宋简体" w:eastAsia="方正仿宋简体" w:cs="方正仿宋简体"/>
          <w:sz w:val="32"/>
          <w:szCs w:val="32"/>
          <w:highlight w:val="none"/>
        </w:rPr>
        <w:t>完成</w:t>
      </w:r>
      <w:bookmarkEnd w:id="94"/>
      <w:r>
        <w:rPr>
          <w:rFonts w:hint="eastAsia" w:ascii="方正仿宋简体" w:hAnsi="方正仿宋简体" w:eastAsia="方正仿宋简体" w:cs="方正仿宋简体"/>
          <w:sz w:val="32"/>
          <w:szCs w:val="32"/>
          <w:highlight w:val="none"/>
          <w:lang w:val="en-US" w:eastAsia="zh-CN"/>
        </w:rPr>
        <w:t>及时率</w:t>
      </w:r>
      <w:r>
        <w:rPr>
          <w:rFonts w:hint="eastAsia" w:ascii="方正仿宋简体" w:hAnsi="方正仿宋简体" w:eastAsia="方正仿宋简体" w:cs="方正仿宋简体"/>
          <w:sz w:val="32"/>
          <w:szCs w:val="32"/>
          <w:highlight w:val="none"/>
        </w:rPr>
        <w:t>、违规记录。</w:t>
      </w:r>
      <w:bookmarkEnd w:id="93"/>
    </w:p>
    <w:p w14:paraId="146617F6">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.预算完成</w:t>
      </w:r>
      <w:r>
        <w:rPr>
          <w:rFonts w:hint="eastAsia" w:ascii="方正仿宋简体" w:hAnsi="方正仿宋简体" w:eastAsia="方正仿宋简体" w:cs="方正仿宋简体"/>
          <w:sz w:val="32"/>
          <w:szCs w:val="32"/>
          <w:highlight w:val="none"/>
          <w:lang w:val="en-US" w:eastAsia="zh-CN"/>
        </w:rPr>
        <w:t>率</w:t>
      </w:r>
    </w:p>
    <w:p w14:paraId="44DEC57F">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本项目预算</w:t>
      </w:r>
      <w:r>
        <w:rPr>
          <w:rFonts w:hint="default" w:ascii="Times New Roman" w:hAnsi="Times New Roman" w:eastAsia="方正仿宋简体" w:cs="Times New Roman"/>
          <w:sz w:val="32"/>
          <w:szCs w:val="32"/>
          <w:highlight w:val="none"/>
        </w:rPr>
        <w:t>395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万元，实际执行</w:t>
      </w:r>
      <w:r>
        <w:rPr>
          <w:rFonts w:hint="default" w:ascii="Times New Roman" w:hAnsi="Times New Roman" w:eastAsia="方正仿宋简体" w:cs="Times New Roman"/>
          <w:sz w:val="32"/>
          <w:szCs w:val="32"/>
          <w:highlight w:val="none"/>
        </w:rPr>
        <w:t>390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38</w:t>
      </w:r>
      <w:r>
        <w:rPr>
          <w:rFonts w:hint="eastAsia" w:ascii="方正仿宋简体" w:hAnsi="方正仿宋简体" w:eastAsia="方正仿宋简体" w:cs="方正仿宋简体"/>
          <w:sz w:val="32"/>
          <w:szCs w:val="32"/>
          <w:highlight w:val="none"/>
        </w:rPr>
        <w:t>万元，执行率</w:t>
      </w:r>
      <w:r>
        <w:rPr>
          <w:rFonts w:hint="default" w:ascii="Times New Roman" w:hAnsi="Times New Roman" w:eastAsia="方正仿宋简体" w:cs="Times New Roman"/>
          <w:sz w:val="32"/>
          <w:szCs w:val="32"/>
          <w:highlight w:val="none"/>
        </w:rPr>
        <w:t>98</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83%</w:t>
      </w:r>
      <w:r>
        <w:rPr>
          <w:rFonts w:hint="eastAsia" w:ascii="方正仿宋简体" w:hAnsi="方正仿宋简体" w:eastAsia="方正仿宋简体" w:cs="方正仿宋简体"/>
          <w:sz w:val="32"/>
          <w:szCs w:val="32"/>
          <w:highlight w:val="none"/>
        </w:rPr>
        <w:t>，项目结转资金</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62</w:t>
      </w:r>
      <w:r>
        <w:rPr>
          <w:rFonts w:hint="eastAsia" w:ascii="方正仿宋简体" w:hAnsi="方正仿宋简体" w:eastAsia="方正仿宋简体" w:cs="方正仿宋简体"/>
          <w:sz w:val="32"/>
          <w:szCs w:val="32"/>
          <w:highlight w:val="none"/>
        </w:rPr>
        <w:t>万元。</w:t>
      </w:r>
    </w:p>
    <w:p w14:paraId="54270289">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06</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94</w:t>
      </w:r>
      <w:r>
        <w:rPr>
          <w:rFonts w:hint="eastAsia" w:ascii="方正仿宋简体" w:hAnsi="方正仿宋简体" w:eastAsia="方正仿宋简体" w:cs="方正仿宋简体"/>
          <w:sz w:val="32"/>
          <w:szCs w:val="32"/>
          <w:highlight w:val="none"/>
        </w:rPr>
        <w:t>分。</w:t>
      </w:r>
    </w:p>
    <w:p w14:paraId="61C87D1D">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.目标完成</w:t>
      </w:r>
      <w:r>
        <w:rPr>
          <w:rFonts w:hint="eastAsia" w:ascii="方正仿宋简体" w:hAnsi="方正仿宋简体" w:eastAsia="方正仿宋简体" w:cs="方正仿宋简体"/>
          <w:sz w:val="32"/>
          <w:szCs w:val="32"/>
          <w:highlight w:val="none"/>
          <w:lang w:val="en-US" w:eastAsia="zh-CN"/>
        </w:rPr>
        <w:t>率</w:t>
      </w:r>
    </w:p>
    <w:p w14:paraId="712C3A9A">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根据项目年初设定目标：产出数量指标“拆迁农户</w:t>
      </w:r>
      <w:r>
        <w:rPr>
          <w:rFonts w:hint="default" w:ascii="Times New Roman" w:hAnsi="Times New Roman" w:eastAsia="方正仿宋简体" w:cs="Times New Roman"/>
          <w:sz w:val="32"/>
          <w:szCs w:val="32"/>
          <w:highlight w:val="none"/>
        </w:rPr>
        <w:t>6</w:t>
      </w:r>
      <w:r>
        <w:rPr>
          <w:rFonts w:hint="eastAsia" w:ascii="方正仿宋简体" w:hAnsi="方正仿宋简体" w:eastAsia="方正仿宋简体" w:cs="方正仿宋简体"/>
          <w:sz w:val="32"/>
          <w:szCs w:val="32"/>
          <w:highlight w:val="none"/>
        </w:rPr>
        <w:t>户，建筑面积≥</w:t>
      </w:r>
      <w:r>
        <w:rPr>
          <w:rFonts w:hint="default" w:ascii="Times New Roman" w:hAnsi="Times New Roman" w:eastAsia="方正仿宋简体" w:cs="Times New Roman"/>
          <w:sz w:val="32"/>
          <w:szCs w:val="32"/>
          <w:highlight w:val="none"/>
        </w:rPr>
        <w:t>1000</w:t>
      </w:r>
      <w:r>
        <w:rPr>
          <w:rFonts w:hint="eastAsia" w:ascii="方正仿宋简体" w:hAnsi="方正仿宋简体" w:eastAsia="方正仿宋简体" w:cs="方正仿宋简体"/>
          <w:sz w:val="32"/>
          <w:szCs w:val="32"/>
          <w:highlight w:val="none"/>
        </w:rPr>
        <w:t>㎡”，截至</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rPr>
        <w:t>12</w:t>
      </w:r>
      <w:r>
        <w:rPr>
          <w:rFonts w:hint="eastAsia" w:ascii="方正仿宋简体" w:hAnsi="方正仿宋简体" w:eastAsia="方正仿宋简体" w:cs="方正仿宋简体"/>
          <w:sz w:val="32"/>
          <w:szCs w:val="32"/>
          <w:highlight w:val="none"/>
        </w:rPr>
        <w:t>月</w:t>
      </w:r>
      <w:r>
        <w:rPr>
          <w:rFonts w:hint="default" w:ascii="Times New Roman" w:hAnsi="Times New Roman" w:eastAsia="方正仿宋简体" w:cs="Times New Roman"/>
          <w:sz w:val="32"/>
          <w:szCs w:val="32"/>
          <w:highlight w:val="none"/>
        </w:rPr>
        <w:t>31</w:t>
      </w:r>
      <w:r>
        <w:rPr>
          <w:rFonts w:hint="eastAsia" w:ascii="方正仿宋简体" w:hAnsi="方正仿宋简体" w:eastAsia="方正仿宋简体" w:cs="方正仿宋简体"/>
          <w:sz w:val="32"/>
          <w:szCs w:val="32"/>
          <w:highlight w:val="none"/>
        </w:rPr>
        <w:t>日，相关产出数量指标均已完成，完成率</w:t>
      </w:r>
      <w:r>
        <w:rPr>
          <w:rFonts w:hint="default" w:ascii="Times New Roman" w:hAnsi="Times New Roman" w:eastAsia="方正仿宋简体" w:cs="Times New Roman"/>
          <w:sz w:val="32"/>
          <w:szCs w:val="32"/>
          <w:highlight w:val="none"/>
        </w:rPr>
        <w:t>100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w:t>
      </w:r>
    </w:p>
    <w:p w14:paraId="73BE5699">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w:t>
      </w:r>
    </w:p>
    <w:p w14:paraId="719E4117">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.完成</w:t>
      </w:r>
      <w:r>
        <w:rPr>
          <w:rFonts w:hint="eastAsia" w:ascii="方正仿宋简体" w:hAnsi="方正仿宋简体" w:eastAsia="方正仿宋简体" w:cs="方正仿宋简体"/>
          <w:sz w:val="32"/>
          <w:szCs w:val="32"/>
          <w:highlight w:val="none"/>
          <w:lang w:val="en-US" w:eastAsia="zh-CN"/>
        </w:rPr>
        <w:t>及时率</w:t>
      </w:r>
    </w:p>
    <w:p w14:paraId="3E3A2F75">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根据项目绩效目标申报表设定时效指标，</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rPr>
        <w:t>9</w:t>
      </w:r>
      <w:r>
        <w:rPr>
          <w:rFonts w:hint="eastAsia" w:ascii="方正仿宋简体" w:hAnsi="方正仿宋简体" w:eastAsia="方正仿宋简体" w:cs="方正仿宋简体"/>
          <w:sz w:val="32"/>
          <w:szCs w:val="32"/>
          <w:highlight w:val="none"/>
        </w:rPr>
        <w:t>月前完成项目验收，</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月前完成项目自评，相关产出时效指标均已按时完成，完成及时率</w:t>
      </w:r>
      <w:r>
        <w:rPr>
          <w:rFonts w:hint="default" w:ascii="Times New Roman" w:hAnsi="Times New Roman" w:eastAsia="方正仿宋简体" w:cs="Times New Roman"/>
          <w:sz w:val="32"/>
          <w:szCs w:val="32"/>
          <w:highlight w:val="none"/>
        </w:rPr>
        <w:t>100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w:t>
      </w:r>
    </w:p>
    <w:p w14:paraId="0CFC7D11">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5A41A730">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.违规记录</w:t>
      </w:r>
    </w:p>
    <w:p w14:paraId="5F5E8AA9">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经询问和检查，泸定县冷碛镇人民政府</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年度相关监督检查、绩效评价等结果，未发现本项目实施过程存在违反法律法规的情况。</w:t>
      </w:r>
    </w:p>
    <w:p w14:paraId="5B6E198E">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0</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0</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w:t>
      </w:r>
    </w:p>
    <w:p w14:paraId="2CE791AB">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方正楷体简体" w:hAnsi="方正楷体简体" w:eastAsia="方正楷体简体" w:cs="方正楷体简体"/>
          <w:sz w:val="32"/>
          <w:szCs w:val="32"/>
          <w:highlight w:val="none"/>
        </w:rPr>
      </w:pPr>
      <w:bookmarkStart w:id="95" w:name="_Toc1057408103"/>
      <w:bookmarkStart w:id="96" w:name="_Toc1234034413"/>
      <w:bookmarkStart w:id="97" w:name="_Toc142913855"/>
      <w:bookmarkStart w:id="98" w:name="_Toc8919"/>
      <w:r>
        <w:rPr>
          <w:rFonts w:hint="eastAsia" w:ascii="方正楷体简体" w:hAnsi="方正楷体简体" w:eastAsia="方正楷体简体" w:cs="方正楷体简体"/>
          <w:sz w:val="32"/>
          <w:szCs w:val="32"/>
          <w:highlight w:val="none"/>
        </w:rPr>
        <w:t>（四）</w:t>
      </w:r>
      <w:bookmarkEnd w:id="95"/>
      <w:bookmarkEnd w:id="96"/>
      <w:r>
        <w:rPr>
          <w:rFonts w:hint="eastAsia" w:ascii="方正楷体简体" w:hAnsi="方正楷体简体" w:eastAsia="方正楷体简体" w:cs="方正楷体简体"/>
          <w:sz w:val="32"/>
          <w:szCs w:val="32"/>
          <w:highlight w:val="none"/>
        </w:rPr>
        <w:t>项目效果</w:t>
      </w:r>
      <w:bookmarkEnd w:id="97"/>
      <w:bookmarkEnd w:id="98"/>
    </w:p>
    <w:p w14:paraId="1724ABC3">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bookmarkStart w:id="99" w:name="_Toc16730"/>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项目效果</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w:t>
      </w:r>
      <w:r>
        <w:rPr>
          <w:rFonts w:hint="eastAsia" w:ascii="方正仿宋简体" w:hAnsi="方正仿宋简体" w:eastAsia="方正仿宋简体" w:cs="方正仿宋简体"/>
          <w:sz w:val="32"/>
          <w:szCs w:val="32"/>
          <w:highlight w:val="none"/>
          <w:lang w:val="en-US" w:eastAsia="zh-CN"/>
        </w:rPr>
        <w:t>两</w:t>
      </w:r>
      <w:r>
        <w:rPr>
          <w:rFonts w:hint="eastAsia" w:ascii="方正仿宋简体" w:hAnsi="方正仿宋简体" w:eastAsia="方正仿宋简体" w:cs="方正仿宋简体"/>
          <w:sz w:val="32"/>
          <w:szCs w:val="32"/>
          <w:highlight w:val="none"/>
        </w:rPr>
        <w:t>个三级指标分别为：</w:t>
      </w:r>
      <w:bookmarkEnd w:id="99"/>
      <w:r>
        <w:rPr>
          <w:rFonts w:hint="eastAsia" w:ascii="方正仿宋简体" w:hAnsi="方正仿宋简体" w:eastAsia="方正仿宋简体" w:cs="方正仿宋简体"/>
          <w:sz w:val="32"/>
          <w:szCs w:val="32"/>
          <w:highlight w:val="none"/>
          <w:lang w:val="en-US" w:eastAsia="zh-CN"/>
        </w:rPr>
        <w:t>设施、设备正常运行</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配套设施完成</w:t>
      </w:r>
      <w:r>
        <w:rPr>
          <w:rFonts w:hint="eastAsia" w:ascii="方正仿宋简体" w:hAnsi="方正仿宋简体" w:eastAsia="方正仿宋简体" w:cs="方正仿宋简体"/>
          <w:sz w:val="32"/>
          <w:szCs w:val="32"/>
          <w:highlight w:val="none"/>
        </w:rPr>
        <w:t>。</w:t>
      </w:r>
    </w:p>
    <w:p w14:paraId="531A9A4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lang w:eastAsia="zh-CN"/>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设施、设备正常运行</w:t>
      </w:r>
    </w:p>
    <w:p w14:paraId="431B744F">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冷碛镇古银杏保护与抢修复壮项目已完成了对古银杏范围内</w:t>
      </w: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户农户的拆除搬迁，初步解决了古银杏生命受威胁的问题，遏制了其衰弱退化趋势，改善了古银杏的外部生存环境。</w:t>
      </w:r>
    </w:p>
    <w:p w14:paraId="4C3F2814">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717082A0">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配套设施完成</w:t>
      </w:r>
    </w:p>
    <w:p w14:paraId="335DE8C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冷碛镇古银杏保护与抢修复壮项目已按事前评估报告完成了古银杏范围内</w:t>
      </w: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户农户拆除搬迁，地上、地下管网改建、古银杏抢救与复壮、公园建设等系列内容尚未实施，不能充分整合发挥生态效益、社会效益和经济效益。</w:t>
      </w:r>
    </w:p>
    <w:p w14:paraId="0195BAA1">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bookmarkEnd w:id="84"/>
    <w:p w14:paraId="64E1E2F5">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方正楷体简体" w:hAnsi="方正楷体简体" w:eastAsia="方正楷体简体" w:cs="方正楷体简体"/>
          <w:sz w:val="32"/>
          <w:szCs w:val="32"/>
          <w:highlight w:val="none"/>
          <w:lang w:val="en-US" w:eastAsia="zh-CN"/>
        </w:rPr>
      </w:pPr>
      <w:bookmarkStart w:id="100" w:name="_Toc1710821527"/>
      <w:bookmarkStart w:id="101" w:name="_Toc142913856"/>
      <w:bookmarkStart w:id="102" w:name="_Toc2072298162"/>
      <w:bookmarkStart w:id="103" w:name="_Toc29411"/>
      <w:r>
        <w:rPr>
          <w:rFonts w:hint="eastAsia" w:ascii="方正楷体简体" w:hAnsi="方正楷体简体" w:eastAsia="方正楷体简体" w:cs="方正楷体简体"/>
          <w:sz w:val="32"/>
          <w:szCs w:val="32"/>
          <w:highlight w:val="none"/>
        </w:rPr>
        <w:t>（五）</w:t>
      </w:r>
      <w:bookmarkEnd w:id="100"/>
      <w:bookmarkEnd w:id="101"/>
      <w:bookmarkEnd w:id="102"/>
      <w:r>
        <w:rPr>
          <w:rFonts w:hint="eastAsia" w:ascii="方正楷体简体" w:hAnsi="方正楷体简体" w:eastAsia="方正楷体简体" w:cs="方正楷体简体"/>
          <w:sz w:val="32"/>
          <w:szCs w:val="32"/>
          <w:highlight w:val="none"/>
          <w:lang w:val="en-US" w:eastAsia="zh-CN"/>
        </w:rPr>
        <w:t>完成质量</w:t>
      </w:r>
      <w:bookmarkEnd w:id="103"/>
    </w:p>
    <w:p w14:paraId="2FA702DC">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 xml:space="preserve">指标 </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完成质量</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下设一个三级指标：</w:t>
      </w:r>
      <w:r>
        <w:rPr>
          <w:rFonts w:hint="eastAsia" w:ascii="方正仿宋简体" w:hAnsi="方正仿宋简体" w:eastAsia="方正仿宋简体" w:cs="方正仿宋简体"/>
          <w:sz w:val="32"/>
          <w:szCs w:val="32"/>
          <w:highlight w:val="none"/>
          <w:lang w:val="en-US" w:eastAsia="zh-CN"/>
        </w:rPr>
        <w:t>质量达标率</w:t>
      </w:r>
      <w:r>
        <w:rPr>
          <w:rFonts w:hint="eastAsia" w:ascii="方正仿宋简体" w:hAnsi="方正仿宋简体" w:eastAsia="方正仿宋简体" w:cs="方正仿宋简体"/>
          <w:sz w:val="32"/>
          <w:szCs w:val="32"/>
          <w:highlight w:val="none"/>
        </w:rPr>
        <w:t>。</w:t>
      </w:r>
    </w:p>
    <w:p w14:paraId="6BDB255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lang w:val="en-US"/>
        </w:rPr>
      </w:pPr>
      <w:r>
        <w:rPr>
          <w:rFonts w:hint="eastAsia" w:ascii="方正仿宋简体" w:hAnsi="方正仿宋简体" w:eastAsia="方正仿宋简体" w:cs="方正仿宋简体"/>
          <w:sz w:val="32"/>
          <w:szCs w:val="32"/>
          <w:highlight w:val="none"/>
          <w:lang w:val="en-US" w:eastAsia="zh-CN"/>
        </w:rPr>
        <w:t>评价组通过检查房屋拆迁补偿协议、资金支付凭证和银杏古树现场，</w:t>
      </w: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户住户已完成拆除搬迁，未发生工程质量问题，工程质量可以确认。</w:t>
      </w:r>
    </w:p>
    <w:p w14:paraId="04C2BBB1">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4D68774">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方正楷体简体" w:hAnsi="方正楷体简体" w:eastAsia="方正楷体简体" w:cs="方正楷体简体"/>
          <w:sz w:val="32"/>
          <w:szCs w:val="32"/>
          <w:highlight w:val="none"/>
        </w:rPr>
      </w:pPr>
      <w:bookmarkStart w:id="104" w:name="_Toc1403589335"/>
      <w:bookmarkStart w:id="105" w:name="_Toc1036307307"/>
      <w:bookmarkStart w:id="106" w:name="_Toc16116"/>
      <w:bookmarkStart w:id="107" w:name="_Toc142913857"/>
      <w:bookmarkStart w:id="108" w:name="_Toc1256376225_WPSOffice_Level3"/>
      <w:r>
        <w:rPr>
          <w:rFonts w:hint="eastAsia" w:ascii="方正楷体简体" w:hAnsi="方正楷体简体" w:eastAsia="方正楷体简体" w:cs="方正楷体简体"/>
          <w:sz w:val="32"/>
          <w:szCs w:val="32"/>
          <w:highlight w:val="none"/>
        </w:rPr>
        <w:t>（六）</w:t>
      </w:r>
      <w:bookmarkEnd w:id="104"/>
      <w:bookmarkEnd w:id="105"/>
      <w:r>
        <w:rPr>
          <w:rFonts w:hint="eastAsia" w:ascii="方正楷体简体" w:hAnsi="方正楷体简体" w:eastAsia="方正楷体简体" w:cs="方正楷体简体"/>
          <w:sz w:val="32"/>
          <w:szCs w:val="32"/>
          <w:highlight w:val="none"/>
        </w:rPr>
        <w:t>社会效益</w:t>
      </w:r>
      <w:bookmarkEnd w:id="106"/>
      <w:bookmarkEnd w:id="107"/>
    </w:p>
    <w:p w14:paraId="5BF95130">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社会效益</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w:t>
      </w:r>
      <w:r>
        <w:rPr>
          <w:rFonts w:hint="eastAsia" w:ascii="方正仿宋简体" w:hAnsi="方正仿宋简体" w:eastAsia="方正仿宋简体" w:cs="方正仿宋简体"/>
          <w:sz w:val="32"/>
          <w:szCs w:val="32"/>
          <w:highlight w:val="none"/>
          <w:lang w:val="en-US" w:eastAsia="zh-CN"/>
        </w:rPr>
        <w:t>两</w:t>
      </w:r>
      <w:r>
        <w:rPr>
          <w:rFonts w:hint="eastAsia" w:ascii="方正仿宋简体" w:hAnsi="方正仿宋简体" w:eastAsia="方正仿宋简体" w:cs="方正仿宋简体"/>
          <w:sz w:val="32"/>
          <w:szCs w:val="32"/>
          <w:highlight w:val="none"/>
        </w:rPr>
        <w:t>个三级指标：古树名木保护效应</w:t>
      </w:r>
      <w:r>
        <w:rPr>
          <w:rFonts w:hint="eastAsia" w:ascii="方正仿宋简体" w:hAnsi="方正仿宋简体" w:eastAsia="方正仿宋简体" w:cs="方正仿宋简体"/>
          <w:sz w:val="32"/>
          <w:szCs w:val="32"/>
          <w:highlight w:val="none"/>
          <w:lang w:val="en-US" w:eastAsia="zh-CN"/>
        </w:rPr>
        <w:t>和收入增长性</w:t>
      </w:r>
      <w:r>
        <w:rPr>
          <w:rFonts w:hint="eastAsia" w:ascii="方正仿宋简体" w:hAnsi="方正仿宋简体" w:eastAsia="方正仿宋简体" w:cs="方正仿宋简体"/>
          <w:sz w:val="32"/>
          <w:szCs w:val="32"/>
          <w:highlight w:val="none"/>
          <w:lang w:eastAsia="zh-CN"/>
        </w:rPr>
        <w:t>。</w:t>
      </w:r>
    </w:p>
    <w:p w14:paraId="7074BF8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.古树名木保护效应</w:t>
      </w:r>
    </w:p>
    <w:bookmarkEnd w:id="108"/>
    <w:p w14:paraId="4897724D">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评价组观察项目实施后的古树现场情况，</w:t>
      </w:r>
      <w:r>
        <w:rPr>
          <w:rFonts w:hint="eastAsia" w:ascii="方正仿宋简体" w:hAnsi="方正仿宋简体" w:eastAsia="方正仿宋简体" w:cs="方正仿宋简体"/>
          <w:sz w:val="32"/>
          <w:szCs w:val="32"/>
          <w:highlight w:val="none"/>
        </w:rPr>
        <w:t>项目实施</w:t>
      </w:r>
      <w:r>
        <w:rPr>
          <w:rFonts w:hint="eastAsia" w:ascii="方正仿宋简体" w:hAnsi="方正仿宋简体" w:eastAsia="方正仿宋简体" w:cs="方正仿宋简体"/>
          <w:sz w:val="32"/>
          <w:szCs w:val="32"/>
          <w:highlight w:val="none"/>
          <w:lang w:val="en-US" w:eastAsia="zh-CN"/>
        </w:rPr>
        <w:t>对古树的外部生存环境有极大的改善</w:t>
      </w:r>
      <w:r>
        <w:rPr>
          <w:rFonts w:hint="eastAsia" w:ascii="方正仿宋简体" w:hAnsi="方正仿宋简体" w:eastAsia="方正仿宋简体" w:cs="方正仿宋简体"/>
          <w:sz w:val="32"/>
          <w:szCs w:val="32"/>
          <w:highlight w:val="none"/>
        </w:rPr>
        <w:t>，尚未对古树</w:t>
      </w:r>
      <w:r>
        <w:rPr>
          <w:rFonts w:hint="eastAsia" w:ascii="方正仿宋简体" w:hAnsi="方正仿宋简体" w:eastAsia="方正仿宋简体" w:cs="方正仿宋简体"/>
          <w:sz w:val="32"/>
          <w:szCs w:val="32"/>
          <w:highlight w:val="none"/>
          <w:lang w:val="en-US" w:eastAsia="zh-CN"/>
        </w:rPr>
        <w:t>树体</w:t>
      </w:r>
      <w:r>
        <w:rPr>
          <w:rFonts w:hint="eastAsia" w:ascii="方正仿宋简体" w:hAnsi="方正仿宋简体" w:eastAsia="方正仿宋简体" w:cs="方正仿宋简体"/>
          <w:sz w:val="32"/>
          <w:szCs w:val="32"/>
          <w:highlight w:val="none"/>
        </w:rPr>
        <w:t>开展抢救和复壮工作，</w:t>
      </w:r>
      <w:r>
        <w:rPr>
          <w:rFonts w:hint="eastAsia" w:ascii="方正仿宋简体" w:hAnsi="方正仿宋简体" w:eastAsia="方正仿宋简体" w:cs="方正仿宋简体"/>
          <w:sz w:val="32"/>
          <w:szCs w:val="32"/>
          <w:highlight w:val="none"/>
          <w:lang w:val="en-US" w:eastAsia="zh-CN"/>
        </w:rPr>
        <w:t>仍有提升的空间。</w:t>
      </w:r>
    </w:p>
    <w:p w14:paraId="3E5038A2">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8</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sz w:val="32"/>
          <w:szCs w:val="32"/>
          <w:highlight w:val="none"/>
          <w:lang w:eastAsia="zh-CN"/>
        </w:rPr>
        <w:t>。</w:t>
      </w:r>
    </w:p>
    <w:p w14:paraId="3F84752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.收入增长性</w:t>
      </w:r>
    </w:p>
    <w:p w14:paraId="6C6AC02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kern w:val="0"/>
          <w:sz w:val="32"/>
          <w:szCs w:val="32"/>
          <w:highlight w:val="none"/>
          <w:lang w:val="en-US" w:eastAsia="zh-CN" w:bidi="ar-SA"/>
        </w:rPr>
      </w:pPr>
      <w:r>
        <w:rPr>
          <w:rFonts w:hint="eastAsia" w:ascii="方正仿宋简体" w:hAnsi="方正仿宋简体" w:eastAsia="方正仿宋简体" w:cs="方正仿宋简体"/>
          <w:kern w:val="0"/>
          <w:sz w:val="32"/>
          <w:szCs w:val="32"/>
          <w:highlight w:val="none"/>
          <w:lang w:val="en-US" w:eastAsia="zh-CN" w:bidi="ar-SA"/>
        </w:rPr>
        <w:t>冷碛镇古银杏保护与抢修复壮项目已完成了前期的房屋拆除搬迁，增加了区域就业机会，支付劳务报酬支出</w:t>
      </w:r>
      <w:r>
        <w:rPr>
          <w:rFonts w:hint="default" w:ascii="Times New Roman" w:hAnsi="Times New Roman" w:eastAsia="方正仿宋简体" w:cs="Times New Roman"/>
          <w:kern w:val="0"/>
          <w:sz w:val="32"/>
          <w:szCs w:val="32"/>
          <w:highlight w:val="none"/>
          <w:lang w:val="en-US" w:eastAsia="zh-CN" w:bidi="ar-SA"/>
        </w:rPr>
        <w:t>84</w:t>
      </w:r>
      <w:r>
        <w:rPr>
          <w:rFonts w:hint="eastAsia" w:ascii="方正仿宋简体" w:hAnsi="方正仿宋简体" w:eastAsia="方正仿宋简体" w:cs="方正仿宋简体"/>
          <w:kern w:val="0"/>
          <w:sz w:val="32"/>
          <w:szCs w:val="32"/>
          <w:highlight w:val="none"/>
          <w:lang w:val="en-US" w:eastAsia="zh-CN" w:bidi="ar-SA"/>
        </w:rPr>
        <w:t>,</w:t>
      </w:r>
      <w:r>
        <w:rPr>
          <w:rFonts w:hint="default" w:ascii="Times New Roman" w:hAnsi="Times New Roman" w:eastAsia="方正仿宋简体" w:cs="Times New Roman"/>
          <w:kern w:val="0"/>
          <w:sz w:val="32"/>
          <w:szCs w:val="32"/>
          <w:highlight w:val="none"/>
          <w:lang w:val="en-US" w:eastAsia="zh-CN" w:bidi="ar-SA"/>
        </w:rPr>
        <w:t>300</w:t>
      </w:r>
      <w:r>
        <w:rPr>
          <w:rFonts w:hint="eastAsia" w:ascii="方正仿宋简体" w:hAnsi="方正仿宋简体" w:eastAsia="方正仿宋简体" w:cs="方正仿宋简体"/>
          <w:kern w:val="0"/>
          <w:sz w:val="32"/>
          <w:szCs w:val="32"/>
          <w:highlight w:val="none"/>
          <w:lang w:val="en-US" w:eastAsia="zh-CN" w:bidi="ar-SA"/>
        </w:rPr>
        <w:t>.</w:t>
      </w:r>
      <w:r>
        <w:rPr>
          <w:rFonts w:hint="default" w:ascii="Times New Roman" w:hAnsi="Times New Roman" w:eastAsia="方正仿宋简体" w:cs="Times New Roman"/>
          <w:kern w:val="0"/>
          <w:sz w:val="32"/>
          <w:szCs w:val="32"/>
          <w:highlight w:val="none"/>
          <w:lang w:val="en-US" w:eastAsia="zh-CN" w:bidi="ar-SA"/>
        </w:rPr>
        <w:t>00</w:t>
      </w:r>
      <w:r>
        <w:rPr>
          <w:rFonts w:hint="eastAsia" w:ascii="方正仿宋简体" w:hAnsi="方正仿宋简体" w:eastAsia="方正仿宋简体" w:cs="方正仿宋简体"/>
          <w:kern w:val="0"/>
          <w:sz w:val="32"/>
          <w:szCs w:val="32"/>
          <w:highlight w:val="none"/>
          <w:lang w:val="en-US" w:eastAsia="zh-CN" w:bidi="ar-SA"/>
        </w:rPr>
        <w:t>元。项目后期开展抢救和复壮、日常维护，会提供部分劳动机会增加务工收入，古树公园建成后，将吸引大量来海螺沟、来牛背山的旅客前往观赏古树风采，给本地居民增加旅游收入，经济效益较好。</w:t>
      </w:r>
    </w:p>
    <w:p w14:paraId="42B8F7F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kern w:val="0"/>
          <w:sz w:val="32"/>
          <w:szCs w:val="32"/>
          <w:highlight w:val="none"/>
          <w:lang w:val="en-US" w:eastAsia="zh-CN" w:bidi="ar-SA"/>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sz w:val="32"/>
          <w:szCs w:val="32"/>
          <w:highlight w:val="none"/>
          <w:lang w:eastAsia="zh-CN"/>
        </w:rPr>
        <w:t>。</w:t>
      </w:r>
    </w:p>
    <w:p w14:paraId="537F29FB">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方正楷体简体" w:hAnsi="方正楷体简体" w:eastAsia="方正楷体简体" w:cs="方正楷体简体"/>
          <w:sz w:val="32"/>
          <w:szCs w:val="32"/>
          <w:highlight w:val="none"/>
          <w:lang w:val="en-US" w:eastAsia="zh-CN"/>
        </w:rPr>
      </w:pPr>
      <w:bookmarkStart w:id="109" w:name="_Toc9494"/>
      <w:r>
        <w:rPr>
          <w:rFonts w:hint="eastAsia" w:ascii="方正楷体简体" w:hAnsi="方正楷体简体" w:eastAsia="方正楷体简体" w:cs="方正楷体简体"/>
          <w:sz w:val="32"/>
          <w:szCs w:val="32"/>
          <w:highlight w:val="none"/>
          <w:lang w:val="en-US" w:eastAsia="zh-CN"/>
        </w:rPr>
        <w:t>（七）满意度</w:t>
      </w:r>
      <w:bookmarkEnd w:id="109"/>
    </w:p>
    <w:p w14:paraId="5A0AB46C">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指标“满意度”下设一个三级指标：居民满意度</w:t>
      </w:r>
    </w:p>
    <w:p w14:paraId="6BD9BAF1">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评价组针对古树周边居民和搬迁户就项目实施执行情况和实施后满意度开展问卷调查，收回</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lang w:val="en-US" w:eastAsia="zh-CN"/>
        </w:rPr>
        <w:t>份调查问卷，总体满意度介于</w:t>
      </w:r>
      <w:r>
        <w:rPr>
          <w:rFonts w:hint="default" w:ascii="Times New Roman" w:hAnsi="Times New Roman" w:eastAsia="方正仿宋简体" w:cs="Times New Roman"/>
          <w:sz w:val="32"/>
          <w:szCs w:val="32"/>
          <w:highlight w:val="none"/>
          <w:lang w:val="en-US" w:eastAsia="zh-CN"/>
        </w:rPr>
        <w:t>80%</w:t>
      </w:r>
      <w:r>
        <w:rPr>
          <w:rFonts w:hint="eastAsia" w:ascii="方正仿宋简体" w:hAnsi="方正仿宋简体" w:eastAsia="方正仿宋简体" w:cs="方正仿宋简体"/>
          <w:sz w:val="32"/>
          <w:szCs w:val="32"/>
          <w:highlight w:val="none"/>
          <w:lang w:val="en-US" w:eastAsia="zh-CN"/>
        </w:rPr>
        <w:t>至</w:t>
      </w:r>
      <w:r>
        <w:rPr>
          <w:rFonts w:hint="default" w:ascii="Times New Roman" w:hAnsi="Times New Roman" w:eastAsia="方正仿宋简体" w:cs="Times New Roman"/>
          <w:sz w:val="32"/>
          <w:szCs w:val="32"/>
          <w:highlight w:val="none"/>
          <w:lang w:val="en-US" w:eastAsia="zh-CN"/>
        </w:rPr>
        <w:t>90%</w:t>
      </w:r>
      <w:r>
        <w:rPr>
          <w:rFonts w:hint="eastAsia" w:ascii="方正仿宋简体" w:hAnsi="方正仿宋简体" w:eastAsia="方正仿宋简体" w:cs="方正仿宋简体"/>
          <w:sz w:val="32"/>
          <w:szCs w:val="32"/>
          <w:highlight w:val="none"/>
          <w:lang w:val="en-US" w:eastAsia="zh-CN"/>
        </w:rPr>
        <w:t>，满意度较低的主要原因系仅完成了古树下住户拆除搬迁，改善了古银杏的外部生存环境，未按实施方案的规划完成古树抢救与复壮、古树公园建设，呈现效果不及预期。期望尽快组织实施古树抢救与复壮、古树公园建设项目，切实改善古银杏脏乱差的生存环境，以古树保护为契机，在古镇实施以保护为重点的基础设施建设，充分发挥古银杏的科研价值和经济效益价值，促进生态效益、社会效益、经济效益的完美结合，酌情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79963B0E">
      <w:pPr>
        <w:pStyle w:val="2"/>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8</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4BF3F93">
      <w:pPr>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方正黑体简体" w:hAnsi="方正黑体简体" w:eastAsia="方正黑体简体" w:cs="方正黑体简体"/>
          <w:sz w:val="32"/>
          <w:szCs w:val="32"/>
          <w:highlight w:val="none"/>
        </w:rPr>
      </w:pPr>
      <w:bookmarkStart w:id="110" w:name="_Toc22235"/>
      <w:r>
        <w:rPr>
          <w:rFonts w:hint="eastAsia" w:ascii="方正黑体简体" w:hAnsi="方正黑体简体" w:eastAsia="方正黑体简体" w:cs="方正黑体简体"/>
          <w:sz w:val="32"/>
          <w:szCs w:val="32"/>
          <w:highlight w:val="none"/>
          <w:lang w:val="en-US" w:eastAsia="zh-CN"/>
        </w:rPr>
        <w:t>六</w:t>
      </w:r>
      <w:r>
        <w:rPr>
          <w:rFonts w:hint="eastAsia" w:ascii="方正黑体简体" w:hAnsi="方正黑体简体" w:eastAsia="方正黑体简体" w:cs="方正黑体简体"/>
          <w:sz w:val="32"/>
          <w:szCs w:val="32"/>
          <w:highlight w:val="none"/>
        </w:rPr>
        <w:t>、存在的主要问题</w:t>
      </w:r>
      <w:bookmarkEnd w:id="69"/>
      <w:bookmarkEnd w:id="70"/>
      <w:bookmarkEnd w:id="71"/>
      <w:bookmarkEnd w:id="72"/>
      <w:bookmarkEnd w:id="110"/>
    </w:p>
    <w:p w14:paraId="6A5A72A3">
      <w:pPr>
        <w:pStyle w:val="3"/>
        <w:pageBreakBefore w:val="0"/>
        <w:widowControl w:val="0"/>
        <w:numPr>
          <w:ilvl w:val="1"/>
          <w:numId w:val="0"/>
        </w:numPr>
        <w:kinsoku/>
        <w:wordWrap/>
        <w:overflowPunct/>
        <w:topLinePunct w:val="0"/>
        <w:autoSpaceDE/>
        <w:autoSpaceDN/>
        <w:bidi w:val="0"/>
        <w:adjustRightInd/>
        <w:snapToGrid/>
        <w:spacing w:before="0" w:after="0" w:line="600" w:lineRule="exact"/>
        <w:ind w:firstLine="640" w:firstLineChars="200"/>
        <w:textAlignment w:val="auto"/>
        <w:rPr>
          <w:rFonts w:hint="eastAsia" w:ascii="方正楷体简体" w:hAnsi="方正楷体简体" w:eastAsia="方正楷体简体" w:cs="方正楷体简体"/>
          <w:b w:val="0"/>
          <w:bCs w:val="0"/>
          <w:color w:val="000000"/>
          <w:kern w:val="0"/>
          <w:sz w:val="32"/>
          <w:szCs w:val="32"/>
          <w:highlight w:val="none"/>
          <w:shd w:val="clear" w:color="auto" w:fill="FFFFFF"/>
          <w:lang w:val="en-US" w:eastAsia="zh-CN"/>
        </w:rPr>
      </w:pPr>
      <w:bookmarkStart w:id="111" w:name="_Toc3283"/>
      <w:bookmarkStart w:id="112" w:name="_Toc828329307"/>
      <w:bookmarkStart w:id="113" w:name="_Toc1038715558"/>
      <w:bookmarkStart w:id="114" w:name="_Toc1321079616"/>
      <w:bookmarkStart w:id="115" w:name="_Toc2940"/>
      <w:r>
        <w:rPr>
          <w:rFonts w:hint="eastAsia" w:ascii="方正楷体简体" w:hAnsi="方正楷体简体" w:eastAsia="方正楷体简体" w:cs="方正楷体简体"/>
          <w:b w:val="0"/>
          <w:bCs w:val="0"/>
          <w:color w:val="000000"/>
          <w:kern w:val="0"/>
          <w:sz w:val="32"/>
          <w:szCs w:val="32"/>
          <w:highlight w:val="none"/>
          <w:shd w:val="clear" w:color="auto" w:fill="FFFFFF"/>
        </w:rPr>
        <w:t>（一）</w:t>
      </w:r>
      <w:bookmarkEnd w:id="111"/>
      <w:bookmarkEnd w:id="112"/>
      <w:bookmarkEnd w:id="113"/>
      <w:bookmarkEnd w:id="114"/>
      <w:r>
        <w:rPr>
          <w:rFonts w:hint="eastAsia" w:ascii="方正楷体简体" w:hAnsi="方正楷体简体" w:eastAsia="方正楷体简体" w:cs="方正楷体简体"/>
          <w:b w:val="0"/>
          <w:bCs w:val="0"/>
          <w:color w:val="000000"/>
          <w:kern w:val="0"/>
          <w:sz w:val="32"/>
          <w:szCs w:val="32"/>
          <w:highlight w:val="none"/>
          <w:shd w:val="clear" w:color="auto" w:fill="FFFFFF"/>
          <w:lang w:val="en-US" w:eastAsia="zh-CN"/>
        </w:rPr>
        <w:t>项目立项程序不严密</w:t>
      </w:r>
      <w:bookmarkEnd w:id="115"/>
    </w:p>
    <w:p w14:paraId="6B6C36BF">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 xml:space="preserve"> 评价组检查发现，冷碛镇古银杏保护与抢修复壮项目实施程序较完善，存在项目实施程序不严密的情况，如：（</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）财政资金下达时间早于事前绩效评估时间。泸定县财政局</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月</w:t>
      </w:r>
      <w:r>
        <w:rPr>
          <w:rFonts w:hint="default" w:ascii="Times New Roman" w:hAnsi="Times New Roman" w:eastAsia="方正仿宋简体" w:cs="Times New Roman"/>
          <w:sz w:val="32"/>
          <w:szCs w:val="32"/>
          <w:highlight w:val="none"/>
          <w:lang w:val="en-US" w:eastAsia="zh-CN"/>
        </w:rPr>
        <w:t>14</w:t>
      </w:r>
      <w:r>
        <w:rPr>
          <w:rFonts w:hint="eastAsia" w:ascii="方正仿宋简体" w:hAnsi="方正仿宋简体" w:eastAsia="方正仿宋简体" w:cs="方正仿宋简体"/>
          <w:sz w:val="32"/>
          <w:szCs w:val="32"/>
          <w:highlight w:val="none"/>
          <w:lang w:val="en-US" w:eastAsia="zh-CN"/>
        </w:rPr>
        <w:t>日向冷碛镇人民政府下达泸定县冷碛镇古银杏保护及抢救复壮项目征拆资金</w:t>
      </w:r>
      <w:r>
        <w:rPr>
          <w:rFonts w:hint="default" w:ascii="Times New Roman" w:hAnsi="Times New Roman" w:eastAsia="方正仿宋简体" w:cs="Times New Roman"/>
          <w:sz w:val="32"/>
          <w:szCs w:val="32"/>
          <w:highlight w:val="none"/>
          <w:lang w:val="en-US" w:eastAsia="zh-CN"/>
        </w:rPr>
        <w:t>380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万元。项目单位泸定县冷碛镇人民政府</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月</w:t>
      </w:r>
      <w:r>
        <w:rPr>
          <w:rFonts w:hint="default" w:ascii="Times New Roman" w:hAnsi="Times New Roman" w:eastAsia="方正仿宋简体" w:cs="Times New Roman"/>
          <w:sz w:val="32"/>
          <w:szCs w:val="32"/>
          <w:highlight w:val="none"/>
          <w:lang w:val="en-US" w:eastAsia="zh-CN"/>
        </w:rPr>
        <w:t>15</w:t>
      </w:r>
      <w:r>
        <w:rPr>
          <w:rFonts w:hint="eastAsia" w:ascii="方正仿宋简体" w:hAnsi="方正仿宋简体" w:eastAsia="方正仿宋简体" w:cs="方正仿宋简体"/>
          <w:sz w:val="32"/>
          <w:szCs w:val="32"/>
          <w:highlight w:val="none"/>
          <w:lang w:val="en-US" w:eastAsia="zh-CN"/>
        </w:rPr>
        <w:t>日编制《</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年度泸定县县级预算事前绩效评估报告》，申请实施泸定县冷碛镇古银杏保护及抢救复壮项目。（</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）项目实际开展时间早于事前绩效评估时间。</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月</w:t>
      </w:r>
      <w:r>
        <w:rPr>
          <w:rFonts w:hint="default" w:ascii="Times New Roman" w:hAnsi="Times New Roman" w:eastAsia="方正仿宋简体" w:cs="Times New Roman"/>
          <w:sz w:val="32"/>
          <w:szCs w:val="32"/>
          <w:highlight w:val="none"/>
          <w:lang w:val="en-US" w:eastAsia="zh-CN"/>
        </w:rPr>
        <w:t>13</w:t>
      </w:r>
      <w:r>
        <w:rPr>
          <w:rFonts w:hint="eastAsia" w:ascii="方正仿宋简体" w:hAnsi="方正仿宋简体" w:eastAsia="方正仿宋简体" w:cs="方正仿宋简体"/>
          <w:sz w:val="32"/>
          <w:szCs w:val="32"/>
          <w:highlight w:val="none"/>
          <w:lang w:val="en-US" w:eastAsia="zh-CN"/>
        </w:rPr>
        <w:t>日与余有平签订房屋征收补偿协议，</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月</w:t>
      </w:r>
      <w:r>
        <w:rPr>
          <w:rFonts w:hint="default" w:ascii="Times New Roman" w:hAnsi="Times New Roman" w:eastAsia="方正仿宋简体" w:cs="Times New Roman"/>
          <w:sz w:val="32"/>
          <w:szCs w:val="32"/>
          <w:highlight w:val="none"/>
          <w:lang w:val="en-US" w:eastAsia="zh-CN"/>
        </w:rPr>
        <w:t>14</w:t>
      </w:r>
      <w:r>
        <w:rPr>
          <w:rFonts w:hint="eastAsia" w:ascii="方正仿宋简体" w:hAnsi="方正仿宋简体" w:eastAsia="方正仿宋简体" w:cs="方正仿宋简体"/>
          <w:sz w:val="32"/>
          <w:szCs w:val="32"/>
          <w:highlight w:val="none"/>
          <w:lang w:val="en-US" w:eastAsia="zh-CN"/>
        </w:rPr>
        <w:t>日分别与邹桂珍、邹国琼签订房屋征收补偿协议，编制事前评估报告时间早于部分房屋征收补偿协议签订时间。</w:t>
      </w:r>
    </w:p>
    <w:p w14:paraId="481BDCDB">
      <w:pPr>
        <w:pStyle w:val="3"/>
        <w:pageBreakBefore w:val="0"/>
        <w:numPr>
          <w:ilvl w:val="0"/>
          <w:numId w:val="3"/>
        </w:numPr>
        <w:kinsoku/>
        <w:wordWrap/>
        <w:overflowPunct/>
        <w:topLinePunct w:val="0"/>
        <w:autoSpaceDE/>
        <w:autoSpaceDN/>
        <w:bidi w:val="0"/>
        <w:spacing w:before="0" w:after="0" w:line="600" w:lineRule="exact"/>
        <w:ind w:firstLine="640" w:firstLineChars="200"/>
        <w:rPr>
          <w:rFonts w:hint="eastAsia" w:ascii="方正楷体简体" w:hAnsi="方正楷体简体" w:eastAsia="方正楷体简体" w:cs="方正楷体简体"/>
          <w:b w:val="0"/>
          <w:bCs w:val="0"/>
          <w:color w:val="000000"/>
          <w:kern w:val="0"/>
          <w:sz w:val="32"/>
          <w:szCs w:val="32"/>
          <w:highlight w:val="none"/>
          <w:shd w:val="clear" w:color="auto" w:fill="FFFFFF"/>
          <w:lang w:val="en-US" w:eastAsia="zh-CN"/>
        </w:rPr>
      </w:pPr>
      <w:bookmarkStart w:id="116" w:name="_Toc27772"/>
      <w:r>
        <w:rPr>
          <w:rFonts w:hint="eastAsia" w:ascii="方正楷体简体" w:hAnsi="方正楷体简体" w:eastAsia="方正楷体简体" w:cs="方正楷体简体"/>
          <w:b w:val="0"/>
          <w:bCs w:val="0"/>
          <w:color w:val="000000"/>
          <w:kern w:val="0"/>
          <w:sz w:val="32"/>
          <w:szCs w:val="32"/>
          <w:highlight w:val="none"/>
          <w:shd w:val="clear" w:color="auto" w:fill="FFFFFF"/>
          <w:lang w:val="en-US" w:eastAsia="zh-CN"/>
        </w:rPr>
        <w:t>项目规划不科学，整体效益不佳</w:t>
      </w:r>
      <w:bookmarkEnd w:id="116"/>
    </w:p>
    <w:p w14:paraId="64471CED">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 xml:space="preserve">     泸定县冷碛镇人民政府未按照事前编制的实施方案和项目建议书开展项目立项和执行，根据拨付资金实施了部分内容，未能充分实现古银杏的生态效益、社会效益和经济效益。</w:t>
      </w:r>
    </w:p>
    <w:p w14:paraId="7A9D8D46">
      <w:pPr>
        <w:pStyle w:val="3"/>
        <w:pageBreakBefore w:val="0"/>
        <w:numPr>
          <w:ilvl w:val="0"/>
          <w:numId w:val="3"/>
        </w:numPr>
        <w:kinsoku/>
        <w:wordWrap/>
        <w:overflowPunct/>
        <w:topLinePunct w:val="0"/>
        <w:autoSpaceDE/>
        <w:autoSpaceDN/>
        <w:bidi w:val="0"/>
        <w:spacing w:before="0" w:after="0" w:line="600" w:lineRule="exact"/>
        <w:ind w:firstLine="640" w:firstLineChars="200"/>
        <w:rPr>
          <w:rFonts w:hint="eastAsia" w:ascii="方正楷体简体" w:hAnsi="方正楷体简体" w:eastAsia="方正楷体简体" w:cs="方正楷体简体"/>
          <w:b w:val="0"/>
          <w:bCs w:val="0"/>
          <w:color w:val="000000"/>
          <w:kern w:val="0"/>
          <w:sz w:val="32"/>
          <w:szCs w:val="32"/>
          <w:highlight w:val="none"/>
          <w:shd w:val="clear" w:color="auto" w:fill="FFFFFF"/>
          <w:lang w:val="en-US" w:eastAsia="zh-CN"/>
        </w:rPr>
      </w:pPr>
      <w:bookmarkStart w:id="117" w:name="_Toc30406"/>
      <w:r>
        <w:rPr>
          <w:rFonts w:hint="eastAsia" w:ascii="方正楷体简体" w:hAnsi="方正楷体简体" w:eastAsia="方正楷体简体" w:cs="方正楷体简体"/>
          <w:b w:val="0"/>
          <w:bCs w:val="0"/>
          <w:color w:val="000000"/>
          <w:kern w:val="0"/>
          <w:sz w:val="32"/>
          <w:szCs w:val="32"/>
          <w:highlight w:val="none"/>
          <w:shd w:val="clear" w:color="auto" w:fill="FFFFFF"/>
          <w:lang w:val="en-US" w:eastAsia="zh-CN"/>
        </w:rPr>
        <w:t>项目执行管理不到位</w:t>
      </w:r>
      <w:bookmarkEnd w:id="117"/>
    </w:p>
    <w:p w14:paraId="09888486">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 xml:space="preserve">     泸定县冷碛镇人民政府</w:t>
      </w:r>
      <w:r>
        <w:rPr>
          <w:rFonts w:hint="eastAsia" w:ascii="方正仿宋简体" w:hAnsi="方正仿宋简体" w:eastAsia="方正仿宋简体" w:cs="方正仿宋简体"/>
          <w:sz w:val="32"/>
          <w:szCs w:val="32"/>
          <w:highlight w:val="none"/>
          <w:lang w:eastAsia="zh-CN"/>
        </w:rPr>
        <w:t>实施</w:t>
      </w:r>
      <w:r>
        <w:rPr>
          <w:rFonts w:hint="eastAsia" w:ascii="方正仿宋简体" w:hAnsi="方正仿宋简体" w:eastAsia="方正仿宋简体" w:cs="方正仿宋简体"/>
          <w:sz w:val="32"/>
          <w:szCs w:val="32"/>
          <w:highlight w:val="none"/>
          <w:lang w:val="en-US" w:eastAsia="zh-CN"/>
        </w:rPr>
        <w:t>项目</w:t>
      </w:r>
      <w:r>
        <w:rPr>
          <w:rFonts w:hint="eastAsia" w:ascii="方正仿宋简体" w:hAnsi="方正仿宋简体" w:eastAsia="方正仿宋简体" w:cs="方正仿宋简体"/>
          <w:sz w:val="32"/>
          <w:szCs w:val="32"/>
          <w:highlight w:val="none"/>
          <w:lang w:eastAsia="zh-CN"/>
        </w:rPr>
        <w:t>过程存在不规范的情况，如：</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lang w:eastAsia="zh-CN"/>
        </w:rPr>
        <w:t>项目实施过程涉及的资产评估、劳务派遣和设备租赁合同未签订日期。</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.项目完成后未进行专项验收。</w:t>
      </w:r>
    </w:p>
    <w:p w14:paraId="19BBD5FC">
      <w:pPr>
        <w:pStyle w:val="3"/>
        <w:pageBreakBefore w:val="0"/>
        <w:numPr>
          <w:ilvl w:val="0"/>
          <w:numId w:val="3"/>
        </w:numPr>
        <w:kinsoku/>
        <w:wordWrap/>
        <w:overflowPunct/>
        <w:topLinePunct w:val="0"/>
        <w:autoSpaceDE/>
        <w:autoSpaceDN/>
        <w:bidi w:val="0"/>
        <w:spacing w:before="0" w:after="0" w:line="600" w:lineRule="exact"/>
        <w:ind w:firstLine="640" w:firstLineChars="200"/>
        <w:rPr>
          <w:rFonts w:hint="eastAsia" w:ascii="方正楷体简体" w:hAnsi="方正楷体简体" w:eastAsia="方正楷体简体" w:cs="方正楷体简体"/>
          <w:b w:val="0"/>
          <w:bCs w:val="0"/>
          <w:color w:val="000000"/>
          <w:kern w:val="0"/>
          <w:sz w:val="32"/>
          <w:szCs w:val="32"/>
          <w:highlight w:val="none"/>
          <w:shd w:val="clear" w:color="auto" w:fill="FFFFFF"/>
          <w:lang w:val="en-US" w:eastAsia="zh-CN"/>
        </w:rPr>
      </w:pPr>
      <w:bookmarkStart w:id="118" w:name="_Toc4664"/>
      <w:r>
        <w:rPr>
          <w:rFonts w:hint="eastAsia" w:ascii="方正楷体简体" w:hAnsi="方正楷体简体" w:eastAsia="方正楷体简体" w:cs="方正楷体简体"/>
          <w:b w:val="0"/>
          <w:bCs w:val="0"/>
          <w:color w:val="000000"/>
          <w:kern w:val="0"/>
          <w:sz w:val="32"/>
          <w:szCs w:val="32"/>
          <w:highlight w:val="none"/>
          <w:shd w:val="clear" w:color="auto" w:fill="FFFFFF"/>
          <w:lang w:val="en-US" w:eastAsia="zh-CN"/>
        </w:rPr>
        <w:t>自评质量欠佳，绩效管理有待加强</w:t>
      </w:r>
      <w:bookmarkEnd w:id="118"/>
    </w:p>
    <w:p w14:paraId="221C7CC2">
      <w:pPr>
        <w:pageBreakBefore w:val="0"/>
        <w:kinsoku/>
        <w:wordWrap/>
        <w:overflowPunct/>
        <w:topLinePunct w:val="0"/>
        <w:autoSpaceDE/>
        <w:autoSpaceDN/>
        <w:bidi w:val="0"/>
        <w:spacing w:line="600" w:lineRule="exact"/>
        <w:ind w:firstLine="564"/>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泸定县冷碛镇人民政府向评价组提交了泸定县冷碛镇古银杏保护及抢救复壮项目绩效自评报告，自评报告披露了基本情况、总体进展和资金收支情况等，自评报告内容不完整，未披露项目资金申报及批复情况、项目绩效目标、资金使用、项目组织实施情况、目标完成情况、项目效益情况和实施项目的问题及建议</w:t>
      </w:r>
      <w:r>
        <w:rPr>
          <w:rFonts w:hint="eastAsia" w:ascii="方正仿宋简体" w:hAnsi="方正仿宋简体" w:eastAsia="方正仿宋简体" w:cs="方正仿宋简体"/>
          <w:sz w:val="32"/>
          <w:szCs w:val="32"/>
          <w:highlight w:val="none"/>
        </w:rPr>
        <w:t>。</w:t>
      </w:r>
      <w:bookmarkStart w:id="119" w:name="_Toc2061369965"/>
      <w:bookmarkStart w:id="120" w:name="_Toc1665834229"/>
      <w:bookmarkStart w:id="121" w:name="_Toc209175539"/>
    </w:p>
    <w:p w14:paraId="458E61E4">
      <w:pPr>
        <w:pageBreakBefore w:val="0"/>
        <w:kinsoku/>
        <w:wordWrap/>
        <w:overflowPunct/>
        <w:topLinePunct w:val="0"/>
        <w:autoSpaceDE/>
        <w:autoSpaceDN/>
        <w:bidi w:val="0"/>
        <w:spacing w:line="600" w:lineRule="exact"/>
        <w:ind w:firstLine="640" w:firstLineChars="200"/>
        <w:outlineLvl w:val="0"/>
        <w:rPr>
          <w:rFonts w:hint="eastAsia" w:ascii="方正黑体简体" w:hAnsi="方正黑体简体" w:eastAsia="方正黑体简体" w:cs="方正黑体简体"/>
          <w:sz w:val="32"/>
          <w:szCs w:val="32"/>
          <w:highlight w:val="none"/>
        </w:rPr>
      </w:pPr>
      <w:bookmarkStart w:id="122" w:name="_Toc2658"/>
      <w:bookmarkStart w:id="123" w:name="_Toc7211"/>
      <w:r>
        <w:rPr>
          <w:rFonts w:hint="eastAsia" w:ascii="方正黑体简体" w:hAnsi="方正黑体简体" w:eastAsia="方正黑体简体" w:cs="方正黑体简体"/>
          <w:sz w:val="32"/>
          <w:szCs w:val="32"/>
          <w:highlight w:val="none"/>
          <w:lang w:val="en-US" w:eastAsia="zh-CN"/>
        </w:rPr>
        <w:t>七</w:t>
      </w:r>
      <w:r>
        <w:rPr>
          <w:rFonts w:hint="eastAsia" w:ascii="方正黑体简体" w:hAnsi="方正黑体简体" w:eastAsia="方正黑体简体" w:cs="方正黑体简体"/>
          <w:sz w:val="32"/>
          <w:szCs w:val="32"/>
          <w:highlight w:val="none"/>
        </w:rPr>
        <w:t>、相关措施建议</w:t>
      </w:r>
      <w:bookmarkEnd w:id="119"/>
      <w:bookmarkEnd w:id="120"/>
      <w:bookmarkEnd w:id="121"/>
      <w:bookmarkEnd w:id="122"/>
      <w:bookmarkEnd w:id="123"/>
    </w:p>
    <w:p w14:paraId="094654C1">
      <w:pPr>
        <w:pageBreakBefore w:val="0"/>
        <w:kinsoku/>
        <w:wordWrap/>
        <w:overflowPunct/>
        <w:topLinePunct w:val="0"/>
        <w:autoSpaceDE/>
        <w:autoSpaceDN/>
        <w:bidi w:val="0"/>
        <w:spacing w:line="600" w:lineRule="exact"/>
        <w:ind w:firstLine="640" w:firstLineChars="200"/>
        <w:outlineLvl w:val="0"/>
        <w:rPr>
          <w:rFonts w:hint="eastAsia" w:ascii="方正楷体简体" w:hAnsi="方正楷体简体" w:eastAsia="方正楷体简体" w:cs="方正楷体简体"/>
          <w:sz w:val="32"/>
          <w:szCs w:val="32"/>
          <w:highlight w:val="none"/>
          <w:lang w:val="en-US" w:eastAsia="zh-CN"/>
        </w:rPr>
      </w:pPr>
      <w:bookmarkStart w:id="124" w:name="_Toc5649"/>
      <w:bookmarkStart w:id="125" w:name="_Toc885755508"/>
      <w:bookmarkStart w:id="126" w:name="_Toc24934"/>
      <w:bookmarkStart w:id="127" w:name="_Toc2099841636"/>
      <w:bookmarkStart w:id="128" w:name="_Toc1343332924"/>
      <w:r>
        <w:rPr>
          <w:rFonts w:hint="eastAsia" w:ascii="方正楷体简体" w:hAnsi="方正楷体简体" w:eastAsia="方正楷体简体" w:cs="方正楷体简体"/>
          <w:sz w:val="32"/>
          <w:szCs w:val="32"/>
          <w:highlight w:val="none"/>
          <w:lang w:val="en-US" w:eastAsia="zh-CN"/>
        </w:rPr>
        <w:t>（一）针对“项目立项程序不严密，项目规划不科学、整体效益不佳”的建议</w:t>
      </w:r>
      <w:bookmarkEnd w:id="124"/>
    </w:p>
    <w:p w14:paraId="7D6FF3F5">
      <w:pPr>
        <w:pStyle w:val="2"/>
        <w:pageBreakBefore w:val="0"/>
        <w:kinsoku/>
        <w:wordWrap/>
        <w:overflowPunct/>
        <w:topLinePunct w:val="0"/>
        <w:autoSpaceDE/>
        <w:autoSpaceDN/>
        <w:bidi w:val="0"/>
        <w:spacing w:after="0" w:line="600" w:lineRule="exact"/>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 xml:space="preserve">    建议：</w:t>
      </w:r>
      <w:r>
        <w:rPr>
          <w:rFonts w:hint="eastAsia" w:ascii="方正仿宋简体" w:hAnsi="方正仿宋简体" w:eastAsia="方正仿宋简体" w:cs="方正仿宋简体"/>
          <w:sz w:val="32"/>
          <w:szCs w:val="32"/>
          <w:highlight w:val="none"/>
          <w:lang w:eastAsia="zh-CN"/>
        </w:rPr>
        <w:t>泸定县冷碛镇人民政府</w:t>
      </w:r>
      <w:r>
        <w:rPr>
          <w:rFonts w:hint="eastAsia" w:ascii="方正仿宋简体" w:hAnsi="方正仿宋简体" w:eastAsia="方正仿宋简体" w:cs="方正仿宋简体"/>
          <w:sz w:val="32"/>
          <w:szCs w:val="32"/>
          <w:highlight w:val="none"/>
          <w:lang w:val="en-US" w:eastAsia="zh-CN"/>
        </w:rPr>
        <w:t>今后严格按照项目管理办法的规定开展事前绩效评估或可行性研究论证，充分考虑跨部门、跨期间实施项目的连接性，合理制定年度绩效目标并组织实施，充分发挥实施项目的生态效益、社会效益和经济效益</w:t>
      </w:r>
      <w:r>
        <w:rPr>
          <w:rFonts w:hint="eastAsia" w:ascii="方正仿宋简体" w:hAnsi="方正仿宋简体" w:eastAsia="方正仿宋简体" w:cs="方正仿宋简体"/>
          <w:sz w:val="32"/>
          <w:szCs w:val="32"/>
          <w:highlight w:val="none"/>
        </w:rPr>
        <w:t>。</w:t>
      </w:r>
    </w:p>
    <w:p w14:paraId="3B41DC02">
      <w:pPr>
        <w:pageBreakBefore w:val="0"/>
        <w:kinsoku/>
        <w:wordWrap/>
        <w:overflowPunct/>
        <w:topLinePunct w:val="0"/>
        <w:autoSpaceDE/>
        <w:autoSpaceDN/>
        <w:bidi w:val="0"/>
        <w:spacing w:line="600" w:lineRule="exact"/>
        <w:ind w:firstLine="640" w:firstLineChars="200"/>
        <w:outlineLvl w:val="0"/>
        <w:rPr>
          <w:rFonts w:hint="eastAsia" w:ascii="方正楷体简体" w:hAnsi="方正楷体简体" w:eastAsia="方正楷体简体" w:cs="方正楷体简体"/>
          <w:sz w:val="32"/>
          <w:szCs w:val="32"/>
          <w:highlight w:val="none"/>
          <w:lang w:val="en-US" w:eastAsia="zh-CN"/>
        </w:rPr>
      </w:pPr>
      <w:bookmarkStart w:id="129" w:name="_Toc23406"/>
      <w:r>
        <w:rPr>
          <w:rFonts w:hint="eastAsia" w:ascii="方正楷体简体" w:hAnsi="方正楷体简体" w:eastAsia="方正楷体简体" w:cs="方正楷体简体"/>
          <w:sz w:val="32"/>
          <w:szCs w:val="32"/>
          <w:highlight w:val="none"/>
          <w:lang w:val="en-US" w:eastAsia="zh-CN"/>
        </w:rPr>
        <w:t>（二）针对</w:t>
      </w:r>
      <w:bookmarkEnd w:id="125"/>
      <w:r>
        <w:rPr>
          <w:rFonts w:hint="eastAsia" w:ascii="方正楷体简体" w:hAnsi="方正楷体简体" w:eastAsia="方正楷体简体" w:cs="方正楷体简体"/>
          <w:sz w:val="32"/>
          <w:szCs w:val="32"/>
          <w:highlight w:val="none"/>
          <w:lang w:val="en-US" w:eastAsia="zh-CN"/>
        </w:rPr>
        <w:t>“项目执行管理不到位”的建议</w:t>
      </w:r>
      <w:bookmarkEnd w:id="126"/>
      <w:bookmarkEnd w:id="127"/>
      <w:bookmarkEnd w:id="128"/>
      <w:bookmarkEnd w:id="129"/>
    </w:p>
    <w:p w14:paraId="3EAD278E">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lang w:val="en-US"/>
        </w:rPr>
      </w:pPr>
      <w:r>
        <w:rPr>
          <w:rFonts w:hint="eastAsia" w:ascii="方正仿宋简体" w:hAnsi="方正仿宋简体" w:eastAsia="方正仿宋简体" w:cs="方正仿宋简体"/>
          <w:sz w:val="32"/>
          <w:szCs w:val="32"/>
          <w:highlight w:val="none"/>
        </w:rPr>
        <w:t>建议：</w:t>
      </w:r>
      <w:r>
        <w:rPr>
          <w:rFonts w:hint="eastAsia" w:ascii="方正仿宋简体" w:hAnsi="方正仿宋简体" w:eastAsia="方正仿宋简体" w:cs="方正仿宋简体"/>
          <w:sz w:val="32"/>
          <w:szCs w:val="32"/>
          <w:highlight w:val="none"/>
          <w:lang w:eastAsia="zh-CN"/>
        </w:rPr>
        <w:t>泸定县冷碛镇人民政府</w:t>
      </w:r>
      <w:r>
        <w:rPr>
          <w:rFonts w:hint="eastAsia" w:ascii="方正仿宋简体" w:hAnsi="方正仿宋简体" w:eastAsia="方正仿宋简体" w:cs="方正仿宋简体"/>
          <w:sz w:val="32"/>
          <w:szCs w:val="32"/>
          <w:highlight w:val="none"/>
          <w:lang w:val="en-US" w:eastAsia="zh-CN"/>
        </w:rPr>
        <w:t>应加强项目执行过程监督、加强项目实施资料审核，提升项目实施过程和项目资料的规范性，补充对已完成的农户拆除搬迁项目进行验收。</w:t>
      </w:r>
    </w:p>
    <w:p w14:paraId="295583F1">
      <w:pPr>
        <w:pageBreakBefore w:val="0"/>
        <w:kinsoku/>
        <w:wordWrap/>
        <w:overflowPunct/>
        <w:topLinePunct w:val="0"/>
        <w:autoSpaceDE/>
        <w:autoSpaceDN/>
        <w:bidi w:val="0"/>
        <w:spacing w:line="600" w:lineRule="exact"/>
        <w:ind w:firstLine="640" w:firstLineChars="200"/>
        <w:outlineLvl w:val="0"/>
        <w:rPr>
          <w:rFonts w:hint="eastAsia" w:ascii="方正楷体简体" w:hAnsi="方正楷体简体" w:eastAsia="方正楷体简体" w:cs="方正楷体简体"/>
          <w:sz w:val="32"/>
          <w:szCs w:val="32"/>
          <w:highlight w:val="none"/>
          <w:lang w:val="en-US" w:eastAsia="zh-CN"/>
        </w:rPr>
      </w:pPr>
      <w:bookmarkStart w:id="130" w:name="_Toc17223"/>
      <w:bookmarkStart w:id="131" w:name="_Toc23585"/>
      <w:r>
        <w:rPr>
          <w:rFonts w:hint="eastAsia" w:ascii="方正楷体简体" w:hAnsi="方正楷体简体" w:eastAsia="方正楷体简体" w:cs="方正楷体简体"/>
          <w:sz w:val="32"/>
          <w:szCs w:val="32"/>
          <w:highlight w:val="none"/>
          <w:lang w:val="en-US" w:eastAsia="zh-CN"/>
        </w:rPr>
        <w:t>（三）针对“自评质量欠佳，绩效管理有待加强”的建议</w:t>
      </w:r>
      <w:bookmarkEnd w:id="130"/>
    </w:p>
    <w:p w14:paraId="0432F1E5">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建议：</w:t>
      </w:r>
      <w:r>
        <w:rPr>
          <w:rFonts w:hint="eastAsia" w:ascii="方正仿宋简体" w:hAnsi="方正仿宋简体" w:eastAsia="方正仿宋简体" w:cs="方正仿宋简体"/>
          <w:sz w:val="32"/>
          <w:szCs w:val="32"/>
          <w:highlight w:val="none"/>
          <w:lang w:eastAsia="zh-CN"/>
        </w:rPr>
        <w:t>泸定县冷碛镇人民政府</w:t>
      </w:r>
      <w:r>
        <w:rPr>
          <w:rFonts w:hint="eastAsia" w:ascii="方正仿宋简体" w:hAnsi="方正仿宋简体" w:eastAsia="方正仿宋简体" w:cs="方正仿宋简体"/>
          <w:sz w:val="32"/>
          <w:szCs w:val="32"/>
          <w:highlight w:val="none"/>
          <w:lang w:val="en-US" w:eastAsia="zh-CN"/>
        </w:rPr>
        <w:t>应加强绩效评价知识的学习，强化项目事前控制、事中控制和事后控制，按照文件要求对实施项目开展绩效自评。</w:t>
      </w:r>
    </w:p>
    <w:p w14:paraId="15E56210">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textAlignment w:val="auto"/>
        <w:rPr>
          <w:rFonts w:hint="eastAsia" w:ascii="方正仿宋简体" w:hAnsi="方正仿宋简体" w:eastAsia="方正仿宋简体" w:cs="方正仿宋简体"/>
          <w:color w:val="000000"/>
          <w:kern w:val="0"/>
          <w:sz w:val="32"/>
          <w:szCs w:val="32"/>
          <w:highlight w:val="none"/>
          <w:shd w:val="clear" w:color="auto" w:fill="FFFFFF"/>
          <w:lang w:val="en-US" w:eastAsia="zh-CN"/>
        </w:rPr>
      </w:pPr>
    </w:p>
    <w:p w14:paraId="335AAFE8">
      <w:pPr>
        <w:keepNext w:val="0"/>
        <w:keepLines w:val="0"/>
        <w:pageBreakBefore w:val="0"/>
        <w:widowControl/>
        <w:kinsoku/>
        <w:wordWrap/>
        <w:overflowPunct/>
        <w:topLinePunct w:val="0"/>
        <w:autoSpaceDE/>
        <w:autoSpaceDN/>
        <w:bidi w:val="0"/>
        <w:adjustRightInd w:val="0"/>
        <w:snapToGrid w:val="0"/>
        <w:spacing w:line="600" w:lineRule="exact"/>
        <w:ind w:left="1598" w:leftChars="228" w:hanging="960" w:hangingChars="300"/>
        <w:jc w:val="left"/>
        <w:textAlignment w:val="auto"/>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color w:val="000000"/>
          <w:kern w:val="0"/>
          <w:sz w:val="32"/>
          <w:szCs w:val="32"/>
          <w:highlight w:val="none"/>
          <w:shd w:val="clear" w:color="auto" w:fill="FFFFFF"/>
        </w:rPr>
        <w:t>附件</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eastAsia="zh-CN"/>
        </w:rPr>
        <w:t>冷碛镇古银杏保护与抢修复壮项目</w:t>
      </w:r>
      <w:r>
        <w:rPr>
          <w:rFonts w:hint="eastAsia" w:ascii="方正仿宋简体" w:hAnsi="方正仿宋简体" w:eastAsia="方正仿宋简体" w:cs="方正仿宋简体"/>
          <w:sz w:val="32"/>
          <w:szCs w:val="32"/>
          <w:highlight w:val="none"/>
          <w:lang w:val="en-US" w:eastAsia="zh-CN"/>
        </w:rPr>
        <w:t>支出</w:t>
      </w:r>
      <w:r>
        <w:rPr>
          <w:rFonts w:hint="eastAsia" w:ascii="方正仿宋简体" w:hAnsi="方正仿宋简体" w:eastAsia="方正仿宋简体" w:cs="方正仿宋简体"/>
          <w:sz w:val="32"/>
          <w:szCs w:val="32"/>
          <w:highlight w:val="none"/>
        </w:rPr>
        <w:t>绩效评价指</w:t>
      </w:r>
      <w:r>
        <w:rPr>
          <w:rFonts w:hint="eastAsia" w:ascii="方正仿宋简体" w:hAnsi="方正仿宋简体" w:eastAsia="方正仿宋简体" w:cs="方正仿宋简体"/>
          <w:sz w:val="32"/>
          <w:szCs w:val="32"/>
          <w:highlight w:val="none"/>
          <w:lang w:val="en-US" w:eastAsia="zh-CN"/>
        </w:rPr>
        <w:t xml:space="preserve"> </w:t>
      </w:r>
      <w:r>
        <w:rPr>
          <w:rFonts w:hint="eastAsia" w:ascii="方正仿宋简体" w:hAnsi="方正仿宋简体" w:eastAsia="方正仿宋简体" w:cs="方正仿宋简体"/>
          <w:sz w:val="32"/>
          <w:szCs w:val="32"/>
          <w:highlight w:val="none"/>
        </w:rPr>
        <w:t>体系表</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评分表</w:t>
      </w:r>
      <w:r>
        <w:rPr>
          <w:rFonts w:hint="eastAsia" w:ascii="方正仿宋简体" w:hAnsi="方正仿宋简体" w:eastAsia="方正仿宋简体" w:cs="方正仿宋简体"/>
          <w:sz w:val="32"/>
          <w:szCs w:val="32"/>
          <w:highlight w:val="none"/>
          <w:lang w:eastAsia="zh-CN"/>
        </w:rPr>
        <w:t>）</w:t>
      </w:r>
    </w:p>
    <w:p w14:paraId="56277E0D">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textAlignment w:val="auto"/>
        <w:rPr>
          <w:rFonts w:hint="eastAsia" w:ascii="方正仿宋简体" w:hAnsi="方正仿宋简体" w:eastAsia="方正仿宋简体" w:cs="方正仿宋简体"/>
          <w:sz w:val="32"/>
          <w:szCs w:val="32"/>
          <w:highlight w:val="none"/>
          <w:lang w:eastAsia="zh-CN"/>
        </w:rPr>
      </w:pPr>
    </w:p>
    <w:p w14:paraId="2D79011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highlight w:val="none"/>
          <w:lang w:val="en-US" w:eastAsia="zh-CN"/>
        </w:rPr>
      </w:pPr>
      <w:bookmarkStart w:id="132" w:name="_GoBack"/>
      <w:bookmarkEnd w:id="132"/>
      <w:r>
        <w:rPr>
          <w:rFonts w:hint="eastAsia" w:ascii="方正仿宋简体" w:hAnsi="方正仿宋简体" w:eastAsia="方正仿宋简体" w:cs="方正仿宋简体"/>
          <w:b w:val="0"/>
          <w:bCs w:val="0"/>
          <w:sz w:val="32"/>
          <w:szCs w:val="32"/>
          <w:highlight w:val="none"/>
          <w:lang w:eastAsia="zh-CN"/>
        </w:rPr>
        <w:t>　　　　</w:t>
      </w:r>
    </w:p>
    <w:p w14:paraId="7E0A61C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highlight w:val="none"/>
          <w:lang w:eastAsia="zh-CN"/>
        </w:rPr>
      </w:pPr>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p w14:paraId="17EE6A57">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textAlignment w:val="auto"/>
        <w:rPr>
          <w:rFonts w:hint="eastAsia" w:ascii="方正仿宋简体" w:hAnsi="方正仿宋简体" w:eastAsia="方正仿宋简体" w:cs="方正仿宋简体"/>
          <w:color w:val="000000"/>
          <w:kern w:val="0"/>
          <w:sz w:val="32"/>
          <w:szCs w:val="32"/>
          <w:highlight w:val="none"/>
          <w:shd w:val="clear" w:color="auto" w:fill="FFFFFF"/>
          <w:lang w:val="en-US" w:eastAsia="zh-CN"/>
        </w:rPr>
      </w:pPr>
    </w:p>
    <w:p w14:paraId="3EA50B4B">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textAlignment w:val="auto"/>
        <w:rPr>
          <w:rFonts w:hint="eastAsia" w:ascii="方正仿宋简体" w:hAnsi="方正仿宋简体" w:eastAsia="方正仿宋简体" w:cs="方正仿宋简体"/>
          <w:color w:val="000000"/>
          <w:kern w:val="0"/>
          <w:sz w:val="32"/>
          <w:szCs w:val="32"/>
          <w:highlight w:val="none"/>
          <w:shd w:val="clear" w:color="auto" w:fill="FFFFFF"/>
          <w:lang w:val="en-US" w:eastAsia="zh-CN"/>
        </w:rPr>
      </w:pPr>
    </w:p>
    <w:p w14:paraId="3BC748B2">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textAlignment w:val="auto"/>
        <w:rPr>
          <w:rFonts w:hint="eastAsia" w:ascii="方正仿宋简体" w:hAnsi="方正仿宋简体" w:eastAsia="方正仿宋简体" w:cs="方正仿宋简体"/>
          <w:color w:val="000000"/>
          <w:kern w:val="0"/>
          <w:sz w:val="32"/>
          <w:szCs w:val="32"/>
          <w:highlight w:val="none"/>
          <w:shd w:val="clear" w:color="auto" w:fill="FFFFFF"/>
          <w:lang w:val="en-US" w:eastAsia="zh-CN"/>
        </w:rPr>
      </w:pPr>
    </w:p>
    <w:bookmarkEnd w:id="131"/>
    <w:p w14:paraId="144745C1">
      <w:pPr>
        <w:pageBreakBefore w:val="0"/>
        <w:kinsoku/>
        <w:wordWrap/>
        <w:overflowPunct/>
        <w:topLinePunct w:val="0"/>
        <w:autoSpaceDE/>
        <w:autoSpaceDN/>
        <w:bidi w:val="0"/>
        <w:spacing w:line="600" w:lineRule="exact"/>
        <w:rPr>
          <w:rFonts w:hint="eastAsia" w:ascii="方正仿宋简体" w:hAnsi="方正仿宋简体" w:eastAsia="方正仿宋简体" w:cs="方正仿宋简体"/>
          <w:color w:val="000000"/>
          <w:sz w:val="32"/>
          <w:szCs w:val="32"/>
          <w:highlight w:val="none"/>
        </w:rPr>
      </w:pPr>
    </w:p>
    <w:sectPr>
      <w:headerReference r:id="rId3" w:type="default"/>
      <w:footerReference r:id="rId4" w:type="default"/>
      <w:footerReference r:id="rId5" w:type="even"/>
      <w:pgSz w:w="11906" w:h="16838"/>
      <w:pgMar w:top="2098" w:right="1531" w:bottom="1871" w:left="1531" w:header="737" w:footer="737" w:gutter="0"/>
      <w:pgNumType w:fmt="decimal" w:start="1"/>
      <w:cols w:space="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仿宋简体">
    <w:panose1 w:val="03000509000000000000"/>
    <w:charset w:val="86"/>
    <w:family w:val="auto"/>
    <w:pitch w:val="default"/>
    <w:sig w:usb0="00000001" w:usb1="080E0000" w:usb2="00000000" w:usb3="00000000" w:csb0="00040000" w:csb1="00000000"/>
    <w:embedRegular r:id="rId1" w:fontKey="{074A5A6F-76B6-4E95-806B-5BC8F0836BF7}"/>
  </w:font>
  <w:font w:name="方正黑体简体">
    <w:panose1 w:val="03000509000000000000"/>
    <w:charset w:val="86"/>
    <w:family w:val="auto"/>
    <w:pitch w:val="default"/>
    <w:sig w:usb0="00000001" w:usb1="080E0000" w:usb2="00000000" w:usb3="00000000" w:csb0="00040000" w:csb1="00000000"/>
    <w:embedRegular r:id="rId2" w:fontKey="{283BD346-3DD1-4D23-BC58-7AB7178B9065}"/>
  </w:font>
  <w:font w:name="方正小标宋简体">
    <w:panose1 w:val="03000509000000000000"/>
    <w:charset w:val="86"/>
    <w:family w:val="auto"/>
    <w:pitch w:val="default"/>
    <w:sig w:usb0="00000001" w:usb1="080E0000" w:usb2="00000000" w:usb3="00000000" w:csb0="00040000" w:csb1="00000000"/>
    <w:embedRegular r:id="rId3" w:fontKey="{80A184A1-7ECC-4461-9D85-9BF0E8124F03}"/>
  </w:font>
  <w:font w:name="方正楷体简体">
    <w:panose1 w:val="02000000000000000000"/>
    <w:charset w:val="86"/>
    <w:family w:val="auto"/>
    <w:pitch w:val="default"/>
    <w:sig w:usb0="00000001" w:usb1="080E0000" w:usb2="00000000" w:usb3="00000000" w:csb0="00040000" w:csb1="00000000"/>
    <w:embedRegular r:id="rId4" w:fontKey="{C6907613-35E5-484B-A25F-CBD41B734E6E}"/>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42E56">
    <w:pPr>
      <w:pStyle w:val="8"/>
      <w:jc w:val="center"/>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509B3E">
                          <w:pPr>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07509B3E">
                    <w:pPr>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v:textbox>
            </v:shape>
          </w:pict>
        </mc:Fallback>
      </mc:AlternateContent>
    </w:r>
  </w:p>
  <w:p w14:paraId="7CCC6E3E">
    <w:pPr>
      <w:pStyle w:val="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2CF8C">
    <w:pPr>
      <w:pStyle w:val="8"/>
      <w:tabs>
        <w:tab w:val="right" w:pos="8528"/>
        <w:tab w:val="clear" w:pos="4153"/>
      </w:tabs>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AEB5D8">
                          <w:pPr>
                            <w:pStyle w:val="8"/>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42AEB5D8">
                    <w:pPr>
                      <w:pStyle w:val="8"/>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8D2BEC"/>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3F8D2BEC"/>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97DD4">
    <w:pPr>
      <w:pStyle w:val="9"/>
      <w:pBdr>
        <w:bottom w:val="none" w:color="auto" w:sz="0" w:space="1"/>
      </w:pBdr>
      <w:ind w:firstLine="0"/>
      <w:jc w:val="both"/>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574690498" name="文本框 5746904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EF5A90"/>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CE1HbTUCAABlBAAADgAAAAAAAAABACAAAAAfAQAAZHJzL2Uyb0RvYy54bWxQ&#10;SwUGAAAAAAYABgBZAQAAxgUAAAAA&#10;">
              <v:fill on="f" focussize="0,0"/>
              <v:stroke on="f" weight="0.5pt"/>
              <v:imagedata o:title=""/>
              <o:lock v:ext="edit" aspectratio="f"/>
              <v:textbox inset="0mm,0mm,0mm,0mm" style="mso-fit-shape-to-text:t;">
                <w:txbxContent>
                  <w:p w14:paraId="42EF5A90"/>
                </w:txbxContent>
              </v:textbox>
            </v:shape>
          </w:pict>
        </mc:Fallback>
      </mc:AlternateContent>
    </w:r>
    <w:r>
      <w:rPr>
        <w:rFonts w:hint="eastAsia" w:eastAsia="宋体"/>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FDCC26"/>
    <w:multiLevelType w:val="multilevel"/>
    <w:tmpl w:val="3BFDCC26"/>
    <w:lvl w:ilvl="0" w:tentative="0">
      <w:start w:val="1"/>
      <w:numFmt w:val="decimal"/>
      <w:suff w:val="nothing"/>
      <w:lvlText w:val="%1."/>
      <w:lvlJc w:val="left"/>
      <w:pPr>
        <w:ind w:left="0" w:leftChars="0" w:firstLine="567" w:firstLineChars="0"/>
      </w:pPr>
      <w:rPr>
        <w:rFonts w:hint="default" w:ascii="Times New Roman" w:hAnsi="Times New Roman" w:eastAsia="仿宋"/>
        <w:b w:val="0"/>
        <w:i w:val="0"/>
        <w:sz w:val="32"/>
        <w:szCs w:val="32"/>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6F06A541"/>
    <w:multiLevelType w:val="singleLevel"/>
    <w:tmpl w:val="6F06A541"/>
    <w:lvl w:ilvl="0" w:tentative="0">
      <w:start w:val="2"/>
      <w:numFmt w:val="chineseCounting"/>
      <w:suff w:val="nothing"/>
      <w:lvlText w:val="（%1）"/>
      <w:lvlJc w:val="left"/>
      <w:rPr>
        <w:rFonts w:hint="eastAsia" w:ascii="方正楷体简体" w:hAnsi="方正楷体简体" w:eastAsia="方正楷体简体" w:cs="方正楷体简体"/>
        <w:sz w:val="32"/>
        <w:szCs w:val="32"/>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05700"/>
    <w:rsid w:val="00022C4D"/>
    <w:rsid w:val="00027CF7"/>
    <w:rsid w:val="000343B9"/>
    <w:rsid w:val="00065343"/>
    <w:rsid w:val="00065AD5"/>
    <w:rsid w:val="000D3132"/>
    <w:rsid w:val="000D4071"/>
    <w:rsid w:val="001148D3"/>
    <w:rsid w:val="00120F9A"/>
    <w:rsid w:val="00127F9D"/>
    <w:rsid w:val="0013065B"/>
    <w:rsid w:val="001344B2"/>
    <w:rsid w:val="00134855"/>
    <w:rsid w:val="00145CA9"/>
    <w:rsid w:val="00145DD7"/>
    <w:rsid w:val="00162341"/>
    <w:rsid w:val="001708DE"/>
    <w:rsid w:val="001724D3"/>
    <w:rsid w:val="00172A27"/>
    <w:rsid w:val="00180637"/>
    <w:rsid w:val="001A7A5A"/>
    <w:rsid w:val="001D1FC2"/>
    <w:rsid w:val="001E5796"/>
    <w:rsid w:val="001F5C32"/>
    <w:rsid w:val="00243F87"/>
    <w:rsid w:val="002539F8"/>
    <w:rsid w:val="002570D0"/>
    <w:rsid w:val="00266BA5"/>
    <w:rsid w:val="00287756"/>
    <w:rsid w:val="002F7B42"/>
    <w:rsid w:val="003133F3"/>
    <w:rsid w:val="00317DCF"/>
    <w:rsid w:val="00320D39"/>
    <w:rsid w:val="0032304E"/>
    <w:rsid w:val="00332C7B"/>
    <w:rsid w:val="00380FC9"/>
    <w:rsid w:val="00384CF2"/>
    <w:rsid w:val="003942E4"/>
    <w:rsid w:val="003C0388"/>
    <w:rsid w:val="003D5286"/>
    <w:rsid w:val="003E2D83"/>
    <w:rsid w:val="003E30D4"/>
    <w:rsid w:val="003F0E80"/>
    <w:rsid w:val="003F4549"/>
    <w:rsid w:val="00415B00"/>
    <w:rsid w:val="004255E8"/>
    <w:rsid w:val="0044122C"/>
    <w:rsid w:val="00443DB6"/>
    <w:rsid w:val="004549BF"/>
    <w:rsid w:val="004646A3"/>
    <w:rsid w:val="00465D4B"/>
    <w:rsid w:val="00490688"/>
    <w:rsid w:val="005512A0"/>
    <w:rsid w:val="00551BFB"/>
    <w:rsid w:val="00585F86"/>
    <w:rsid w:val="005E6F67"/>
    <w:rsid w:val="005F18EA"/>
    <w:rsid w:val="005F30FB"/>
    <w:rsid w:val="00604A9B"/>
    <w:rsid w:val="00625E84"/>
    <w:rsid w:val="00646411"/>
    <w:rsid w:val="0069157A"/>
    <w:rsid w:val="006C308B"/>
    <w:rsid w:val="006F2143"/>
    <w:rsid w:val="007118F7"/>
    <w:rsid w:val="007221E5"/>
    <w:rsid w:val="007304E9"/>
    <w:rsid w:val="007510A0"/>
    <w:rsid w:val="007A714B"/>
    <w:rsid w:val="007B0D55"/>
    <w:rsid w:val="007B6521"/>
    <w:rsid w:val="007C12F8"/>
    <w:rsid w:val="007D13A4"/>
    <w:rsid w:val="007E5CD9"/>
    <w:rsid w:val="00804DDE"/>
    <w:rsid w:val="00844FFA"/>
    <w:rsid w:val="0085646D"/>
    <w:rsid w:val="008700E1"/>
    <w:rsid w:val="00870DA1"/>
    <w:rsid w:val="00874752"/>
    <w:rsid w:val="00891D33"/>
    <w:rsid w:val="008B2190"/>
    <w:rsid w:val="008B3C2A"/>
    <w:rsid w:val="008C7942"/>
    <w:rsid w:val="008D1222"/>
    <w:rsid w:val="008F709E"/>
    <w:rsid w:val="00913AAB"/>
    <w:rsid w:val="00915BF4"/>
    <w:rsid w:val="00916CC3"/>
    <w:rsid w:val="00934B72"/>
    <w:rsid w:val="009469D8"/>
    <w:rsid w:val="00947CAA"/>
    <w:rsid w:val="00970916"/>
    <w:rsid w:val="00977F0D"/>
    <w:rsid w:val="00982A1F"/>
    <w:rsid w:val="00984364"/>
    <w:rsid w:val="00990626"/>
    <w:rsid w:val="009A14D8"/>
    <w:rsid w:val="00A21DA0"/>
    <w:rsid w:val="00A234C6"/>
    <w:rsid w:val="00A40427"/>
    <w:rsid w:val="00A6426B"/>
    <w:rsid w:val="00A7593B"/>
    <w:rsid w:val="00A83D99"/>
    <w:rsid w:val="00A8572E"/>
    <w:rsid w:val="00A97621"/>
    <w:rsid w:val="00AB5C77"/>
    <w:rsid w:val="00AC4CCA"/>
    <w:rsid w:val="00AD1C0E"/>
    <w:rsid w:val="00AD64C4"/>
    <w:rsid w:val="00AE0EA5"/>
    <w:rsid w:val="00B0025A"/>
    <w:rsid w:val="00B07D55"/>
    <w:rsid w:val="00B238E5"/>
    <w:rsid w:val="00B54DD1"/>
    <w:rsid w:val="00B61B81"/>
    <w:rsid w:val="00B86407"/>
    <w:rsid w:val="00BA4573"/>
    <w:rsid w:val="00BB0157"/>
    <w:rsid w:val="00BC1E79"/>
    <w:rsid w:val="00BC3771"/>
    <w:rsid w:val="00BD73FD"/>
    <w:rsid w:val="00BF1745"/>
    <w:rsid w:val="00C10A63"/>
    <w:rsid w:val="00C15E2B"/>
    <w:rsid w:val="00C2036B"/>
    <w:rsid w:val="00C27DBC"/>
    <w:rsid w:val="00C4082F"/>
    <w:rsid w:val="00C42AC9"/>
    <w:rsid w:val="00C46DF1"/>
    <w:rsid w:val="00C473DE"/>
    <w:rsid w:val="00C57E48"/>
    <w:rsid w:val="00C60C5F"/>
    <w:rsid w:val="00C95EE1"/>
    <w:rsid w:val="00CB3663"/>
    <w:rsid w:val="00CD1115"/>
    <w:rsid w:val="00CE47F8"/>
    <w:rsid w:val="00CF1087"/>
    <w:rsid w:val="00CF395F"/>
    <w:rsid w:val="00D0292A"/>
    <w:rsid w:val="00D03F28"/>
    <w:rsid w:val="00D10437"/>
    <w:rsid w:val="00D17FF2"/>
    <w:rsid w:val="00D32F3D"/>
    <w:rsid w:val="00D40684"/>
    <w:rsid w:val="00D674C9"/>
    <w:rsid w:val="00DA2CFE"/>
    <w:rsid w:val="00DB0266"/>
    <w:rsid w:val="00DB4299"/>
    <w:rsid w:val="00DD6F63"/>
    <w:rsid w:val="00DF4201"/>
    <w:rsid w:val="00E12623"/>
    <w:rsid w:val="00E21D9A"/>
    <w:rsid w:val="00E26327"/>
    <w:rsid w:val="00E54124"/>
    <w:rsid w:val="00E57013"/>
    <w:rsid w:val="00EA5C64"/>
    <w:rsid w:val="00EB7419"/>
    <w:rsid w:val="00EB7CC9"/>
    <w:rsid w:val="00EC36B4"/>
    <w:rsid w:val="00EC4E9D"/>
    <w:rsid w:val="00EE02EB"/>
    <w:rsid w:val="00EE1A30"/>
    <w:rsid w:val="00EE3529"/>
    <w:rsid w:val="00EE48FB"/>
    <w:rsid w:val="00EE6953"/>
    <w:rsid w:val="00EE7FC6"/>
    <w:rsid w:val="00F274AA"/>
    <w:rsid w:val="00F30D9C"/>
    <w:rsid w:val="00F46E00"/>
    <w:rsid w:val="00F50B3A"/>
    <w:rsid w:val="00F534D0"/>
    <w:rsid w:val="00F80E20"/>
    <w:rsid w:val="00FC3561"/>
    <w:rsid w:val="00FE38B2"/>
    <w:rsid w:val="00FF3147"/>
    <w:rsid w:val="01056705"/>
    <w:rsid w:val="013A4D6D"/>
    <w:rsid w:val="01AE1362"/>
    <w:rsid w:val="028212C5"/>
    <w:rsid w:val="0295277A"/>
    <w:rsid w:val="030550DE"/>
    <w:rsid w:val="0307791A"/>
    <w:rsid w:val="03810B86"/>
    <w:rsid w:val="0385027D"/>
    <w:rsid w:val="03895C68"/>
    <w:rsid w:val="039D1411"/>
    <w:rsid w:val="03C46413"/>
    <w:rsid w:val="041F4DBF"/>
    <w:rsid w:val="04B51984"/>
    <w:rsid w:val="05370DC3"/>
    <w:rsid w:val="05704583"/>
    <w:rsid w:val="061A3830"/>
    <w:rsid w:val="06F515E9"/>
    <w:rsid w:val="074574B7"/>
    <w:rsid w:val="076743EF"/>
    <w:rsid w:val="07B50534"/>
    <w:rsid w:val="0815093A"/>
    <w:rsid w:val="08CA0DBA"/>
    <w:rsid w:val="08DA47AD"/>
    <w:rsid w:val="0AA10A64"/>
    <w:rsid w:val="0AF44EAD"/>
    <w:rsid w:val="0B386398"/>
    <w:rsid w:val="0B7C061B"/>
    <w:rsid w:val="0CC90B55"/>
    <w:rsid w:val="0D7C008D"/>
    <w:rsid w:val="0DA06897"/>
    <w:rsid w:val="0DF462ED"/>
    <w:rsid w:val="0E19564B"/>
    <w:rsid w:val="0E22759B"/>
    <w:rsid w:val="0E5E23AA"/>
    <w:rsid w:val="0E7F3C56"/>
    <w:rsid w:val="0EF610D2"/>
    <w:rsid w:val="0FCEE19E"/>
    <w:rsid w:val="0FEDD33C"/>
    <w:rsid w:val="10C177C0"/>
    <w:rsid w:val="10FB12CE"/>
    <w:rsid w:val="11A54F88"/>
    <w:rsid w:val="12F71BB3"/>
    <w:rsid w:val="134E407D"/>
    <w:rsid w:val="144B4CE8"/>
    <w:rsid w:val="14F52C04"/>
    <w:rsid w:val="155B04E5"/>
    <w:rsid w:val="15762967"/>
    <w:rsid w:val="15FF6AB8"/>
    <w:rsid w:val="16B348F3"/>
    <w:rsid w:val="16BA737C"/>
    <w:rsid w:val="17404D18"/>
    <w:rsid w:val="179E79D9"/>
    <w:rsid w:val="17F953F4"/>
    <w:rsid w:val="186A5A33"/>
    <w:rsid w:val="18A93AFC"/>
    <w:rsid w:val="18C55A5F"/>
    <w:rsid w:val="18DD5A8A"/>
    <w:rsid w:val="19430B61"/>
    <w:rsid w:val="196B6F54"/>
    <w:rsid w:val="19CD71FA"/>
    <w:rsid w:val="1A87115D"/>
    <w:rsid w:val="1A94413A"/>
    <w:rsid w:val="1AC82436"/>
    <w:rsid w:val="1BAA0BEC"/>
    <w:rsid w:val="1BDF6BC8"/>
    <w:rsid w:val="1C535707"/>
    <w:rsid w:val="1D4F18C5"/>
    <w:rsid w:val="1D5C6857"/>
    <w:rsid w:val="1D9444AE"/>
    <w:rsid w:val="1D9A1CE4"/>
    <w:rsid w:val="1EBF8E91"/>
    <w:rsid w:val="1ED35C04"/>
    <w:rsid w:val="1F406C39"/>
    <w:rsid w:val="1F5275D0"/>
    <w:rsid w:val="1FE92B41"/>
    <w:rsid w:val="20CB7E98"/>
    <w:rsid w:val="222D5CA1"/>
    <w:rsid w:val="228E0FF2"/>
    <w:rsid w:val="235D6114"/>
    <w:rsid w:val="23F46FD7"/>
    <w:rsid w:val="24101808"/>
    <w:rsid w:val="24283899"/>
    <w:rsid w:val="248C4080"/>
    <w:rsid w:val="251E5F36"/>
    <w:rsid w:val="257C14F2"/>
    <w:rsid w:val="262D6E6F"/>
    <w:rsid w:val="26331263"/>
    <w:rsid w:val="265058AE"/>
    <w:rsid w:val="273B0505"/>
    <w:rsid w:val="277338DD"/>
    <w:rsid w:val="27FF4D71"/>
    <w:rsid w:val="282B56B9"/>
    <w:rsid w:val="28317601"/>
    <w:rsid w:val="28EA1A45"/>
    <w:rsid w:val="294B0B24"/>
    <w:rsid w:val="29581F66"/>
    <w:rsid w:val="29942B89"/>
    <w:rsid w:val="2A14341E"/>
    <w:rsid w:val="2A210B04"/>
    <w:rsid w:val="2A2368F1"/>
    <w:rsid w:val="2A7F945E"/>
    <w:rsid w:val="2A817549"/>
    <w:rsid w:val="2ACD2201"/>
    <w:rsid w:val="2AF467D7"/>
    <w:rsid w:val="2B8F2245"/>
    <w:rsid w:val="2BBE5215"/>
    <w:rsid w:val="2BD8212D"/>
    <w:rsid w:val="2BFDA77C"/>
    <w:rsid w:val="2C66157A"/>
    <w:rsid w:val="2CED406D"/>
    <w:rsid w:val="2CF33CB4"/>
    <w:rsid w:val="2CF6526E"/>
    <w:rsid w:val="2D324D1A"/>
    <w:rsid w:val="2D525A3B"/>
    <w:rsid w:val="2D6319D3"/>
    <w:rsid w:val="2DF126AA"/>
    <w:rsid w:val="2DF91330"/>
    <w:rsid w:val="2EAB4317"/>
    <w:rsid w:val="2EBDC04F"/>
    <w:rsid w:val="2F3274A5"/>
    <w:rsid w:val="2F552ED6"/>
    <w:rsid w:val="2F70357F"/>
    <w:rsid w:val="2FF755DD"/>
    <w:rsid w:val="3052247A"/>
    <w:rsid w:val="3090670D"/>
    <w:rsid w:val="30D4086C"/>
    <w:rsid w:val="312B48AF"/>
    <w:rsid w:val="32A47AB4"/>
    <w:rsid w:val="32AC5D7B"/>
    <w:rsid w:val="32CB27BC"/>
    <w:rsid w:val="32FC75D4"/>
    <w:rsid w:val="33D34794"/>
    <w:rsid w:val="34B42BB5"/>
    <w:rsid w:val="34C73C1C"/>
    <w:rsid w:val="34C957E7"/>
    <w:rsid w:val="36001598"/>
    <w:rsid w:val="360308FA"/>
    <w:rsid w:val="36783E87"/>
    <w:rsid w:val="36870F62"/>
    <w:rsid w:val="369B1CB2"/>
    <w:rsid w:val="369F01D5"/>
    <w:rsid w:val="36AF3103"/>
    <w:rsid w:val="36BF54EC"/>
    <w:rsid w:val="36DC449D"/>
    <w:rsid w:val="36EDA54C"/>
    <w:rsid w:val="372D446F"/>
    <w:rsid w:val="377DC02A"/>
    <w:rsid w:val="37BB122C"/>
    <w:rsid w:val="37E36263"/>
    <w:rsid w:val="37F72B7F"/>
    <w:rsid w:val="38D85C62"/>
    <w:rsid w:val="391FD347"/>
    <w:rsid w:val="3A3949DD"/>
    <w:rsid w:val="3A5F4A38"/>
    <w:rsid w:val="3AE5274E"/>
    <w:rsid w:val="3B3522AA"/>
    <w:rsid w:val="3B3D6F96"/>
    <w:rsid w:val="3B626037"/>
    <w:rsid w:val="3B6A3F8A"/>
    <w:rsid w:val="3BA9E31C"/>
    <w:rsid w:val="3D1F22E5"/>
    <w:rsid w:val="3D997564"/>
    <w:rsid w:val="3DD12550"/>
    <w:rsid w:val="3E432DCF"/>
    <w:rsid w:val="3E8E1632"/>
    <w:rsid w:val="3E9FF9E4"/>
    <w:rsid w:val="3EEF2905"/>
    <w:rsid w:val="3EEF87E3"/>
    <w:rsid w:val="3FB5575F"/>
    <w:rsid w:val="3FB57775"/>
    <w:rsid w:val="3FBFEC52"/>
    <w:rsid w:val="3FCE5EC9"/>
    <w:rsid w:val="3FFD6C8D"/>
    <w:rsid w:val="400D7690"/>
    <w:rsid w:val="4069560F"/>
    <w:rsid w:val="415A6585"/>
    <w:rsid w:val="41DC7289"/>
    <w:rsid w:val="41FD2ABB"/>
    <w:rsid w:val="425C18F8"/>
    <w:rsid w:val="4294088C"/>
    <w:rsid w:val="42982F61"/>
    <w:rsid w:val="42A2347D"/>
    <w:rsid w:val="42A6593E"/>
    <w:rsid w:val="42E77859"/>
    <w:rsid w:val="42EB7271"/>
    <w:rsid w:val="43802285"/>
    <w:rsid w:val="43D2284D"/>
    <w:rsid w:val="43D97465"/>
    <w:rsid w:val="43ED42A2"/>
    <w:rsid w:val="44865DC2"/>
    <w:rsid w:val="44A86EA6"/>
    <w:rsid w:val="44FE2B7A"/>
    <w:rsid w:val="452477C4"/>
    <w:rsid w:val="455812EC"/>
    <w:rsid w:val="455851CB"/>
    <w:rsid w:val="45761D23"/>
    <w:rsid w:val="459B16D3"/>
    <w:rsid w:val="462654C2"/>
    <w:rsid w:val="462A15BD"/>
    <w:rsid w:val="477AA038"/>
    <w:rsid w:val="481D51B8"/>
    <w:rsid w:val="48B40588"/>
    <w:rsid w:val="48D56225"/>
    <w:rsid w:val="49605DAC"/>
    <w:rsid w:val="49FFC2D1"/>
    <w:rsid w:val="4A3F0AC3"/>
    <w:rsid w:val="4AFA2C7B"/>
    <w:rsid w:val="4B404837"/>
    <w:rsid w:val="4B6B11A9"/>
    <w:rsid w:val="4B832434"/>
    <w:rsid w:val="4B863FDA"/>
    <w:rsid w:val="4BC23D1C"/>
    <w:rsid w:val="4BDE4024"/>
    <w:rsid w:val="4C907F6D"/>
    <w:rsid w:val="4CAE35BE"/>
    <w:rsid w:val="4D6E449B"/>
    <w:rsid w:val="4D9F5A42"/>
    <w:rsid w:val="4E1275AF"/>
    <w:rsid w:val="4E7F4CED"/>
    <w:rsid w:val="4F7241B1"/>
    <w:rsid w:val="4FFFCD54"/>
    <w:rsid w:val="507D0BBC"/>
    <w:rsid w:val="507E6B2A"/>
    <w:rsid w:val="51290B58"/>
    <w:rsid w:val="51381763"/>
    <w:rsid w:val="52265F38"/>
    <w:rsid w:val="52EF2BDF"/>
    <w:rsid w:val="53D138E8"/>
    <w:rsid w:val="53FE2BF5"/>
    <w:rsid w:val="543748C0"/>
    <w:rsid w:val="55AC2CD2"/>
    <w:rsid w:val="55B812E3"/>
    <w:rsid w:val="561A2F05"/>
    <w:rsid w:val="563D0083"/>
    <w:rsid w:val="56934204"/>
    <w:rsid w:val="56A7003A"/>
    <w:rsid w:val="56DC53F6"/>
    <w:rsid w:val="56F7792F"/>
    <w:rsid w:val="575D29C4"/>
    <w:rsid w:val="577B4EF8"/>
    <w:rsid w:val="579A41D9"/>
    <w:rsid w:val="57BD0169"/>
    <w:rsid w:val="57E13BCA"/>
    <w:rsid w:val="57F939E1"/>
    <w:rsid w:val="584F0184"/>
    <w:rsid w:val="5864421C"/>
    <w:rsid w:val="58CA26BF"/>
    <w:rsid w:val="5901172B"/>
    <w:rsid w:val="59065CB4"/>
    <w:rsid w:val="596C2DB0"/>
    <w:rsid w:val="59821BED"/>
    <w:rsid w:val="5A6B7F96"/>
    <w:rsid w:val="5AB4383C"/>
    <w:rsid w:val="5ABB2895"/>
    <w:rsid w:val="5B3C271A"/>
    <w:rsid w:val="5B9952E7"/>
    <w:rsid w:val="5C5537BA"/>
    <w:rsid w:val="5C694A22"/>
    <w:rsid w:val="5D07484F"/>
    <w:rsid w:val="5D3C5456"/>
    <w:rsid w:val="5D5BF516"/>
    <w:rsid w:val="5FE31B11"/>
    <w:rsid w:val="5FF4FC2B"/>
    <w:rsid w:val="5FFBCD3B"/>
    <w:rsid w:val="5FFD34BB"/>
    <w:rsid w:val="5FFE5558"/>
    <w:rsid w:val="6020741B"/>
    <w:rsid w:val="608914CC"/>
    <w:rsid w:val="60C364F2"/>
    <w:rsid w:val="615C16D6"/>
    <w:rsid w:val="61876B95"/>
    <w:rsid w:val="618A3DC3"/>
    <w:rsid w:val="627C5614"/>
    <w:rsid w:val="62B74F26"/>
    <w:rsid w:val="62BA758E"/>
    <w:rsid w:val="62BB6119"/>
    <w:rsid w:val="62DB2B6C"/>
    <w:rsid w:val="634E45C9"/>
    <w:rsid w:val="63A71F74"/>
    <w:rsid w:val="63AF6478"/>
    <w:rsid w:val="63DDBBBB"/>
    <w:rsid w:val="65A32AFE"/>
    <w:rsid w:val="65C7404D"/>
    <w:rsid w:val="65F17436"/>
    <w:rsid w:val="66B18282"/>
    <w:rsid w:val="66EE54A9"/>
    <w:rsid w:val="67551304"/>
    <w:rsid w:val="675C7C9C"/>
    <w:rsid w:val="67AB4C59"/>
    <w:rsid w:val="67BDF9D3"/>
    <w:rsid w:val="67C647C0"/>
    <w:rsid w:val="684306E9"/>
    <w:rsid w:val="68723580"/>
    <w:rsid w:val="68994500"/>
    <w:rsid w:val="697F1380"/>
    <w:rsid w:val="699A1F8A"/>
    <w:rsid w:val="69A93917"/>
    <w:rsid w:val="69AC355D"/>
    <w:rsid w:val="69E5B8E5"/>
    <w:rsid w:val="6A4A3BFD"/>
    <w:rsid w:val="6ACA2779"/>
    <w:rsid w:val="6B1029D1"/>
    <w:rsid w:val="6BD14727"/>
    <w:rsid w:val="6BD9F023"/>
    <w:rsid w:val="6C75429C"/>
    <w:rsid w:val="6C82343C"/>
    <w:rsid w:val="6CD785FD"/>
    <w:rsid w:val="6D8E68B6"/>
    <w:rsid w:val="6DBA7515"/>
    <w:rsid w:val="6DFF3390"/>
    <w:rsid w:val="6E761153"/>
    <w:rsid w:val="6EF36040"/>
    <w:rsid w:val="6EFF2B7B"/>
    <w:rsid w:val="6F493902"/>
    <w:rsid w:val="6FBF7F56"/>
    <w:rsid w:val="6FC06BC3"/>
    <w:rsid w:val="6FEB4FEB"/>
    <w:rsid w:val="6FEF29B3"/>
    <w:rsid w:val="6FF2CBB9"/>
    <w:rsid w:val="6FF658FB"/>
    <w:rsid w:val="70066BB1"/>
    <w:rsid w:val="70923271"/>
    <w:rsid w:val="711A3103"/>
    <w:rsid w:val="711F09A7"/>
    <w:rsid w:val="71D4087A"/>
    <w:rsid w:val="71DDC9F2"/>
    <w:rsid w:val="71E34413"/>
    <w:rsid w:val="71FFC0C1"/>
    <w:rsid w:val="727D4F24"/>
    <w:rsid w:val="72A70FAA"/>
    <w:rsid w:val="73113F43"/>
    <w:rsid w:val="734944D8"/>
    <w:rsid w:val="73B7ADB8"/>
    <w:rsid w:val="740A1865"/>
    <w:rsid w:val="747FFD7A"/>
    <w:rsid w:val="74B54142"/>
    <w:rsid w:val="74E42203"/>
    <w:rsid w:val="75101AA2"/>
    <w:rsid w:val="758650B4"/>
    <w:rsid w:val="75A97E24"/>
    <w:rsid w:val="75DD4904"/>
    <w:rsid w:val="75FA3F3B"/>
    <w:rsid w:val="76778448"/>
    <w:rsid w:val="77245415"/>
    <w:rsid w:val="7771949D"/>
    <w:rsid w:val="77BF2551"/>
    <w:rsid w:val="77BFD273"/>
    <w:rsid w:val="77EDB0D9"/>
    <w:rsid w:val="782E0A91"/>
    <w:rsid w:val="788D4C3C"/>
    <w:rsid w:val="78EDD24C"/>
    <w:rsid w:val="7922343B"/>
    <w:rsid w:val="7926388B"/>
    <w:rsid w:val="79521C10"/>
    <w:rsid w:val="795E17F1"/>
    <w:rsid w:val="79D42C0A"/>
    <w:rsid w:val="7A727261"/>
    <w:rsid w:val="7A83401C"/>
    <w:rsid w:val="7AC07CD4"/>
    <w:rsid w:val="7B204EC5"/>
    <w:rsid w:val="7B7EBDF0"/>
    <w:rsid w:val="7B8E17E2"/>
    <w:rsid w:val="7B93031C"/>
    <w:rsid w:val="7B9FD11C"/>
    <w:rsid w:val="7BBFBDE8"/>
    <w:rsid w:val="7BCC39B7"/>
    <w:rsid w:val="7BEB4051"/>
    <w:rsid w:val="7CDE1835"/>
    <w:rsid w:val="7CFC4664"/>
    <w:rsid w:val="7D4E5235"/>
    <w:rsid w:val="7D7B5896"/>
    <w:rsid w:val="7D7BD595"/>
    <w:rsid w:val="7DB7603E"/>
    <w:rsid w:val="7E361037"/>
    <w:rsid w:val="7E6B12CB"/>
    <w:rsid w:val="7E7273D9"/>
    <w:rsid w:val="7E77D991"/>
    <w:rsid w:val="7EAD1DE1"/>
    <w:rsid w:val="7EB151EC"/>
    <w:rsid w:val="7EBDF124"/>
    <w:rsid w:val="7EBF5C24"/>
    <w:rsid w:val="7ED5A2C4"/>
    <w:rsid w:val="7EFB3570"/>
    <w:rsid w:val="7EFF5ED8"/>
    <w:rsid w:val="7F4375B9"/>
    <w:rsid w:val="7F4B6054"/>
    <w:rsid w:val="7F696F3C"/>
    <w:rsid w:val="7F7EA9D2"/>
    <w:rsid w:val="7F824F8C"/>
    <w:rsid w:val="7F9955B4"/>
    <w:rsid w:val="7FB7E12A"/>
    <w:rsid w:val="7FDFE08E"/>
    <w:rsid w:val="7FEB5C58"/>
    <w:rsid w:val="7FF999A7"/>
    <w:rsid w:val="7FFBA9C2"/>
    <w:rsid w:val="7FFBEE05"/>
    <w:rsid w:val="7FFD3163"/>
    <w:rsid w:val="7FFFADCF"/>
    <w:rsid w:val="8FB52647"/>
    <w:rsid w:val="8FD1C878"/>
    <w:rsid w:val="8FEF4A8D"/>
    <w:rsid w:val="971D1DFF"/>
    <w:rsid w:val="97F6179A"/>
    <w:rsid w:val="9AECA37B"/>
    <w:rsid w:val="9BBC560B"/>
    <w:rsid w:val="9DD91B26"/>
    <w:rsid w:val="9F977CEE"/>
    <w:rsid w:val="9FFDD58A"/>
    <w:rsid w:val="A797FD14"/>
    <w:rsid w:val="AAAB3E80"/>
    <w:rsid w:val="AEFF0EDB"/>
    <w:rsid w:val="B6F5E0B7"/>
    <w:rsid w:val="BADD304E"/>
    <w:rsid w:val="BCDB95F6"/>
    <w:rsid w:val="BE749C9D"/>
    <w:rsid w:val="BEB561CE"/>
    <w:rsid w:val="BEB79207"/>
    <w:rsid w:val="BEE77723"/>
    <w:rsid w:val="BEF64A81"/>
    <w:rsid w:val="BFEFC32C"/>
    <w:rsid w:val="C7DED0D6"/>
    <w:rsid w:val="D15AC55A"/>
    <w:rsid w:val="D27B3645"/>
    <w:rsid w:val="D3FB50D6"/>
    <w:rsid w:val="D7E377CF"/>
    <w:rsid w:val="D7EF0BF7"/>
    <w:rsid w:val="DAED115C"/>
    <w:rsid w:val="DB5F406F"/>
    <w:rsid w:val="DBE7F8B4"/>
    <w:rsid w:val="DE3FCB91"/>
    <w:rsid w:val="DEBF1326"/>
    <w:rsid w:val="DEDD909B"/>
    <w:rsid w:val="DEFE8B6C"/>
    <w:rsid w:val="DFBDAD35"/>
    <w:rsid w:val="DFBE8F09"/>
    <w:rsid w:val="DFDF7B42"/>
    <w:rsid w:val="DFF3CC59"/>
    <w:rsid w:val="DFFD93F7"/>
    <w:rsid w:val="DFFE9052"/>
    <w:rsid w:val="E74775F6"/>
    <w:rsid w:val="E7FF1066"/>
    <w:rsid w:val="E9EFB32A"/>
    <w:rsid w:val="EADDC9B6"/>
    <w:rsid w:val="EADEFAB7"/>
    <w:rsid w:val="EB73FA1C"/>
    <w:rsid w:val="EBC9EB1D"/>
    <w:rsid w:val="EBDF4FC7"/>
    <w:rsid w:val="EBFF197F"/>
    <w:rsid w:val="EDFC2E87"/>
    <w:rsid w:val="EF7FFE34"/>
    <w:rsid w:val="EFD629E5"/>
    <w:rsid w:val="EFFB475C"/>
    <w:rsid w:val="F1F9609C"/>
    <w:rsid w:val="F1FFFF88"/>
    <w:rsid w:val="F39947E1"/>
    <w:rsid w:val="F3D71110"/>
    <w:rsid w:val="F3FDFFF2"/>
    <w:rsid w:val="F47A67D3"/>
    <w:rsid w:val="F576167A"/>
    <w:rsid w:val="F5F59530"/>
    <w:rsid w:val="F7A799C3"/>
    <w:rsid w:val="F7FE8233"/>
    <w:rsid w:val="F9EF6DC5"/>
    <w:rsid w:val="F9FF718F"/>
    <w:rsid w:val="FAF94D1D"/>
    <w:rsid w:val="FAFE9232"/>
    <w:rsid w:val="FB8BADB6"/>
    <w:rsid w:val="FBB99A53"/>
    <w:rsid w:val="FDCBE75C"/>
    <w:rsid w:val="FDFF248A"/>
    <w:rsid w:val="FE79B20B"/>
    <w:rsid w:val="FE7F4B05"/>
    <w:rsid w:val="FEEFD47F"/>
    <w:rsid w:val="FEF179B6"/>
    <w:rsid w:val="FF7DD536"/>
    <w:rsid w:val="FF7FFDFB"/>
    <w:rsid w:val="FFBBF062"/>
    <w:rsid w:val="FFBC43AB"/>
    <w:rsid w:val="FFD5D44E"/>
    <w:rsid w:val="FFF3D0AA"/>
    <w:rsid w:val="FFF964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28"/>
      <w:szCs w:val="22"/>
      <w:lang w:val="en-US" w:eastAsia="zh-CN" w:bidi="ar-SA"/>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Next/>
      <w:keepLines/>
      <w:numPr>
        <w:ilvl w:val="2"/>
        <w:numId w:val="1"/>
      </w:numPr>
      <w:spacing w:line="560" w:lineRule="exact"/>
      <w:ind w:firstLine="880" w:firstLineChars="200"/>
      <w:outlineLvl w:val="2"/>
    </w:pPr>
    <w:rPr>
      <w:b/>
      <w:bCs/>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toc 3"/>
    <w:basedOn w:val="1"/>
    <w:next w:val="1"/>
    <w:semiHidden/>
    <w:unhideWhenUsed/>
    <w:qFormat/>
    <w:uiPriority w:val="39"/>
    <w:pPr>
      <w:ind w:left="840" w:leftChars="400"/>
    </w:p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tabs>
        <w:tab w:val="left" w:pos="709"/>
        <w:tab w:val="right" w:leader="dot" w:pos="8296"/>
      </w:tabs>
    </w:pPr>
  </w:style>
  <w:style w:type="paragraph" w:styleId="11">
    <w:name w:val="toc 2"/>
    <w:basedOn w:val="1"/>
    <w:next w:val="1"/>
    <w:unhideWhenUsed/>
    <w:qFormat/>
    <w:uiPriority w:val="39"/>
    <w:pPr>
      <w:ind w:left="420" w:leftChars="200"/>
    </w:pPr>
  </w:style>
  <w:style w:type="paragraph" w:styleId="12">
    <w:name w:val="Normal (Web)"/>
    <w:basedOn w:val="1"/>
    <w:unhideWhenUsed/>
    <w:qFormat/>
    <w:uiPriority w:val="99"/>
    <w:pPr>
      <w:spacing w:before="100" w:beforeAutospacing="1" w:after="100" w:afterAutospacing="1"/>
      <w:jc w:val="left"/>
    </w:pPr>
    <w:rPr>
      <w:rFonts w:cs="Times New Roman"/>
      <w:kern w:val="0"/>
      <w:sz w:val="24"/>
    </w:rPr>
  </w:style>
  <w:style w:type="table" w:styleId="14">
    <w:name w:val="Table Grid"/>
    <w:basedOn w:val="1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Emphasis"/>
    <w:basedOn w:val="15"/>
    <w:qFormat/>
    <w:uiPriority w:val="20"/>
    <w:rPr>
      <w:i/>
    </w:rPr>
  </w:style>
  <w:style w:type="character" w:styleId="17">
    <w:name w:val="Hyperlink"/>
    <w:unhideWhenUsed/>
    <w:qFormat/>
    <w:uiPriority w:val="99"/>
    <w:rPr>
      <w:color w:val="4D4D4D"/>
      <w:u w:val="none"/>
    </w:rPr>
  </w:style>
  <w:style w:type="character" w:styleId="18">
    <w:name w:val="annotation reference"/>
    <w:basedOn w:val="15"/>
    <w:semiHidden/>
    <w:unhideWhenUsed/>
    <w:qFormat/>
    <w:uiPriority w:val="99"/>
    <w:rPr>
      <w:sz w:val="21"/>
      <w:szCs w:val="21"/>
    </w:rPr>
  </w:style>
  <w:style w:type="character" w:customStyle="1" w:styleId="19">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0">
    <w:name w:val="页眉 字符"/>
    <w:basedOn w:val="15"/>
    <w:link w:val="9"/>
    <w:qFormat/>
    <w:uiPriority w:val="99"/>
    <w:rPr>
      <w:sz w:val="18"/>
      <w:szCs w:val="18"/>
    </w:rPr>
  </w:style>
  <w:style w:type="character" w:customStyle="1" w:styleId="21">
    <w:name w:val="页脚 字符"/>
    <w:basedOn w:val="15"/>
    <w:link w:val="8"/>
    <w:qFormat/>
    <w:uiPriority w:val="99"/>
    <w:rPr>
      <w:sz w:val="18"/>
      <w:szCs w:val="18"/>
    </w:rPr>
  </w:style>
  <w:style w:type="character" w:customStyle="1" w:styleId="22">
    <w:name w:val="font11"/>
    <w:basedOn w:val="15"/>
    <w:qFormat/>
    <w:uiPriority w:val="0"/>
    <w:rPr>
      <w:rFonts w:hint="eastAsia" w:ascii="宋体" w:hAnsi="宋体" w:eastAsia="宋体" w:cs="宋体"/>
      <w:color w:val="000000"/>
      <w:sz w:val="21"/>
      <w:szCs w:val="21"/>
      <w:u w:val="none"/>
    </w:rPr>
  </w:style>
  <w:style w:type="character" w:customStyle="1" w:styleId="23">
    <w:name w:val="font01"/>
    <w:basedOn w:val="15"/>
    <w:qFormat/>
    <w:uiPriority w:val="0"/>
    <w:rPr>
      <w:rFonts w:hint="default" w:ascii="Calibri" w:hAnsi="Calibri" w:cs="Calibri"/>
      <w:color w:val="000000"/>
      <w:sz w:val="21"/>
      <w:szCs w:val="21"/>
      <w:u w:val="none"/>
    </w:rPr>
  </w:style>
  <w:style w:type="character" w:customStyle="1" w:styleId="24">
    <w:name w:val="font71"/>
    <w:basedOn w:val="15"/>
    <w:qFormat/>
    <w:uiPriority w:val="0"/>
    <w:rPr>
      <w:rFonts w:hint="eastAsia" w:ascii="仿宋" w:hAnsi="仿宋" w:eastAsia="仿宋" w:cs="仿宋"/>
      <w:b/>
      <w:color w:val="000000"/>
      <w:sz w:val="24"/>
      <w:szCs w:val="24"/>
      <w:u w:val="none"/>
    </w:rPr>
  </w:style>
  <w:style w:type="character" w:customStyle="1" w:styleId="25">
    <w:name w:val="font51"/>
    <w:basedOn w:val="15"/>
    <w:qFormat/>
    <w:uiPriority w:val="0"/>
    <w:rPr>
      <w:rFonts w:hint="eastAsia" w:ascii="仿宋" w:hAnsi="仿宋" w:eastAsia="仿宋" w:cs="仿宋"/>
      <w:color w:val="000000"/>
      <w:sz w:val="24"/>
      <w:szCs w:val="24"/>
      <w:u w:val="none"/>
    </w:rPr>
  </w:style>
  <w:style w:type="character" w:customStyle="1" w:styleId="26">
    <w:name w:val="font31"/>
    <w:basedOn w:val="15"/>
    <w:qFormat/>
    <w:uiPriority w:val="0"/>
    <w:rPr>
      <w:rFonts w:hint="eastAsia" w:ascii="宋体" w:hAnsi="宋体" w:eastAsia="宋体" w:cs="宋体"/>
      <w:b/>
      <w:color w:val="000000"/>
      <w:sz w:val="22"/>
      <w:szCs w:val="22"/>
      <w:u w:val="none"/>
    </w:rPr>
  </w:style>
  <w:style w:type="character" w:customStyle="1" w:styleId="27">
    <w:name w:val="font21"/>
    <w:basedOn w:val="15"/>
    <w:qFormat/>
    <w:uiPriority w:val="0"/>
    <w:rPr>
      <w:rFonts w:hint="eastAsia" w:ascii="宋体" w:hAnsi="宋体" w:eastAsia="宋体" w:cs="宋体"/>
      <w:color w:val="000000"/>
      <w:sz w:val="20"/>
      <w:szCs w:val="20"/>
      <w:u w:val="none"/>
    </w:rPr>
  </w:style>
  <w:style w:type="character" w:customStyle="1" w:styleId="28">
    <w:name w:val="font41"/>
    <w:basedOn w:val="15"/>
    <w:qFormat/>
    <w:uiPriority w:val="0"/>
    <w:rPr>
      <w:rFonts w:hint="default" w:ascii="Times New Roman" w:hAnsi="Times New Roman" w:cs="Times New Roman"/>
      <w:b/>
      <w:color w:val="000000"/>
      <w:sz w:val="20"/>
      <w:szCs w:val="20"/>
      <w:u w:val="none"/>
    </w:rPr>
  </w:style>
  <w:style w:type="paragraph" w:customStyle="1" w:styleId="29">
    <w:name w:val="WPSOffice手动目录 1"/>
    <w:qFormat/>
    <w:uiPriority w:val="0"/>
    <w:rPr>
      <w:rFonts w:ascii="Times New Roman" w:hAnsi="Times New Roman" w:eastAsia="宋体" w:cs="Times New Roman"/>
      <w:lang w:val="en-US" w:eastAsia="zh-CN" w:bidi="ar-SA"/>
    </w:rPr>
  </w:style>
  <w:style w:type="paragraph" w:customStyle="1" w:styleId="3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1">
    <w:name w:val="修订1"/>
    <w:hidden/>
    <w:semiHidden/>
    <w:qFormat/>
    <w:uiPriority w:val="99"/>
    <w:rPr>
      <w:rFonts w:eastAsia="仿宋_GB2312" w:asciiTheme="minorHAnsi" w:hAnsiTheme="minorHAnsi" w:cstheme="minorBidi"/>
      <w:kern w:val="2"/>
      <w:sz w:val="28"/>
      <w:szCs w:val="22"/>
      <w:lang w:val="en-US" w:eastAsia="zh-CN" w:bidi="ar-SA"/>
    </w:rPr>
  </w:style>
  <w:style w:type="paragraph" w:customStyle="1" w:styleId="32">
    <w:name w:val="修订2"/>
    <w:hidden/>
    <w:unhideWhenUsed/>
    <w:qFormat/>
    <w:uiPriority w:val="99"/>
    <w:rPr>
      <w:rFonts w:eastAsia="仿宋_GB2312" w:asciiTheme="minorHAnsi" w:hAnsiTheme="minorHAnsi" w:cstheme="minorBidi"/>
      <w:kern w:val="2"/>
      <w:sz w:val="28"/>
      <w:szCs w:val="22"/>
      <w:lang w:val="en-US" w:eastAsia="zh-CN" w:bidi="ar-SA"/>
    </w:rPr>
  </w:style>
  <w:style w:type="paragraph" w:customStyle="1" w:styleId="33">
    <w:name w:val="Revision"/>
    <w:hidden/>
    <w:unhideWhenUsed/>
    <w:qFormat/>
    <w:uiPriority w:val="99"/>
    <w:rPr>
      <w:rFonts w:eastAsia="仿宋_GB2312" w:asciiTheme="minorHAnsi" w:hAnsiTheme="minorHAnsi" w:cstheme="minorBidi"/>
      <w:kern w:val="2"/>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525</Words>
  <Characters>563</Characters>
  <Lines>73</Lines>
  <Paragraphs>20</Paragraphs>
  <TotalTime>0</TotalTime>
  <ScaleCrop>false</ScaleCrop>
  <LinksUpToDate>false</LinksUpToDate>
  <CharactersWithSpaces>566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2020-04-07T07:49:00Z</dcterms:created>
  <dc:creator>ZC</dc:creator>
  <cp:lastModifiedBy>李国宝</cp:lastModifiedBy>
  <cp:lastPrinted>2024-11-06T09:16:00Z</cp:lastPrinted>
  <dcterms:modified xsi:type="dcterms:W3CDTF">2025-01-08T01:41:53Z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