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07556">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bookmarkStart w:id="0" w:name="_Toc22314"/>
      <w:bookmarkStart w:id="1" w:name="_Toc29524"/>
      <w:bookmarkStart w:id="2" w:name="_Toc14462_WPSOffice_Level1"/>
    </w:p>
    <w:p w14:paraId="569ADBAB">
      <w:pPr>
        <w:pageBreakBefore w:val="0"/>
        <w:widowControl/>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color w:val="333333"/>
          <w:kern w:val="0"/>
          <w:sz w:val="32"/>
          <w:szCs w:val="32"/>
          <w:highlight w:val="none"/>
        </w:rPr>
      </w:pPr>
    </w:p>
    <w:p w14:paraId="3736E770">
      <w:pPr>
        <w:pageBreakBefore w:val="0"/>
        <w:widowControl/>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color w:val="333333"/>
          <w:kern w:val="0"/>
          <w:sz w:val="32"/>
          <w:szCs w:val="32"/>
          <w:highlight w:val="none"/>
        </w:rPr>
      </w:pPr>
    </w:p>
    <w:p w14:paraId="533E9257">
      <w:pPr>
        <w:pageBreakBefore w:val="0"/>
        <w:widowControl/>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color w:val="333333"/>
          <w:kern w:val="0"/>
          <w:sz w:val="32"/>
          <w:szCs w:val="32"/>
          <w:highlight w:val="none"/>
        </w:rPr>
      </w:pPr>
    </w:p>
    <w:p w14:paraId="41632C4F">
      <w:pPr>
        <w:pageBreakBefore w:val="0"/>
        <w:widowControl/>
        <w:kinsoku/>
        <w:wordWrap/>
        <w:overflowPunct/>
        <w:topLinePunct w:val="0"/>
        <w:autoSpaceDE/>
        <w:autoSpaceDN/>
        <w:bidi w:val="0"/>
        <w:spacing w:line="600" w:lineRule="exact"/>
        <w:ind w:left="0" w:leftChars="0"/>
        <w:jc w:val="center"/>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333333"/>
          <w:kern w:val="0"/>
          <w:sz w:val="44"/>
          <w:szCs w:val="44"/>
          <w:highlight w:val="none"/>
        </w:rPr>
        <w:t>绩效评价报告</w:t>
      </w:r>
    </w:p>
    <w:p w14:paraId="0EDB3C13">
      <w:pPr>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6891BD89">
      <w:pPr>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65B723D3">
      <w:pPr>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59F527A3">
      <w:pPr>
        <w:pageBreakBefore w:val="0"/>
        <w:widowControl/>
        <w:kinsoku/>
        <w:wordWrap/>
        <w:overflowPunct/>
        <w:topLinePunct w:val="0"/>
        <w:autoSpaceDE/>
        <w:autoSpaceDN/>
        <w:bidi w:val="0"/>
        <w:spacing w:line="600" w:lineRule="exact"/>
        <w:ind w:left="0" w:leftChars="0" w:firstLine="640" w:firstLineChars="200"/>
        <w:jc w:val="left"/>
        <w:rPr>
          <w:rFonts w:hint="eastAsia" w:ascii="方正仿宋简体" w:hAnsi="方正仿宋简体" w:eastAsia="方正仿宋简体" w:cs="方正仿宋简体"/>
          <w:color w:val="333333"/>
          <w:kern w:val="0"/>
          <w:sz w:val="32"/>
          <w:szCs w:val="32"/>
          <w:highlight w:val="none"/>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51E58157">
      <w:pPr>
        <w:pageBreakBefore w:val="0"/>
        <w:widowControl/>
        <w:kinsoku/>
        <w:wordWrap/>
        <w:overflowPunct/>
        <w:topLinePunct w:val="0"/>
        <w:autoSpaceDE/>
        <w:autoSpaceDN/>
        <w:bidi w:val="0"/>
        <w:spacing w:line="600" w:lineRule="exact"/>
        <w:jc w:val="left"/>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被评价单位名称：泸定县教育和体育局</w:t>
      </w:r>
    </w:p>
    <w:p w14:paraId="177FF609">
      <w:pPr>
        <w:pageBreakBefore w:val="0"/>
        <w:widowControl/>
        <w:kinsoku/>
        <w:wordWrap/>
        <w:overflowPunct/>
        <w:topLinePunct w:val="0"/>
        <w:autoSpaceDE/>
        <w:autoSpaceDN/>
        <w:bidi w:val="0"/>
        <w:spacing w:line="600" w:lineRule="exact"/>
        <w:ind w:left="1600" w:leftChars="0" w:hanging="1600" w:hangingChars="500"/>
        <w:jc w:val="left"/>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评价项目：</w:t>
      </w:r>
      <w:bookmarkStart w:id="3" w:name="_Hlk144125284"/>
      <w:r>
        <w:rPr>
          <w:rFonts w:hint="eastAsia" w:ascii="方正仿宋简体" w:hAnsi="方正仿宋简体" w:eastAsia="方正仿宋简体" w:cs="方正仿宋简体"/>
          <w:color w:val="333333"/>
          <w:kern w:val="0"/>
          <w:sz w:val="32"/>
          <w:szCs w:val="32"/>
          <w:highlight w:val="none"/>
          <w:lang w:eastAsia="zh-CN"/>
        </w:rPr>
        <w:t>全州高考改革标准化考场建设</w:t>
      </w:r>
      <w:r>
        <w:rPr>
          <w:rFonts w:hint="default" w:ascii="Times New Roman" w:hAnsi="Times New Roman" w:eastAsia="方正仿宋简体" w:cs="Times New Roman"/>
          <w:color w:val="333333"/>
          <w:kern w:val="0"/>
          <w:sz w:val="32"/>
          <w:szCs w:val="32"/>
          <w:highlight w:val="none"/>
          <w:lang w:eastAsia="zh-CN"/>
        </w:rPr>
        <w:t>2023</w:t>
      </w:r>
      <w:r>
        <w:rPr>
          <w:rFonts w:hint="eastAsia" w:ascii="方正仿宋简体" w:hAnsi="方正仿宋简体" w:eastAsia="方正仿宋简体" w:cs="方正仿宋简体"/>
          <w:color w:val="333333"/>
          <w:kern w:val="0"/>
          <w:sz w:val="32"/>
          <w:szCs w:val="32"/>
          <w:highlight w:val="none"/>
          <w:lang w:eastAsia="zh-CN"/>
        </w:rPr>
        <w:t>年</w:t>
      </w:r>
      <w:r>
        <w:rPr>
          <w:rFonts w:hint="eastAsia" w:ascii="方正仿宋简体" w:hAnsi="方正仿宋简体" w:eastAsia="方正仿宋简体" w:cs="方正仿宋简体"/>
          <w:color w:val="333333"/>
          <w:kern w:val="0"/>
          <w:sz w:val="32"/>
          <w:szCs w:val="32"/>
          <w:highlight w:val="none"/>
        </w:rPr>
        <w:t>县级财政支出项目</w:t>
      </w:r>
      <w:bookmarkEnd w:id="3"/>
    </w:p>
    <w:p w14:paraId="6D8A4CF0">
      <w:pPr>
        <w:pageBreakBefore w:val="0"/>
        <w:kinsoku/>
        <w:wordWrap/>
        <w:overflowPunct/>
        <w:topLinePunct w:val="0"/>
        <w:autoSpaceDE/>
        <w:autoSpaceDN/>
        <w:bidi w:val="0"/>
        <w:spacing w:line="600" w:lineRule="exact"/>
        <w:ind w:left="0" w:leftChars="0" w:firstLine="320" w:firstLineChars="100"/>
        <w:rPr>
          <w:rFonts w:hint="eastAsia" w:ascii="方正仿宋简体" w:hAnsi="方正仿宋简体" w:eastAsia="方正仿宋简体" w:cs="方正仿宋简体"/>
          <w:sz w:val="32"/>
          <w:szCs w:val="32"/>
          <w:highlight w:val="none"/>
        </w:rPr>
      </w:pPr>
    </w:p>
    <w:p w14:paraId="287FA5DF">
      <w:pPr>
        <w:pStyle w:val="2"/>
        <w:pageBreakBefore w:val="0"/>
        <w:kinsoku/>
        <w:wordWrap/>
        <w:overflowPunct/>
        <w:topLinePunct w:val="0"/>
        <w:autoSpaceDE/>
        <w:autoSpaceDN/>
        <w:bidi w:val="0"/>
        <w:spacing w:after="0" w:line="600" w:lineRule="exact"/>
        <w:ind w:left="0" w:leftChars="0" w:firstLine="320" w:firstLineChars="100"/>
        <w:rPr>
          <w:rFonts w:hint="eastAsia" w:ascii="方正仿宋简体" w:hAnsi="方正仿宋简体" w:eastAsia="方正仿宋简体" w:cs="方正仿宋简体"/>
          <w:sz w:val="32"/>
          <w:szCs w:val="32"/>
          <w:highlight w:val="none"/>
        </w:rPr>
      </w:pPr>
    </w:p>
    <w:p w14:paraId="1BACC510">
      <w:pPr>
        <w:pageBreakBefore w:val="0"/>
        <w:kinsoku/>
        <w:wordWrap/>
        <w:overflowPunct/>
        <w:topLinePunct w:val="0"/>
        <w:autoSpaceDE/>
        <w:autoSpaceDN/>
        <w:bidi w:val="0"/>
        <w:spacing w:line="600" w:lineRule="exact"/>
        <w:ind w:left="0" w:leftChars="0" w:firstLine="640" w:firstLineChars="200"/>
        <w:jc w:val="center"/>
        <w:rPr>
          <w:rFonts w:hint="eastAsia" w:ascii="方正仿宋简体" w:hAnsi="方正仿宋简体" w:eastAsia="方正仿宋简体" w:cs="方正仿宋简体"/>
          <w:sz w:val="32"/>
          <w:szCs w:val="32"/>
          <w:highlight w:val="none"/>
        </w:rPr>
      </w:pPr>
    </w:p>
    <w:p w14:paraId="42C0C968">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br w:type="page"/>
      </w:r>
    </w:p>
    <w:p w14:paraId="797BFB23">
      <w:pPr>
        <w:pageBreakBefore w:val="0"/>
        <w:kinsoku/>
        <w:wordWrap/>
        <w:overflowPunct/>
        <w:topLinePunct w:val="0"/>
        <w:autoSpaceDE/>
        <w:autoSpaceDN/>
        <w:bidi w:val="0"/>
        <w:spacing w:line="600" w:lineRule="exact"/>
        <w:ind w:left="0" w:leftChars="0"/>
        <w:jc w:val="center"/>
        <w:rPr>
          <w:rFonts w:hint="eastAsia" w:ascii="方正小标宋简体" w:hAnsi="方正小标宋简体" w:eastAsia="方正小标宋简体" w:cs="方正小标宋简体"/>
          <w:sz w:val="44"/>
          <w:szCs w:val="44"/>
          <w:highlight w:val="none"/>
        </w:rPr>
      </w:pPr>
      <w:bookmarkStart w:id="4" w:name="_Toc32467"/>
      <w:r>
        <w:rPr>
          <w:rFonts w:hint="eastAsia" w:ascii="方正小标宋简体" w:hAnsi="方正小标宋简体" w:eastAsia="方正小标宋简体" w:cs="方正小标宋简体"/>
          <w:sz w:val="44"/>
          <w:szCs w:val="44"/>
          <w:highlight w:val="none"/>
        </w:rPr>
        <w:t>泸定县教育和体育局</w:t>
      </w:r>
    </w:p>
    <w:p w14:paraId="4EFBDB7B">
      <w:pPr>
        <w:pageBreakBefore w:val="0"/>
        <w:kinsoku/>
        <w:wordWrap/>
        <w:overflowPunct/>
        <w:topLinePunct w:val="0"/>
        <w:autoSpaceDE/>
        <w:autoSpaceDN/>
        <w:bidi w:val="0"/>
        <w:spacing w:line="600" w:lineRule="exact"/>
        <w:ind w:left="0" w:leftChars="0"/>
        <w:jc w:val="center"/>
        <w:rPr>
          <w:rFonts w:hint="eastAsia" w:ascii="方正小标宋简体" w:hAnsi="方正小标宋简体" w:eastAsia="方正小标宋简体" w:cs="方正小标宋简体"/>
          <w:sz w:val="44"/>
          <w:szCs w:val="44"/>
          <w:highlight w:val="none"/>
          <w:lang w:eastAsia="zh-CN"/>
        </w:rPr>
      </w:pPr>
      <w:bookmarkStart w:id="5" w:name="_Hlk143001432"/>
      <w:bookmarkStart w:id="6" w:name="_Hlk143087873"/>
      <w:r>
        <w:rPr>
          <w:rFonts w:hint="eastAsia" w:ascii="方正小标宋简体" w:hAnsi="方正小标宋简体" w:eastAsia="方正小标宋简体" w:cs="方正小标宋简体"/>
          <w:sz w:val="44"/>
          <w:szCs w:val="44"/>
          <w:highlight w:val="none"/>
          <w:lang w:eastAsia="zh-CN"/>
        </w:rPr>
        <w:t>全州高考改革标准化考场建设</w:t>
      </w:r>
      <w:r>
        <w:rPr>
          <w:rFonts w:hint="default" w:ascii="Times New Roman" w:hAnsi="Times New Roman" w:eastAsia="方正小标宋简体" w:cs="Times New Roman"/>
          <w:sz w:val="44"/>
          <w:szCs w:val="44"/>
          <w:highlight w:val="none"/>
          <w:lang w:eastAsia="zh-CN"/>
        </w:rPr>
        <w:t>2023</w:t>
      </w:r>
      <w:r>
        <w:rPr>
          <w:rFonts w:hint="eastAsia" w:ascii="方正小标宋简体" w:hAnsi="方正小标宋简体" w:eastAsia="方正小标宋简体" w:cs="方正小标宋简体"/>
          <w:sz w:val="44"/>
          <w:szCs w:val="44"/>
          <w:highlight w:val="none"/>
          <w:lang w:eastAsia="zh-CN"/>
        </w:rPr>
        <w:t>年</w:t>
      </w:r>
    </w:p>
    <w:p w14:paraId="64B52E80">
      <w:pPr>
        <w:pageBreakBefore w:val="0"/>
        <w:kinsoku/>
        <w:wordWrap/>
        <w:overflowPunct/>
        <w:topLinePunct w:val="0"/>
        <w:autoSpaceDE/>
        <w:autoSpaceDN/>
        <w:bidi w:val="0"/>
        <w:spacing w:line="600" w:lineRule="exact"/>
        <w:ind w:left="0" w:leftChars="0"/>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县级财政支出</w:t>
      </w:r>
      <w:bookmarkEnd w:id="4"/>
      <w:bookmarkEnd w:id="5"/>
      <w:bookmarkStart w:id="7" w:name="_Toc27398"/>
      <w:r>
        <w:rPr>
          <w:rFonts w:hint="eastAsia" w:ascii="方正小标宋简体" w:hAnsi="方正小标宋简体" w:eastAsia="方正小标宋简体" w:cs="方正小标宋简体"/>
          <w:sz w:val="44"/>
          <w:szCs w:val="44"/>
          <w:highlight w:val="none"/>
        </w:rPr>
        <w:t>项目</w:t>
      </w:r>
      <w:bookmarkEnd w:id="6"/>
      <w:r>
        <w:rPr>
          <w:rFonts w:hint="eastAsia" w:ascii="方正小标宋简体" w:hAnsi="方正小标宋简体" w:eastAsia="方正小标宋简体" w:cs="方正小标宋简体"/>
          <w:sz w:val="44"/>
          <w:szCs w:val="44"/>
          <w:highlight w:val="none"/>
        </w:rPr>
        <w:t>绩效评价报告</w:t>
      </w:r>
      <w:bookmarkEnd w:id="0"/>
      <w:bookmarkEnd w:id="1"/>
      <w:bookmarkEnd w:id="7"/>
    </w:p>
    <w:p w14:paraId="7A4BD175">
      <w:pPr>
        <w:pageBreakBefore w:val="0"/>
        <w:widowControl/>
        <w:kinsoku/>
        <w:wordWrap/>
        <w:overflowPunct/>
        <w:topLinePunct w:val="0"/>
        <w:autoSpaceDE/>
        <w:autoSpaceDN/>
        <w:bidi w:val="0"/>
        <w:adjustRightInd w:val="0"/>
        <w:snapToGrid w:val="0"/>
        <w:spacing w:line="600" w:lineRule="exact"/>
        <w:ind w:left="0" w:leftChars="0" w:firstLine="640" w:firstLineChars="200"/>
        <w:jc w:val="center"/>
        <w:rPr>
          <w:rFonts w:hint="eastAsia" w:ascii="方正仿宋简体" w:hAnsi="方正仿宋简体" w:eastAsia="方正仿宋简体" w:cs="方正仿宋简体"/>
          <w:sz w:val="32"/>
          <w:szCs w:val="32"/>
          <w:highlight w:val="none"/>
        </w:rPr>
      </w:pPr>
    </w:p>
    <w:p w14:paraId="70D0E30F">
      <w:pPr>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highlight w:val="none"/>
          <w:lang w:val="fr-FR"/>
        </w:rPr>
      </w:pPr>
      <w:bookmarkStart w:id="8" w:name="_Toc6252"/>
      <w:bookmarkStart w:id="9" w:name="_Toc26210"/>
      <w:bookmarkStart w:id="10" w:name="_Toc8938"/>
    </w:p>
    <w:p w14:paraId="2607FF8D">
      <w:pPr>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依据</w:t>
      </w:r>
      <w:r>
        <w:rPr>
          <w:rFonts w:hint="eastAsia" w:ascii="方正仿宋简体" w:hAnsi="方正仿宋简体" w:eastAsia="方正仿宋简体" w:cs="方正仿宋简体"/>
          <w:sz w:val="32"/>
          <w:szCs w:val="32"/>
          <w:highlight w:val="none"/>
        </w:rPr>
        <w:t>《泸定县财政局关于开展</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41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w:t>
      </w:r>
      <w:r>
        <w:rPr>
          <w:rFonts w:hint="eastAsia" w:ascii="方正仿宋简体" w:hAnsi="方正仿宋简体" w:eastAsia="方正仿宋简体" w:cs="方正仿宋简体"/>
          <w:sz w:val="32"/>
          <w:szCs w:val="32"/>
          <w:highlight w:val="none"/>
          <w:lang w:val="en-US" w:eastAsia="zh-CN"/>
        </w:rPr>
        <w:t>我单位</w:t>
      </w:r>
      <w:r>
        <w:rPr>
          <w:rFonts w:hint="eastAsia" w:ascii="方正仿宋简体" w:hAnsi="方正仿宋简体" w:eastAsia="方正仿宋简体" w:cs="方正仿宋简体"/>
          <w:sz w:val="32"/>
          <w:szCs w:val="32"/>
          <w:highlight w:val="none"/>
          <w:lang w:val="fr-FR"/>
        </w:rPr>
        <w:t>对</w:t>
      </w:r>
      <w:r>
        <w:rPr>
          <w:rFonts w:hint="eastAsia" w:ascii="方正仿宋简体" w:hAnsi="方正仿宋简体" w:eastAsia="方正仿宋简体" w:cs="方正仿宋简体"/>
          <w:sz w:val="32"/>
          <w:szCs w:val="32"/>
          <w:highlight w:val="none"/>
        </w:rPr>
        <w:t>泸定县教育和体育局</w:t>
      </w:r>
      <w:r>
        <w:rPr>
          <w:rFonts w:hint="eastAsia" w:ascii="方正仿宋简体" w:hAnsi="方正仿宋简体" w:eastAsia="方正仿宋简体" w:cs="方正仿宋简体"/>
          <w:sz w:val="32"/>
          <w:szCs w:val="32"/>
          <w:highlight w:val="none"/>
          <w:lang w:eastAsia="zh-CN"/>
        </w:rPr>
        <w:t>“全州高考改革标准化考场建设</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w:t>
      </w:r>
      <w:r>
        <w:rPr>
          <w:rFonts w:hint="eastAsia" w:ascii="方正仿宋简体" w:hAnsi="方正仿宋简体" w:eastAsia="方正仿宋简体" w:cs="方正仿宋简体"/>
          <w:sz w:val="32"/>
          <w:szCs w:val="32"/>
          <w:highlight w:val="none"/>
        </w:rPr>
        <w:t>县级财政支出项目</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进行</w:t>
      </w:r>
      <w:r>
        <w:rPr>
          <w:rFonts w:hint="eastAsia" w:ascii="方正仿宋简体" w:hAnsi="方正仿宋简体" w:eastAsia="方正仿宋简体" w:cs="方正仿宋简体"/>
          <w:sz w:val="32"/>
          <w:szCs w:val="32"/>
          <w:highlight w:val="none"/>
          <w:lang w:val="fr-FR"/>
        </w:rPr>
        <w:t>绩效评价。</w:t>
      </w:r>
      <w:r>
        <w:rPr>
          <w:rFonts w:hint="eastAsia" w:ascii="方正仿宋简体" w:hAnsi="方正仿宋简体" w:eastAsia="方正仿宋简体" w:cs="方正仿宋简体"/>
          <w:sz w:val="32"/>
          <w:szCs w:val="32"/>
          <w:highlight w:val="none"/>
        </w:rPr>
        <w:t>泸定县教育和体育局</w:t>
      </w:r>
      <w:r>
        <w:rPr>
          <w:rFonts w:hint="eastAsia" w:ascii="方正仿宋简体" w:hAnsi="方正仿宋简体" w:eastAsia="方正仿宋简体" w:cs="方正仿宋简体"/>
          <w:sz w:val="32"/>
          <w:szCs w:val="32"/>
          <w:highlight w:val="none"/>
          <w:lang w:val="fr-FR"/>
        </w:rPr>
        <w:t>对其提供的绩效评价相关资料的真实性、合法性和完整性负责；我们的责任是依据《中共中央</w:t>
      </w:r>
      <w:r>
        <w:rPr>
          <w:rFonts w:hint="eastAsia" w:ascii="方正仿宋简体" w:hAnsi="方正仿宋简体" w:eastAsia="方正仿宋简体" w:cs="方正仿宋简体"/>
          <w:sz w:val="32"/>
          <w:szCs w:val="32"/>
          <w:highlight w:val="none"/>
        </w:rPr>
        <w:t xml:space="preserve"> </w:t>
      </w:r>
      <w:r>
        <w:rPr>
          <w:rFonts w:hint="eastAsia" w:ascii="方正仿宋简体" w:hAnsi="方正仿宋简体" w:eastAsia="方正仿宋简体" w:cs="方正仿宋简体"/>
          <w:sz w:val="32"/>
          <w:szCs w:val="32"/>
          <w:highlight w:val="none"/>
          <w:lang w:val="fr-FR"/>
        </w:rPr>
        <w:t>国务院关于全面实施预算绩效管理的意见》（中发〔</w:t>
      </w:r>
      <w:r>
        <w:rPr>
          <w:rFonts w:hint="default" w:ascii="Times New Roman" w:hAnsi="Times New Roman" w:eastAsia="方正仿宋简体" w:cs="Times New Roman"/>
          <w:sz w:val="32"/>
          <w:szCs w:val="32"/>
          <w:highlight w:val="none"/>
          <w:lang w:val="fr-FR"/>
        </w:rPr>
        <w:t>2018</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34</w:t>
      </w:r>
      <w:r>
        <w:rPr>
          <w:rFonts w:hint="eastAsia" w:ascii="方正仿宋简体" w:hAnsi="方正仿宋简体" w:eastAsia="方正仿宋简体" w:cs="方正仿宋简体"/>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8</w:t>
      </w:r>
      <w:r>
        <w:rPr>
          <w:rFonts w:hint="eastAsia" w:ascii="方正仿宋简体" w:hAnsi="方正仿宋简体" w:eastAsia="方正仿宋简体" w:cs="方正仿宋简体"/>
          <w:sz w:val="32"/>
          <w:szCs w:val="32"/>
          <w:highlight w:val="none"/>
          <w:lang w:val="fr-FR"/>
        </w:rPr>
        <w:t>号）、《中共甘孜州委办公室 甘孜州人民政府办公室关于印发</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甘孜州全面实施预算绩效管理工作实施方案</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fr-FR"/>
        </w:rPr>
        <w:t>的通知》（甘委办〔</w:t>
      </w:r>
      <w:r>
        <w:rPr>
          <w:rFonts w:hint="default" w:ascii="Times New Roman" w:hAnsi="Times New Roman" w:eastAsia="方正仿宋简体" w:cs="Times New Roman"/>
          <w:sz w:val="32"/>
          <w:szCs w:val="32"/>
          <w:highlight w:val="none"/>
          <w:lang w:val="fr-FR"/>
        </w:rPr>
        <w:t>201</w:t>
      </w:r>
      <w:r>
        <w:rPr>
          <w:rFonts w:hint="default" w:ascii="Times New Roman" w:hAnsi="Times New Roman" w:eastAsia="方正仿宋简体" w:cs="Times New Roman"/>
          <w:sz w:val="32"/>
          <w:szCs w:val="32"/>
          <w:highlight w:val="none"/>
        </w:rPr>
        <w:t>9</w:t>
      </w:r>
      <w:r>
        <w:rPr>
          <w:rFonts w:hint="eastAsia" w:ascii="方正仿宋简体" w:hAnsi="方正仿宋简体" w:eastAsia="方正仿宋简体" w:cs="方正仿宋简体"/>
          <w:sz w:val="32"/>
          <w:szCs w:val="32"/>
          <w:highlight w:val="none"/>
          <w:lang w:val="fr-FR"/>
        </w:rPr>
        <w:t>〕</w:t>
      </w:r>
      <w:r>
        <w:rPr>
          <w:rFonts w:hint="default" w:ascii="Times New Roman" w:hAnsi="Times New Roman" w:eastAsia="方正仿宋简体" w:cs="Times New Roman"/>
          <w:sz w:val="32"/>
          <w:szCs w:val="32"/>
          <w:highlight w:val="none"/>
          <w:lang w:val="fr-FR"/>
        </w:rPr>
        <w:t>120</w:t>
      </w:r>
      <w:r>
        <w:rPr>
          <w:rFonts w:hint="eastAsia" w:ascii="方正仿宋简体" w:hAnsi="方正仿宋简体" w:eastAsia="方正仿宋简体" w:cs="方正仿宋简体"/>
          <w:sz w:val="32"/>
          <w:szCs w:val="32"/>
          <w:highlight w:val="none"/>
          <w:lang w:val="fr-FR"/>
        </w:rPr>
        <w:t>号）</w:t>
      </w:r>
      <w:r>
        <w:rPr>
          <w:rFonts w:hint="eastAsia" w:ascii="方正仿宋简体" w:hAnsi="方正仿宋简体" w:eastAsia="方正仿宋简体" w:cs="方正仿宋简体"/>
          <w:sz w:val="32"/>
          <w:szCs w:val="32"/>
          <w:highlight w:val="none"/>
        </w:rPr>
        <w:t>和《泸定县财政局关于开展</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41</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文件要求，结合</w:t>
      </w:r>
      <w:r>
        <w:rPr>
          <w:rFonts w:hint="eastAsia" w:ascii="方正仿宋简体" w:hAnsi="方正仿宋简体" w:eastAsia="方正仿宋简体" w:cs="方正仿宋简体"/>
          <w:sz w:val="32"/>
          <w:szCs w:val="32"/>
          <w:highlight w:val="none"/>
        </w:rPr>
        <w:t>泸定县教育和体育局</w:t>
      </w:r>
      <w:r>
        <w:rPr>
          <w:rFonts w:hint="eastAsia" w:ascii="方正仿宋简体" w:hAnsi="方正仿宋简体" w:eastAsia="方正仿宋简体" w:cs="方正仿宋简体"/>
          <w:sz w:val="32"/>
          <w:szCs w:val="32"/>
          <w:highlight w:val="none"/>
          <w:lang w:eastAsia="zh-CN"/>
        </w:rPr>
        <w:t>“全州高考改革标准化考场建设</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w:t>
      </w:r>
      <w:r>
        <w:rPr>
          <w:rFonts w:hint="eastAsia" w:ascii="方正仿宋简体" w:hAnsi="方正仿宋简体" w:eastAsia="方正仿宋简体" w:cs="方正仿宋简体"/>
          <w:sz w:val="32"/>
          <w:szCs w:val="32"/>
          <w:highlight w:val="none"/>
        </w:rPr>
        <w:t>县级财政支出项目</w:t>
      </w:r>
      <w:r>
        <w:rPr>
          <w:rFonts w:hint="eastAsia" w:ascii="方正仿宋简体" w:hAnsi="方正仿宋简体" w:eastAsia="方正仿宋简体" w:cs="方正仿宋简体"/>
          <w:sz w:val="32"/>
          <w:szCs w:val="32"/>
          <w:highlight w:val="none"/>
          <w:lang w:val="fr-FR" w:eastAsia="zh-CN"/>
        </w:rPr>
        <w:t>”</w:t>
      </w:r>
      <w:r>
        <w:rPr>
          <w:rFonts w:hint="eastAsia" w:ascii="方正仿宋简体" w:hAnsi="方正仿宋简体" w:eastAsia="方正仿宋简体" w:cs="方正仿宋简体"/>
          <w:sz w:val="32"/>
          <w:szCs w:val="32"/>
          <w:highlight w:val="none"/>
          <w:lang w:val="fr-FR"/>
        </w:rPr>
        <w:t>的实际情况，对该项目进行绩效评价，并出具绩效评价报告，现将相关情况报告如下：</w:t>
      </w:r>
    </w:p>
    <w:bookmarkEnd w:id="8"/>
    <w:bookmarkEnd w:id="9"/>
    <w:bookmarkEnd w:id="10"/>
    <w:p w14:paraId="0E2336A4">
      <w:pPr>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1" w:name="_Toc8555"/>
      <w:bookmarkStart w:id="12" w:name="_Toc12185"/>
      <w:bookmarkStart w:id="13" w:name="_Toc1399960540"/>
      <w:bookmarkStart w:id="14" w:name="_Toc839625728"/>
      <w:bookmarkStart w:id="15" w:name="_Toc1220804308"/>
      <w:bookmarkStart w:id="16" w:name="_Toc10380"/>
      <w:bookmarkStart w:id="17" w:name="_Toc11115"/>
      <w:r>
        <w:rPr>
          <w:rFonts w:hint="eastAsia" w:ascii="方正黑体简体" w:hAnsi="方正黑体简体" w:eastAsia="方正黑体简体" w:cs="方正黑体简体"/>
          <w:color w:val="000000"/>
          <w:kern w:val="0"/>
          <w:sz w:val="32"/>
          <w:szCs w:val="32"/>
          <w:highlight w:val="none"/>
          <w:shd w:val="clear" w:color="auto" w:fill="FFFFFF"/>
        </w:rPr>
        <w:t>一、</w:t>
      </w:r>
      <w:bookmarkEnd w:id="11"/>
      <w:r>
        <w:rPr>
          <w:rFonts w:hint="eastAsia" w:ascii="方正黑体简体" w:hAnsi="方正黑体简体" w:eastAsia="方正黑体简体" w:cs="方正黑体简体"/>
          <w:color w:val="000000"/>
          <w:kern w:val="0"/>
          <w:sz w:val="32"/>
          <w:szCs w:val="32"/>
          <w:highlight w:val="none"/>
          <w:shd w:val="clear" w:color="auto" w:fill="FFFFFF"/>
        </w:rPr>
        <w:t>项目基本情况</w:t>
      </w:r>
      <w:bookmarkEnd w:id="12"/>
      <w:bookmarkEnd w:id="13"/>
      <w:bookmarkEnd w:id="14"/>
      <w:bookmarkEnd w:id="15"/>
      <w:bookmarkEnd w:id="16"/>
      <w:bookmarkEnd w:id="17"/>
    </w:p>
    <w:p w14:paraId="6A929472">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rPr>
      </w:pPr>
      <w:bookmarkStart w:id="18" w:name="_Toc16549"/>
      <w:bookmarkStart w:id="19" w:name="_Toc30550"/>
      <w:bookmarkStart w:id="20" w:name="_Toc102061818"/>
      <w:bookmarkStart w:id="21" w:name="_Toc2076172284"/>
      <w:bookmarkStart w:id="22" w:name="_Toc28085"/>
      <w:bookmarkStart w:id="23" w:name="_Toc4736"/>
      <w:bookmarkStart w:id="24" w:name="_Toc431776514"/>
      <w:r>
        <w:rPr>
          <w:rFonts w:hint="eastAsia" w:ascii="方正楷体简体" w:hAnsi="方正楷体简体" w:eastAsia="方正楷体简体" w:cs="方正楷体简体"/>
          <w:sz w:val="32"/>
          <w:szCs w:val="32"/>
          <w:highlight w:val="none"/>
          <w:lang w:val="zh-CN"/>
        </w:rPr>
        <w:t>（一）</w:t>
      </w:r>
      <w:bookmarkEnd w:id="18"/>
      <w:r>
        <w:rPr>
          <w:rFonts w:hint="eastAsia" w:ascii="方正楷体简体" w:hAnsi="方正楷体简体" w:eastAsia="方正楷体简体" w:cs="方正楷体简体"/>
          <w:sz w:val="32"/>
          <w:szCs w:val="32"/>
          <w:highlight w:val="none"/>
        </w:rPr>
        <w:t>项目概况</w:t>
      </w:r>
      <w:bookmarkEnd w:id="19"/>
      <w:bookmarkEnd w:id="20"/>
      <w:bookmarkEnd w:id="21"/>
      <w:bookmarkEnd w:id="22"/>
      <w:bookmarkEnd w:id="23"/>
      <w:bookmarkEnd w:id="24"/>
    </w:p>
    <w:p w14:paraId="705C4D63">
      <w:pPr>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highlight w:val="none"/>
        </w:rPr>
      </w:pPr>
      <w:bookmarkStart w:id="25" w:name="_Toc12470"/>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.被评价单位</w:t>
      </w:r>
    </w:p>
    <w:p w14:paraId="566B4ACB">
      <w:pPr>
        <w:pStyle w:val="2"/>
        <w:pageBreakBefore w:val="0"/>
        <w:kinsoku/>
        <w:wordWrap/>
        <w:overflowPunct/>
        <w:topLinePunct w:val="0"/>
        <w:autoSpaceDE/>
        <w:autoSpaceDN/>
        <w:bidi w:val="0"/>
        <w:spacing w:after="0" w:line="600" w:lineRule="exact"/>
        <w:ind w:left="0" w:left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    泸定县教育和体育局，机构性质：机关；统一社会信用代码：</w:t>
      </w:r>
      <w:r>
        <w:rPr>
          <w:rFonts w:hint="default" w:ascii="Times New Roman" w:hAnsi="Times New Roman" w:eastAsia="方正仿宋简体" w:cs="Times New Roman"/>
          <w:sz w:val="32"/>
          <w:szCs w:val="32"/>
          <w:highlight w:val="none"/>
        </w:rPr>
        <w:t>11513322008978206</w:t>
      </w:r>
      <w:r>
        <w:rPr>
          <w:rFonts w:hint="eastAsia" w:ascii="方正仿宋简体" w:hAnsi="方正仿宋简体" w:eastAsia="方正仿宋简体" w:cs="方正仿宋简体"/>
          <w:sz w:val="32"/>
          <w:szCs w:val="32"/>
          <w:highlight w:val="none"/>
        </w:rPr>
        <w:t>Q</w:t>
      </w:r>
      <w:r>
        <w:rPr>
          <w:rFonts w:hint="eastAsia" w:ascii="方正仿宋简体" w:hAnsi="方正仿宋简体" w:eastAsia="方正仿宋简体" w:cs="方正仿宋简体"/>
          <w:sz w:val="32"/>
          <w:szCs w:val="32"/>
          <w:highlight w:val="none"/>
          <w:lang w:eastAsia="zh-CN"/>
        </w:rPr>
        <w:t>，机构地址：泸定县</w:t>
      </w:r>
      <w:r>
        <w:rPr>
          <w:rFonts w:hint="eastAsia" w:ascii="方正仿宋简体" w:hAnsi="方正仿宋简体" w:eastAsia="方正仿宋简体" w:cs="方正仿宋简体"/>
          <w:sz w:val="32"/>
          <w:szCs w:val="32"/>
          <w:highlight w:val="none"/>
          <w:lang w:val="en-US" w:eastAsia="zh-CN"/>
        </w:rPr>
        <w:t>泸</w:t>
      </w:r>
      <w:r>
        <w:rPr>
          <w:rFonts w:hint="eastAsia" w:ascii="方正仿宋简体" w:hAnsi="方正仿宋简体" w:eastAsia="方正仿宋简体" w:cs="方正仿宋简体"/>
          <w:sz w:val="32"/>
          <w:szCs w:val="32"/>
          <w:highlight w:val="none"/>
          <w:lang w:eastAsia="zh-CN"/>
        </w:rPr>
        <w:t>桥镇延安路</w:t>
      </w:r>
      <w:r>
        <w:rPr>
          <w:rFonts w:hint="default" w:ascii="Times New Roman" w:hAnsi="Times New Roman" w:eastAsia="方正仿宋简体" w:cs="Times New Roman"/>
          <w:sz w:val="32"/>
          <w:szCs w:val="32"/>
          <w:highlight w:val="none"/>
          <w:lang w:eastAsia="zh-CN"/>
        </w:rPr>
        <w:t>86</w:t>
      </w:r>
      <w:r>
        <w:rPr>
          <w:rFonts w:hint="eastAsia" w:ascii="方正仿宋简体" w:hAnsi="方正仿宋简体" w:eastAsia="方正仿宋简体" w:cs="方正仿宋简体"/>
          <w:sz w:val="32"/>
          <w:szCs w:val="32"/>
          <w:highlight w:val="none"/>
          <w:lang w:eastAsia="zh-CN"/>
        </w:rPr>
        <w:t>号；负责人：王德光</w:t>
      </w:r>
      <w:r>
        <w:rPr>
          <w:rFonts w:hint="eastAsia" w:ascii="方正仿宋简体" w:hAnsi="方正仿宋简体" w:eastAsia="方正仿宋简体" w:cs="方正仿宋简体"/>
          <w:sz w:val="32"/>
          <w:szCs w:val="32"/>
          <w:highlight w:val="none"/>
        </w:rPr>
        <w:t>。</w:t>
      </w:r>
    </w:p>
    <w:p w14:paraId="51C07289">
      <w:pPr>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.项目背景</w:t>
      </w:r>
      <w:bookmarkEnd w:id="25"/>
    </w:p>
    <w:p w14:paraId="01F664EB">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6" w:name="_Hlk143095508"/>
      <w:r>
        <w:rPr>
          <w:rFonts w:hint="eastAsia" w:ascii="方正仿宋简体" w:hAnsi="方正仿宋简体" w:eastAsia="方正仿宋简体" w:cs="方正仿宋简体"/>
          <w:sz w:val="32"/>
          <w:szCs w:val="32"/>
          <w:highlight w:val="none"/>
          <w:lang w:val="en-US" w:eastAsia="zh-CN"/>
        </w:rPr>
        <w:t>为切实推进</w:t>
      </w:r>
      <w:r>
        <w:rPr>
          <w:rFonts w:hint="eastAsia" w:ascii="方正仿宋简体" w:hAnsi="方正仿宋简体" w:eastAsia="方正仿宋简体" w:cs="方正仿宋简体"/>
          <w:sz w:val="32"/>
          <w:szCs w:val="32"/>
          <w:highlight w:val="none"/>
        </w:rPr>
        <w:t>甘孜藏族自治州教育和体育局《关于加快高考综合改革设施设备及标准化考场建设工作的通知》</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甘教体函〔</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1139</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及甘孜藏族自治州大学中专招生委员会办公室《关于加快推进标准化考场及国家教育考试防作弊系统建设的通知》</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甘招办〔</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43</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等文件</w:t>
      </w:r>
      <w:r>
        <w:rPr>
          <w:rFonts w:hint="eastAsia" w:ascii="方正仿宋简体" w:hAnsi="方正仿宋简体" w:eastAsia="方正仿宋简体" w:cs="方正仿宋简体"/>
          <w:sz w:val="32"/>
          <w:szCs w:val="32"/>
          <w:highlight w:val="none"/>
          <w:lang w:val="en-US" w:eastAsia="zh-CN"/>
        </w:rPr>
        <w:t>关于</w:t>
      </w:r>
      <w:r>
        <w:rPr>
          <w:rFonts w:hint="eastAsia" w:ascii="方正仿宋简体" w:hAnsi="方正仿宋简体" w:eastAsia="方正仿宋简体" w:cs="方正仿宋简体"/>
          <w:sz w:val="32"/>
          <w:szCs w:val="32"/>
          <w:highlight w:val="none"/>
        </w:rPr>
        <w:t>全州高考综合改革相关工作，确保标准化考场建设达标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实施高考综合改革标准化考场建设实施设备采购项目</w:t>
      </w:r>
      <w:r>
        <w:rPr>
          <w:rFonts w:hint="eastAsia" w:ascii="方正仿宋简体" w:hAnsi="方正仿宋简体" w:eastAsia="方正仿宋简体" w:cs="方正仿宋简体"/>
          <w:sz w:val="32"/>
          <w:szCs w:val="32"/>
          <w:highlight w:val="none"/>
          <w:lang w:eastAsia="zh-CN"/>
        </w:rPr>
        <w:t>，主要</w:t>
      </w:r>
      <w:r>
        <w:rPr>
          <w:rFonts w:hint="eastAsia" w:ascii="方正仿宋简体" w:hAnsi="方正仿宋简体" w:eastAsia="方正仿宋简体" w:cs="方正仿宋简体"/>
          <w:sz w:val="32"/>
          <w:szCs w:val="32"/>
          <w:highlight w:val="none"/>
          <w:lang w:val="en-US" w:eastAsia="zh-CN"/>
        </w:rPr>
        <w:t>实施内容为：在县两所高中进行标准化考场改造，建立防作弊教室</w:t>
      </w:r>
      <w:r>
        <w:rPr>
          <w:rFonts w:hint="default" w:ascii="Times New Roman" w:hAnsi="Times New Roman" w:eastAsia="方正仿宋简体" w:cs="Times New Roman"/>
          <w:sz w:val="32"/>
          <w:szCs w:val="32"/>
          <w:highlight w:val="none"/>
          <w:lang w:val="en-US" w:eastAsia="zh-CN"/>
        </w:rPr>
        <w:t>66</w:t>
      </w:r>
      <w:r>
        <w:rPr>
          <w:rFonts w:hint="eastAsia" w:ascii="方正仿宋简体" w:hAnsi="方正仿宋简体" w:eastAsia="方正仿宋简体" w:cs="方正仿宋简体"/>
          <w:sz w:val="32"/>
          <w:szCs w:val="32"/>
          <w:highlight w:val="none"/>
          <w:lang w:val="en-US" w:eastAsia="zh-CN"/>
        </w:rPr>
        <w:t>间，标准化考场建设</w:t>
      </w:r>
      <w:r>
        <w:rPr>
          <w:rFonts w:hint="default" w:ascii="Times New Roman" w:hAnsi="Times New Roman" w:eastAsia="方正仿宋简体" w:cs="Times New Roman"/>
          <w:sz w:val="32"/>
          <w:szCs w:val="32"/>
          <w:highlight w:val="none"/>
          <w:lang w:val="en-US" w:eastAsia="zh-CN"/>
        </w:rPr>
        <w:t>33</w:t>
      </w:r>
      <w:r>
        <w:rPr>
          <w:rFonts w:hint="eastAsia" w:ascii="方正仿宋简体" w:hAnsi="方正仿宋简体" w:eastAsia="方正仿宋简体" w:cs="方正仿宋简体"/>
          <w:sz w:val="32"/>
          <w:szCs w:val="32"/>
          <w:highlight w:val="none"/>
          <w:lang w:val="en-US" w:eastAsia="zh-CN"/>
        </w:rPr>
        <w:t>间，采购相应的设施设备一批</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bookmarkEnd w:id="26"/>
    <w:p w14:paraId="3E802C49">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.项目实施情况</w:t>
      </w:r>
    </w:p>
    <w:p w14:paraId="7E7D621F">
      <w:pPr>
        <w:pStyle w:val="2"/>
        <w:pageBreakBefore w:val="0"/>
        <w:kinsoku/>
        <w:wordWrap/>
        <w:overflowPunct/>
        <w:topLinePunct w:val="0"/>
        <w:autoSpaceDE/>
        <w:autoSpaceDN/>
        <w:bidi w:val="0"/>
        <w:spacing w:after="0" w:line="600" w:lineRule="exact"/>
        <w:ind w:left="0" w:leftChars="0" w:firstLine="640" w:firstLineChars="200"/>
        <w:jc w:val="left"/>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泸定县教育和体育局</w:t>
      </w:r>
      <w:bookmarkStart w:id="27" w:name="_Toc1137465073"/>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根据《关于加快高考综合改革设施设备及标准化考场建设工作的通知》（甘教体函〔</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2022</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1139</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号）及甘孜藏族自治州大学中专招生委员会办公室《关于加快推进标准化考场及国家教育考试防作弊系统建设的通知》（甘招办〔</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2022</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43</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号）等文件要求，结合泸定县教育实际情况，在县两所高中进行标准化考场改造，建立防作弊教室</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66</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间，标准化考场建设</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33</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间，特采购相应的设施设备一批，截至</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年</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12</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月</w:t>
      </w:r>
      <w:r>
        <w:rPr>
          <w:rFonts w:hint="default" w:ascii="Times New Roman" w:hAnsi="Times New Roman" w:eastAsia="方正仿宋简体" w:cs="Times New Roman"/>
          <w:color w:val="000000" w:themeColor="text1"/>
          <w:kern w:val="2"/>
          <w:sz w:val="32"/>
          <w:szCs w:val="32"/>
          <w:highlight w:val="none"/>
          <w:lang w:val="en-US" w:eastAsia="zh-CN"/>
          <w14:textFill>
            <w14:solidFill>
              <w14:schemeClr w14:val="tx1"/>
            </w14:solidFill>
          </w14:textFill>
        </w:rPr>
        <w:t>31</w:t>
      </w:r>
      <w:r>
        <w:rPr>
          <w:rFonts w:hint="eastAsia" w:ascii="方正仿宋简体" w:hAnsi="方正仿宋简体" w:eastAsia="方正仿宋简体" w:cs="方正仿宋简体"/>
          <w:color w:val="000000" w:themeColor="text1"/>
          <w:kern w:val="2"/>
          <w:sz w:val="32"/>
          <w:szCs w:val="32"/>
          <w:highlight w:val="none"/>
          <w:lang w:val="en-US" w:eastAsia="zh-CN"/>
          <w14:textFill>
            <w14:solidFill>
              <w14:schemeClr w14:val="tx1"/>
            </w14:solidFill>
          </w14:textFill>
        </w:rPr>
        <w:t>日，项目相关采购程序完整，实施内容、设施设备已全部验收并投入使用，建设资产使用效益发挥良好，运行正常，能够满足全县对高考工作的标准化统一要求</w:t>
      </w:r>
      <w:r>
        <w:rPr>
          <w:rFonts w:hint="eastAsia" w:ascii="方正仿宋简体" w:hAnsi="方正仿宋简体" w:eastAsia="方正仿宋简体" w:cs="方正仿宋简体"/>
          <w:color w:val="000000" w:themeColor="text1"/>
          <w:kern w:val="2"/>
          <w:sz w:val="32"/>
          <w:szCs w:val="32"/>
          <w:highlight w:val="none"/>
          <w14:textFill>
            <w14:solidFill>
              <w14:schemeClr w14:val="tx1"/>
            </w14:solidFill>
          </w14:textFill>
        </w:rPr>
        <w:t>。</w:t>
      </w:r>
    </w:p>
    <w:p w14:paraId="24499256">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zh-CN"/>
        </w:rPr>
      </w:pPr>
      <w:bookmarkStart w:id="28" w:name="_Toc373335861"/>
      <w:bookmarkStart w:id="29" w:name="_Toc11275"/>
      <w:bookmarkStart w:id="30" w:name="_Toc1872624354"/>
      <w:bookmarkStart w:id="31" w:name="_Toc7811"/>
      <w:r>
        <w:rPr>
          <w:rFonts w:hint="eastAsia" w:ascii="方正楷体简体" w:hAnsi="方正楷体简体" w:eastAsia="方正楷体简体" w:cs="方正楷体简体"/>
          <w:sz w:val="32"/>
          <w:szCs w:val="32"/>
          <w:highlight w:val="none"/>
          <w:lang w:val="zh-CN"/>
        </w:rPr>
        <w:t>（二）资金投入及使用情况</w:t>
      </w:r>
      <w:bookmarkEnd w:id="27"/>
      <w:bookmarkEnd w:id="28"/>
      <w:bookmarkEnd w:id="29"/>
      <w:bookmarkEnd w:id="30"/>
      <w:bookmarkEnd w:id="31"/>
    </w:p>
    <w:p w14:paraId="5AE5B0D7">
      <w:pPr>
        <w:pageBreakBefore w:val="0"/>
        <w:widowControl/>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32" w:name="_Toc92"/>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全州高考改革标准化考场建设</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年县级财政支出项目申请财政资金</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453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825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万元，其中年初预算县配套资金</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180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万元，泸财教〔</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2022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82</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号文件安排上级补助资金</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273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825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万元，实际到位资金</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453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825</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万元，共计支出</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453</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CN"/>
          <w14:textFill>
            <w14:solidFill>
              <w14:schemeClr w14:val="tx1"/>
            </w14:solidFill>
          </w14:textFill>
        </w:rPr>
        <w:t>59</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5074698B">
      <w:pPr>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33" w:name="_Toc16650"/>
      <w:bookmarkStart w:id="34" w:name="_Toc1475229012"/>
      <w:bookmarkStart w:id="35" w:name="_Toc2013461402"/>
      <w:bookmarkStart w:id="36" w:name="_Toc823786307"/>
      <w:bookmarkStart w:id="37" w:name="_Toc19424"/>
      <w:r>
        <w:rPr>
          <w:rFonts w:hint="eastAsia" w:ascii="方正黑体简体" w:hAnsi="方正黑体简体" w:eastAsia="方正黑体简体" w:cs="方正黑体简体"/>
          <w:color w:val="000000"/>
          <w:kern w:val="0"/>
          <w:sz w:val="32"/>
          <w:szCs w:val="32"/>
          <w:highlight w:val="none"/>
          <w:shd w:val="clear" w:color="auto" w:fill="FFFFFF"/>
        </w:rPr>
        <w:t>二、评价工作开展情况</w:t>
      </w:r>
      <w:bookmarkEnd w:id="32"/>
      <w:bookmarkEnd w:id="33"/>
      <w:bookmarkEnd w:id="34"/>
      <w:bookmarkEnd w:id="35"/>
      <w:bookmarkEnd w:id="36"/>
      <w:bookmarkEnd w:id="37"/>
    </w:p>
    <w:p w14:paraId="04485974">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zh-CN"/>
        </w:rPr>
      </w:pPr>
      <w:bookmarkStart w:id="38" w:name="_Toc20491"/>
      <w:bookmarkStart w:id="39" w:name="_Toc26040"/>
      <w:bookmarkStart w:id="40" w:name="_Toc3977"/>
      <w:bookmarkStart w:id="41" w:name="_Toc552897559"/>
      <w:bookmarkStart w:id="42" w:name="_Toc1526787527"/>
      <w:bookmarkStart w:id="43" w:name="_Toc374873874"/>
      <w:r>
        <w:rPr>
          <w:rFonts w:hint="eastAsia" w:ascii="方正楷体简体" w:hAnsi="方正楷体简体" w:eastAsia="方正楷体简体" w:cs="方正楷体简体"/>
          <w:sz w:val="32"/>
          <w:szCs w:val="32"/>
          <w:highlight w:val="none"/>
          <w:lang w:val="zh-CN"/>
        </w:rPr>
        <w:t>（一）评价范围</w:t>
      </w:r>
      <w:bookmarkEnd w:id="38"/>
      <w:bookmarkEnd w:id="39"/>
      <w:bookmarkEnd w:id="40"/>
      <w:bookmarkEnd w:id="41"/>
      <w:bookmarkEnd w:id="42"/>
      <w:bookmarkEnd w:id="43"/>
    </w:p>
    <w:p w14:paraId="68DE9746">
      <w:pPr>
        <w:pStyle w:val="2"/>
        <w:pageBreakBefore w:val="0"/>
        <w:kinsoku/>
        <w:wordWrap/>
        <w:overflowPunct/>
        <w:topLinePunct w:val="0"/>
        <w:autoSpaceDE/>
        <w:autoSpaceDN/>
        <w:bidi w:val="0"/>
        <w:spacing w:after="0" w:line="600" w:lineRule="exact"/>
        <w:ind w:left="0" w:leftChars="0" w:firstLine="640" w:firstLineChars="200"/>
        <w:rPr>
          <w:rFonts w:hint="eastAsia" w:ascii="方正仿宋简体" w:hAnsi="方正仿宋简体" w:eastAsia="方正仿宋简体" w:cs="方正仿宋简体"/>
          <w:color w:val="000000"/>
          <w:kern w:val="2"/>
          <w:sz w:val="32"/>
          <w:szCs w:val="32"/>
          <w:highlight w:val="none"/>
          <w:shd w:val="clear" w:color="auto" w:fill="FFFFFF"/>
          <w:lang w:eastAsia="zh-CN"/>
        </w:rPr>
      </w:pPr>
      <w:r>
        <w:rPr>
          <w:rFonts w:hint="eastAsia" w:ascii="方正仿宋简体" w:hAnsi="方正仿宋简体" w:eastAsia="方正仿宋简体" w:cs="方正仿宋简体"/>
          <w:color w:val="000000"/>
          <w:kern w:val="2"/>
          <w:sz w:val="32"/>
          <w:szCs w:val="32"/>
          <w:highlight w:val="none"/>
          <w:shd w:val="clear" w:color="auto" w:fill="FFFFFF"/>
        </w:rPr>
        <w:t>对泸定县教育和体育局</w:t>
      </w:r>
      <w:r>
        <w:rPr>
          <w:rFonts w:hint="eastAsia" w:ascii="方正仿宋简体" w:hAnsi="方正仿宋简体" w:eastAsia="方正仿宋简体" w:cs="方正仿宋简体"/>
          <w:color w:val="000000"/>
          <w:kern w:val="2"/>
          <w:sz w:val="32"/>
          <w:szCs w:val="32"/>
          <w:highlight w:val="none"/>
          <w:shd w:val="clear" w:color="auto" w:fill="FFFFFF"/>
          <w:lang w:eastAsia="zh-CN"/>
        </w:rPr>
        <w:t>全州高考改革标准化考场建设</w:t>
      </w:r>
      <w:r>
        <w:rPr>
          <w:rFonts w:hint="default" w:ascii="Times New Roman" w:hAnsi="Times New Roman" w:eastAsia="方正仿宋简体" w:cs="Times New Roman"/>
          <w:color w:val="000000"/>
          <w:kern w:val="2"/>
          <w:sz w:val="32"/>
          <w:szCs w:val="32"/>
          <w:highlight w:val="none"/>
          <w:shd w:val="clear" w:color="auto" w:fill="FFFFFF"/>
          <w:lang w:eastAsia="zh-CN"/>
        </w:rPr>
        <w:t>2023</w:t>
      </w:r>
      <w:r>
        <w:rPr>
          <w:rFonts w:hint="eastAsia" w:ascii="方正仿宋简体" w:hAnsi="方正仿宋简体" w:eastAsia="方正仿宋简体" w:cs="方正仿宋简体"/>
          <w:color w:val="000000"/>
          <w:kern w:val="2"/>
          <w:sz w:val="32"/>
          <w:szCs w:val="32"/>
          <w:highlight w:val="none"/>
          <w:shd w:val="clear" w:color="auto" w:fill="FFFFFF"/>
          <w:lang w:eastAsia="zh-CN"/>
        </w:rPr>
        <w:t>年</w:t>
      </w:r>
      <w:r>
        <w:rPr>
          <w:rFonts w:hint="eastAsia" w:ascii="方正仿宋简体" w:hAnsi="方正仿宋简体" w:eastAsia="方正仿宋简体" w:cs="方正仿宋简体"/>
          <w:color w:val="000000"/>
          <w:kern w:val="2"/>
          <w:sz w:val="32"/>
          <w:szCs w:val="32"/>
          <w:highlight w:val="none"/>
          <w:shd w:val="clear" w:color="auto" w:fill="FFFFFF"/>
        </w:rPr>
        <w:t>县级财政支出项目进行绩效评价</w:t>
      </w:r>
      <w:r>
        <w:rPr>
          <w:rFonts w:hint="eastAsia" w:ascii="方正仿宋简体" w:hAnsi="方正仿宋简体" w:eastAsia="方正仿宋简体" w:cs="方正仿宋简体"/>
          <w:color w:val="000000"/>
          <w:kern w:val="2"/>
          <w:sz w:val="32"/>
          <w:szCs w:val="32"/>
          <w:highlight w:val="none"/>
          <w:shd w:val="clear" w:color="auto" w:fill="FFFFFF"/>
          <w:lang w:eastAsia="zh-CN"/>
        </w:rPr>
        <w:t>。</w:t>
      </w:r>
    </w:p>
    <w:p w14:paraId="37458BFB">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zh-CN"/>
        </w:rPr>
      </w:pPr>
      <w:bookmarkStart w:id="44" w:name="_Toc23930"/>
      <w:r>
        <w:rPr>
          <w:rFonts w:hint="eastAsia" w:ascii="方正楷体简体" w:hAnsi="方正楷体简体" w:eastAsia="方正楷体简体" w:cs="方正楷体简体"/>
          <w:sz w:val="32"/>
          <w:szCs w:val="32"/>
          <w:highlight w:val="none"/>
          <w:lang w:val="zh-CN"/>
        </w:rPr>
        <w:t>（二）评价目的</w:t>
      </w:r>
      <w:bookmarkEnd w:id="44"/>
    </w:p>
    <w:p w14:paraId="1AC1AD53">
      <w:pPr>
        <w:pStyle w:val="2"/>
        <w:pageBreakBefore w:val="0"/>
        <w:kinsoku/>
        <w:wordWrap/>
        <w:overflowPunct/>
        <w:topLinePunct w:val="0"/>
        <w:autoSpaceDE/>
        <w:autoSpaceDN/>
        <w:bidi w:val="0"/>
        <w:spacing w:after="0" w:line="600" w:lineRule="exact"/>
        <w:ind w:left="0" w:leftChars="0" w:firstLine="561"/>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通过对</w:t>
      </w:r>
      <w:r>
        <w:rPr>
          <w:rFonts w:hint="eastAsia" w:ascii="方正仿宋简体" w:hAnsi="方正仿宋简体" w:eastAsia="方正仿宋简体" w:cs="方正仿宋简体"/>
          <w:sz w:val="32"/>
          <w:szCs w:val="32"/>
          <w:highlight w:val="none"/>
          <w:lang w:eastAsia="zh-CN"/>
        </w:rPr>
        <w:t>全州高考改革标准化考场建设</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w:t>
      </w:r>
      <w:r>
        <w:rPr>
          <w:rFonts w:hint="eastAsia" w:ascii="方正仿宋简体" w:hAnsi="方正仿宋简体" w:eastAsia="方正仿宋简体" w:cs="方正仿宋简体"/>
          <w:sz w:val="32"/>
          <w:szCs w:val="32"/>
          <w:highlight w:val="none"/>
        </w:rPr>
        <w:t>县级财政支出项目进行绩效评价，发现项目实施过程存在的问题，并督促被评价单位及时整改。同时对</w:t>
      </w:r>
      <w:r>
        <w:rPr>
          <w:rFonts w:hint="eastAsia" w:ascii="方正仿宋简体" w:hAnsi="方正仿宋简体" w:eastAsia="方正仿宋简体" w:cs="方正仿宋简体"/>
          <w:sz w:val="32"/>
          <w:szCs w:val="32"/>
          <w:highlight w:val="none"/>
          <w:lang w:eastAsia="zh-CN"/>
        </w:rPr>
        <w:t>全州高考改革标准化考场建设</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w:t>
      </w:r>
      <w:r>
        <w:rPr>
          <w:rFonts w:hint="eastAsia" w:ascii="方正仿宋简体" w:hAnsi="方正仿宋简体" w:eastAsia="方正仿宋简体" w:cs="方正仿宋简体"/>
          <w:sz w:val="32"/>
          <w:szCs w:val="32"/>
          <w:highlight w:val="none"/>
        </w:rPr>
        <w:t>县级财政支出项目绩效评价主要目的是发挥绩效评价对决策信息的反馈作用，建立一种科学、明确的绩效目标作为预算编制依据，将绩效评价融入整个预算编制过程，为规范和加强财政支出管理，强化支出责任，建立科学、规范的财政支出绩效评价管理体系，提高财政资金使用效益</w:t>
      </w:r>
      <w:r>
        <w:rPr>
          <w:rFonts w:hint="eastAsia" w:ascii="方正仿宋简体" w:hAnsi="方正仿宋简体" w:eastAsia="方正仿宋简体" w:cs="方正仿宋简体"/>
          <w:color w:val="000000"/>
          <w:sz w:val="32"/>
          <w:szCs w:val="32"/>
          <w:highlight w:val="none"/>
          <w:shd w:val="clear" w:color="auto" w:fill="FFFFFF"/>
        </w:rPr>
        <w:t>。</w:t>
      </w:r>
      <w:bookmarkStart w:id="45" w:name="_Toc25044"/>
    </w:p>
    <w:p w14:paraId="18AA5C1D">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zh-CN"/>
        </w:rPr>
      </w:pPr>
      <w:bookmarkStart w:id="46" w:name="_Toc69892372"/>
      <w:bookmarkStart w:id="47" w:name="_Toc695837166"/>
      <w:bookmarkStart w:id="48" w:name="_Toc256358140"/>
      <w:bookmarkStart w:id="49" w:name="_Toc4506"/>
      <w:bookmarkStart w:id="50" w:name="_Toc27467"/>
      <w:r>
        <w:rPr>
          <w:rFonts w:hint="eastAsia" w:ascii="方正楷体简体" w:hAnsi="方正楷体简体" w:eastAsia="方正楷体简体" w:cs="方正楷体简体"/>
          <w:sz w:val="32"/>
          <w:szCs w:val="32"/>
          <w:highlight w:val="none"/>
          <w:lang w:val="zh-CN"/>
        </w:rPr>
        <w:t>（三）</w:t>
      </w:r>
      <w:bookmarkEnd w:id="45"/>
      <w:bookmarkEnd w:id="46"/>
      <w:bookmarkEnd w:id="47"/>
      <w:bookmarkEnd w:id="48"/>
      <w:bookmarkEnd w:id="49"/>
      <w:r>
        <w:rPr>
          <w:rFonts w:hint="eastAsia" w:ascii="方正楷体简体" w:hAnsi="方正楷体简体" w:eastAsia="方正楷体简体" w:cs="方正楷体简体"/>
          <w:sz w:val="32"/>
          <w:szCs w:val="32"/>
          <w:highlight w:val="none"/>
          <w:lang w:val="zh-CN"/>
        </w:rPr>
        <w:t>评价依据</w:t>
      </w:r>
      <w:bookmarkEnd w:id="50"/>
    </w:p>
    <w:p w14:paraId="41C170CA">
      <w:pPr>
        <w:pStyle w:val="2"/>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highlight w:val="none"/>
        </w:rPr>
      </w:pPr>
      <w:bookmarkStart w:id="51" w:name="_Toc1431999818"/>
      <w:bookmarkStart w:id="52" w:name="_Toc24122"/>
      <w:bookmarkStart w:id="53" w:name="_Toc12644"/>
      <w:bookmarkStart w:id="54" w:name="_Toc1283387961"/>
      <w:bookmarkStart w:id="55" w:name="_Toc2131644227"/>
      <w:r>
        <w:rPr>
          <w:rFonts w:hint="eastAsia" w:ascii="方正仿宋简体" w:hAnsi="方正仿宋简体" w:eastAsia="方正仿宋简体" w:cs="方正仿宋简体"/>
          <w:sz w:val="32"/>
          <w:szCs w:val="32"/>
          <w:highlight w:val="none"/>
        </w:rPr>
        <w:t>《关于推进预算绩效管理的指导意见》（财预〔</w:t>
      </w:r>
      <w:r>
        <w:rPr>
          <w:rFonts w:hint="default" w:ascii="Times New Roman" w:hAnsi="Times New Roman" w:eastAsia="方正仿宋简体" w:cs="Times New Roman"/>
          <w:sz w:val="32"/>
          <w:szCs w:val="32"/>
          <w:highlight w:val="none"/>
        </w:rPr>
        <w:t>2011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416</w:t>
      </w:r>
      <w:r>
        <w:rPr>
          <w:rFonts w:hint="eastAsia" w:ascii="方正仿宋简体" w:hAnsi="方正仿宋简体" w:eastAsia="方正仿宋简体" w:cs="方正仿宋简体"/>
          <w:sz w:val="32"/>
          <w:szCs w:val="32"/>
          <w:highlight w:val="none"/>
        </w:rPr>
        <w:t>号）；</w:t>
      </w:r>
    </w:p>
    <w:p w14:paraId="44DDEF18">
      <w:pPr>
        <w:pStyle w:val="2"/>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《财政部〈关于印发项目支出绩效评价管理办法〉的通知》（财预〔</w:t>
      </w:r>
      <w:r>
        <w:rPr>
          <w:rFonts w:hint="default" w:ascii="Times New Roman" w:hAnsi="Times New Roman" w:eastAsia="方正仿宋简体" w:cs="Times New Roman"/>
          <w:sz w:val="32"/>
          <w:szCs w:val="32"/>
          <w:highlight w:val="none"/>
        </w:rPr>
        <w:t>2020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号）；</w:t>
      </w:r>
    </w:p>
    <w:p w14:paraId="41BB57DE">
      <w:pPr>
        <w:pStyle w:val="2"/>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《中共中央 国务院关于全面实施预算绩效管理的意见》（中发〔</w:t>
      </w:r>
      <w:r>
        <w:rPr>
          <w:rFonts w:hint="default" w:ascii="Times New Roman" w:hAnsi="Times New Roman" w:eastAsia="方正仿宋简体" w:cs="Times New Roman"/>
          <w:sz w:val="32"/>
          <w:szCs w:val="32"/>
          <w:highlight w:val="none"/>
        </w:rPr>
        <w:t>2018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34</w:t>
      </w:r>
      <w:r>
        <w:rPr>
          <w:rFonts w:hint="eastAsia" w:ascii="方正仿宋简体" w:hAnsi="方正仿宋简体" w:eastAsia="方正仿宋简体" w:cs="方正仿宋简体"/>
          <w:sz w:val="32"/>
          <w:szCs w:val="32"/>
          <w:highlight w:val="none"/>
        </w:rPr>
        <w:t>号）；</w:t>
      </w:r>
    </w:p>
    <w:p w14:paraId="31BDACDE">
      <w:pPr>
        <w:pStyle w:val="2"/>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《中共四川省委 四川省人民政府关于全面实施预算绩效管理的实施意见》（川委发〔</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 xml:space="preserve"> 号）；</w:t>
      </w:r>
    </w:p>
    <w:p w14:paraId="56D964E1">
      <w:pPr>
        <w:pStyle w:val="2"/>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《四川省省级项目支出绩效管理办法》（川财绩〔</w:t>
      </w:r>
      <w:r>
        <w:rPr>
          <w:rFonts w:hint="default" w:ascii="Times New Roman" w:hAnsi="Times New Roman" w:eastAsia="方正仿宋简体" w:cs="Times New Roman"/>
          <w:sz w:val="32"/>
          <w:szCs w:val="32"/>
          <w:highlight w:val="none"/>
        </w:rPr>
        <w:t>2019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14</w:t>
      </w:r>
      <w:r>
        <w:rPr>
          <w:rFonts w:hint="eastAsia" w:ascii="方正仿宋简体" w:hAnsi="方正仿宋简体" w:eastAsia="方正仿宋简体" w:cs="方正仿宋简体"/>
          <w:sz w:val="32"/>
          <w:szCs w:val="32"/>
          <w:highlight w:val="none"/>
        </w:rPr>
        <w:t xml:space="preserve"> 号）；</w:t>
      </w:r>
    </w:p>
    <w:p w14:paraId="2404F06A">
      <w:pPr>
        <w:pStyle w:val="2"/>
        <w:pageBreakBefore w:val="0"/>
        <w:numPr>
          <w:ilvl w:val="0"/>
          <w:numId w:val="2"/>
        </w:numPr>
        <w:kinsoku/>
        <w:wordWrap/>
        <w:overflowPunct/>
        <w:topLinePunct w:val="0"/>
        <w:autoSpaceDE/>
        <w:autoSpaceDN/>
        <w:bidi w:val="0"/>
        <w:spacing w:after="0" w:line="600" w:lineRule="exact"/>
        <w:ind w:left="0" w:leftChars="0" w:firstLine="567" w:firstLineChars="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《关于加快高考综合改革设施设备及标准化考场建设工作的通知》（甘教体函〔</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1139</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eastAsia="zh-CN"/>
        </w:rPr>
        <w:t>；</w:t>
      </w:r>
    </w:p>
    <w:p w14:paraId="2CEE7632">
      <w:pPr>
        <w:pStyle w:val="2"/>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firstLine="640" w:firstLineChars="200"/>
        <w:jc w:val="left"/>
        <w:textAlignment w:val="auto"/>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《关于加快推进标准化考场及国家教育考试防作弊系统建设的通知》（甘招办〔</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43</w:t>
      </w:r>
      <w:r>
        <w:rPr>
          <w:rFonts w:hint="eastAsia" w:ascii="方正仿宋简体" w:hAnsi="方正仿宋简体" w:eastAsia="方正仿宋简体" w:cs="方正仿宋简体"/>
          <w:sz w:val="32"/>
          <w:szCs w:val="32"/>
          <w:highlight w:val="none"/>
        </w:rPr>
        <w:t>号）</w:t>
      </w:r>
    </w:p>
    <w:p w14:paraId="1082B11A">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w:t>
      </w:r>
      <w:r>
        <w:rPr>
          <w:rFonts w:hint="eastAsia" w:ascii="方正仿宋简体" w:hAnsi="方正仿宋简体" w:eastAsia="方正仿宋简体" w:cs="方正仿宋简体"/>
          <w:sz w:val="32"/>
          <w:szCs w:val="32"/>
          <w:highlight w:val="none"/>
        </w:rPr>
        <w:t>《泸定县财政局关于开展</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年县本级财政支出项目绩效评价工作的通知》（泸财〔</w:t>
      </w:r>
      <w:r>
        <w:rPr>
          <w:rFonts w:hint="default" w:ascii="Times New Roman" w:hAnsi="Times New Roman" w:eastAsia="方正仿宋简体" w:cs="Times New Roman"/>
          <w:sz w:val="32"/>
          <w:szCs w:val="32"/>
          <w:highlight w:val="none"/>
        </w:rPr>
        <w:t>2024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41</w:t>
      </w:r>
      <w:r>
        <w:rPr>
          <w:rFonts w:hint="eastAsia" w:ascii="方正仿宋简体" w:hAnsi="方正仿宋简体" w:eastAsia="方正仿宋简体" w:cs="方正仿宋简体"/>
          <w:sz w:val="32"/>
          <w:szCs w:val="32"/>
          <w:highlight w:val="none"/>
        </w:rPr>
        <w:t>号）；</w:t>
      </w:r>
    </w:p>
    <w:p w14:paraId="724B921D">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 xml:space="preserve"> </w:t>
      </w:r>
      <w:r>
        <w:rPr>
          <w:rFonts w:hint="eastAsia" w:ascii="方正仿宋简体" w:hAnsi="方正仿宋简体" w:eastAsia="方正仿宋简体" w:cs="方正仿宋简体"/>
          <w:sz w:val="32"/>
          <w:szCs w:val="32"/>
          <w:highlight w:val="none"/>
        </w:rPr>
        <w:t>其他相关法规及操作规范。</w:t>
      </w:r>
    </w:p>
    <w:p w14:paraId="2112342C">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zh-CN"/>
        </w:rPr>
      </w:pPr>
      <w:bookmarkStart w:id="56" w:name="_Toc21419"/>
      <w:r>
        <w:rPr>
          <w:rFonts w:hint="eastAsia" w:ascii="方正楷体简体" w:hAnsi="方正楷体简体" w:eastAsia="方正楷体简体" w:cs="方正楷体简体"/>
          <w:sz w:val="32"/>
          <w:szCs w:val="32"/>
          <w:highlight w:val="none"/>
          <w:lang w:val="zh-CN"/>
        </w:rPr>
        <w:t>（四）绩效评价指标体系</w:t>
      </w:r>
      <w:bookmarkEnd w:id="56"/>
    </w:p>
    <w:p w14:paraId="1FE111B4">
      <w:pPr>
        <w:pStyle w:val="2"/>
        <w:pageBreakBefore w:val="0"/>
        <w:kinsoku/>
        <w:wordWrap/>
        <w:overflowPunct/>
        <w:topLinePunct w:val="0"/>
        <w:autoSpaceDE/>
        <w:autoSpaceDN/>
        <w:bidi w:val="0"/>
        <w:spacing w:after="0" w:line="600" w:lineRule="exact"/>
        <w:ind w:left="0" w:leftChars="0" w:firstLine="564"/>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w:t>
      </w:r>
      <w:r>
        <w:rPr>
          <w:rFonts w:hint="eastAsia" w:ascii="方正仿宋简体" w:hAnsi="方正仿宋简体" w:eastAsia="方正仿宋简体" w:cs="方正仿宋简体"/>
          <w:sz w:val="32"/>
          <w:szCs w:val="32"/>
          <w:highlight w:val="none"/>
          <w:lang w:eastAsia="zh-CN"/>
        </w:rPr>
        <w:t>《泸定县财政局关于开展</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年县本级财政支出项目绩效评价工作的通知》（泸财〔</w:t>
      </w:r>
      <w:r>
        <w:rPr>
          <w:rFonts w:hint="default" w:ascii="Times New Roman" w:hAnsi="Times New Roman" w:eastAsia="方正仿宋简体" w:cs="Times New Roman"/>
          <w:sz w:val="32"/>
          <w:szCs w:val="32"/>
          <w:highlight w:val="none"/>
          <w:lang w:eastAsia="zh-CN"/>
        </w:rPr>
        <w:t>2024</w:t>
      </w:r>
      <w:r>
        <w:rPr>
          <w:rFonts w:hint="eastAsia" w:ascii="方正仿宋简体" w:hAnsi="方正仿宋简体" w:eastAsia="方正仿宋简体" w:cs="方正仿宋简体"/>
          <w:sz w:val="32"/>
          <w:szCs w:val="32"/>
          <w:highlight w:val="none"/>
          <w:lang w:eastAsia="zh-CN"/>
        </w:rPr>
        <w:t>〕</w:t>
      </w:r>
      <w:r>
        <w:rPr>
          <w:rFonts w:hint="default" w:ascii="Times New Roman" w:hAnsi="Times New Roman" w:eastAsia="方正仿宋简体" w:cs="Times New Roman"/>
          <w:sz w:val="32"/>
          <w:szCs w:val="32"/>
          <w:highlight w:val="none"/>
          <w:lang w:eastAsia="zh-CN"/>
        </w:rPr>
        <w:t>41</w:t>
      </w:r>
      <w:r>
        <w:rPr>
          <w:rFonts w:hint="eastAsia" w:ascii="方正仿宋简体" w:hAnsi="方正仿宋简体" w:eastAsia="方正仿宋简体" w:cs="方正仿宋简体"/>
          <w:sz w:val="32"/>
          <w:szCs w:val="32"/>
          <w:highlight w:val="none"/>
          <w:lang w:eastAsia="zh-CN"/>
        </w:rPr>
        <w:t>号）</w:t>
      </w:r>
      <w:r>
        <w:rPr>
          <w:rFonts w:hint="eastAsia" w:ascii="方正仿宋简体" w:hAnsi="方正仿宋简体" w:eastAsia="方正仿宋简体" w:cs="方正仿宋简体"/>
          <w:sz w:val="32"/>
          <w:szCs w:val="32"/>
          <w:highlight w:val="none"/>
        </w:rPr>
        <w:t>等相关规定的评价指标体系和该项目的实际情况，评价组将项目支出绩效评价指标体系中共性指标设定为：基础设施（设备购置）项目，特性指标设定为：</w:t>
      </w:r>
      <w:r>
        <w:rPr>
          <w:rFonts w:hint="eastAsia" w:ascii="方正仿宋简体" w:hAnsi="方正仿宋简体" w:eastAsia="方正仿宋简体" w:cs="方正仿宋简体"/>
          <w:sz w:val="32"/>
          <w:szCs w:val="32"/>
          <w:highlight w:val="none"/>
          <w:lang w:val="en-US" w:eastAsia="zh-CN"/>
        </w:rPr>
        <w:t>民生保障项目－教育文化</w:t>
      </w:r>
      <w:r>
        <w:rPr>
          <w:rFonts w:hint="eastAsia" w:ascii="方正仿宋简体" w:hAnsi="方正仿宋简体" w:eastAsia="方正仿宋简体" w:cs="方正仿宋简体"/>
          <w:sz w:val="32"/>
          <w:szCs w:val="32"/>
          <w:highlight w:val="none"/>
        </w:rPr>
        <w:t>，个性指标设定为：</w:t>
      </w:r>
      <w:r>
        <w:rPr>
          <w:rFonts w:hint="eastAsia" w:ascii="方正仿宋简体" w:hAnsi="方正仿宋简体" w:eastAsia="方正仿宋简体" w:cs="方正仿宋简体"/>
          <w:sz w:val="32"/>
          <w:szCs w:val="32"/>
          <w:highlight w:val="none"/>
          <w:lang w:val="en-US" w:eastAsia="zh-CN"/>
        </w:rPr>
        <w:t>可持续发展</w:t>
      </w:r>
      <w:r>
        <w:rPr>
          <w:rFonts w:hint="eastAsia" w:ascii="方正仿宋简体" w:hAnsi="方正仿宋简体" w:eastAsia="方正仿宋简体" w:cs="方正仿宋简体"/>
          <w:sz w:val="32"/>
          <w:szCs w:val="32"/>
          <w:highlight w:val="none"/>
        </w:rPr>
        <w:t>。设定评价指标及权重如下：</w:t>
      </w:r>
    </w:p>
    <w:p w14:paraId="44DAF835">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.项目决策：含</w:t>
      </w:r>
      <w:bookmarkStart w:id="57" w:name="_Hlk142489161"/>
      <w:r>
        <w:rPr>
          <w:rFonts w:hint="eastAsia" w:ascii="方正仿宋简体" w:hAnsi="方正仿宋简体" w:eastAsia="方正仿宋简体" w:cs="方正仿宋简体"/>
          <w:sz w:val="32"/>
          <w:szCs w:val="32"/>
          <w:highlight w:val="none"/>
        </w:rPr>
        <w:t>程序严密、规划合理、制度完备</w:t>
      </w:r>
      <w:bookmarkEnd w:id="57"/>
      <w:r>
        <w:rPr>
          <w:rFonts w:hint="eastAsia" w:ascii="方正仿宋简体" w:hAnsi="方正仿宋简体" w:eastAsia="方正仿宋简体" w:cs="方正仿宋简体"/>
          <w:sz w:val="32"/>
          <w:szCs w:val="32"/>
          <w:highlight w:val="none"/>
        </w:rPr>
        <w:t>三个二级指标，权重合计为</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EAEAB92">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.项目实施：含分配合理、使用合规、执行有效三个二级指标，权重合计为</w:t>
      </w: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F6E0354">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.完成结果：含预算完成、目标完成、完成及时、违规记录四个二级指标，权重合计为</w:t>
      </w: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C0202C5">
      <w:pPr>
        <w:pageBreakBefore w:val="0"/>
        <w:kinsoku/>
        <w:wordWrap/>
        <w:overflowPunct/>
        <w:topLinePunct w:val="0"/>
        <w:autoSpaceDE/>
        <w:autoSpaceDN/>
        <w:bidi w:val="0"/>
        <w:spacing w:line="600" w:lineRule="exact"/>
        <w:ind w:left="0" w:leftChars="0"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.项目效果：含</w:t>
      </w:r>
      <w:r>
        <w:rPr>
          <w:rFonts w:hint="eastAsia" w:ascii="方正仿宋简体" w:hAnsi="方正仿宋简体" w:eastAsia="方正仿宋简体" w:cs="方正仿宋简体"/>
          <w:sz w:val="32"/>
          <w:szCs w:val="32"/>
          <w:highlight w:val="none"/>
          <w:lang w:val="en-US" w:eastAsia="zh-CN"/>
        </w:rPr>
        <w:t>功能性、配套性、社会满意度、教学（文化）设备利用率四</w:t>
      </w:r>
      <w:r>
        <w:rPr>
          <w:rFonts w:hint="eastAsia" w:ascii="方正仿宋简体" w:hAnsi="方正仿宋简体" w:eastAsia="方正仿宋简体" w:cs="方正仿宋简体"/>
          <w:sz w:val="32"/>
          <w:szCs w:val="32"/>
          <w:highlight w:val="none"/>
        </w:rPr>
        <w:t>个二级指标，权重合计为</w:t>
      </w:r>
      <w:r>
        <w:rPr>
          <w:rFonts w:hint="default" w:ascii="Times New Roman" w:hAnsi="Times New Roman" w:eastAsia="方正仿宋简体" w:cs="Times New Roman"/>
          <w:sz w:val="32"/>
          <w:szCs w:val="32"/>
          <w:highlight w:val="none"/>
          <w:lang w:val="en-US" w:eastAsia="zh-CN"/>
        </w:rPr>
        <w:t>3</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2494431">
      <w:pPr>
        <w:pStyle w:val="2"/>
        <w:pageBreakBefore w:val="0"/>
        <w:kinsoku/>
        <w:wordWrap/>
        <w:overflowPunct/>
        <w:topLinePunct w:val="0"/>
        <w:autoSpaceDE/>
        <w:autoSpaceDN/>
        <w:bidi w:val="0"/>
        <w:spacing w:after="0" w:line="600" w:lineRule="exact"/>
        <w:ind w:left="0" w:leftChars="0"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.基础管理：含</w:t>
      </w:r>
      <w:r>
        <w:rPr>
          <w:rFonts w:hint="eastAsia" w:ascii="方正仿宋简体" w:hAnsi="方正仿宋简体" w:eastAsia="方正仿宋简体" w:cs="方正仿宋简体"/>
          <w:sz w:val="32"/>
          <w:szCs w:val="32"/>
          <w:highlight w:val="none"/>
          <w:lang w:val="en-US" w:eastAsia="zh-CN"/>
        </w:rPr>
        <w:t>对象覆盖全面</w:t>
      </w:r>
      <w:r>
        <w:rPr>
          <w:rFonts w:hint="eastAsia" w:ascii="方正仿宋简体" w:hAnsi="方正仿宋简体" w:eastAsia="方正仿宋简体" w:cs="方正仿宋简体"/>
          <w:sz w:val="32"/>
          <w:szCs w:val="32"/>
          <w:highlight w:val="none"/>
        </w:rPr>
        <w:t>一个二级指标，权重合计为</w:t>
      </w: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69347F95">
      <w:pPr>
        <w:pageBreakBefore w:val="0"/>
        <w:kinsoku/>
        <w:wordWrap/>
        <w:overflowPunct/>
        <w:topLinePunct w:val="0"/>
        <w:autoSpaceDE/>
        <w:autoSpaceDN/>
        <w:bidi w:val="0"/>
        <w:spacing w:line="600" w:lineRule="exact"/>
        <w:ind w:left="0" w:leftChars="0" w:firstLine="564"/>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6</w:t>
      </w:r>
      <w:r>
        <w:rPr>
          <w:rFonts w:hint="eastAsia" w:ascii="方正仿宋简体" w:hAnsi="方正仿宋简体" w:eastAsia="方正仿宋简体" w:cs="方正仿宋简体"/>
          <w:sz w:val="32"/>
          <w:szCs w:val="32"/>
          <w:highlight w:val="none"/>
        </w:rPr>
        <w:t>.社会效益：含提升民族地区基础教育办学条件</w:t>
      </w:r>
      <w:r>
        <w:rPr>
          <w:rFonts w:hint="eastAsia" w:ascii="方正仿宋简体" w:hAnsi="方正仿宋简体" w:eastAsia="方正仿宋简体" w:cs="方正仿宋简体"/>
          <w:sz w:val="32"/>
          <w:szCs w:val="32"/>
          <w:highlight w:val="none"/>
          <w:lang w:val="en-US" w:eastAsia="zh-CN"/>
        </w:rPr>
        <w:t>一</w:t>
      </w:r>
      <w:r>
        <w:rPr>
          <w:rFonts w:hint="eastAsia" w:ascii="方正仿宋简体" w:hAnsi="方正仿宋简体" w:eastAsia="方正仿宋简体" w:cs="方正仿宋简体"/>
          <w:sz w:val="32"/>
          <w:szCs w:val="32"/>
          <w:highlight w:val="none"/>
        </w:rPr>
        <w:t>个二级指标，权重合计为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496C461">
      <w:pPr>
        <w:pageBreakBefore w:val="0"/>
        <w:kinsoku/>
        <w:wordWrap/>
        <w:overflowPunct/>
        <w:topLinePunct w:val="0"/>
        <w:autoSpaceDE/>
        <w:autoSpaceDN/>
        <w:bidi w:val="0"/>
        <w:spacing w:line="600" w:lineRule="exact"/>
        <w:ind w:left="0" w:leftChars="0" w:firstLine="564"/>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7</w:t>
      </w:r>
      <w:r>
        <w:rPr>
          <w:rFonts w:hint="eastAsia" w:ascii="方正仿宋简体" w:hAnsi="方正仿宋简体" w:eastAsia="方正仿宋简体" w:cs="方正仿宋简体"/>
          <w:sz w:val="32"/>
          <w:szCs w:val="32"/>
          <w:highlight w:val="none"/>
          <w:lang w:val="en-US" w:eastAsia="zh-CN"/>
        </w:rPr>
        <w:t>.可持续发展：含可持续发展一个二级指标，权重合计为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265D8307">
      <w:pPr>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highlight w:val="none"/>
          <w:shd w:val="clear" w:color="auto" w:fill="FFFFFF"/>
        </w:rPr>
      </w:pPr>
      <w:r>
        <w:rPr>
          <w:rFonts w:hint="eastAsia" w:ascii="方正黑体简体" w:hAnsi="方正黑体简体" w:eastAsia="方正黑体简体" w:cs="方正黑体简体"/>
          <w:color w:val="000000"/>
          <w:kern w:val="0"/>
          <w:sz w:val="32"/>
          <w:szCs w:val="32"/>
          <w:highlight w:val="none"/>
          <w:shd w:val="clear" w:color="auto" w:fill="FFFFFF"/>
        </w:rPr>
        <w:t>三、评价情况及结论</w:t>
      </w:r>
      <w:bookmarkEnd w:id="51"/>
      <w:bookmarkEnd w:id="52"/>
      <w:bookmarkEnd w:id="53"/>
      <w:bookmarkEnd w:id="54"/>
      <w:bookmarkEnd w:id="55"/>
    </w:p>
    <w:p w14:paraId="54DB838C">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lang w:eastAsia="zh-CN"/>
        </w:rPr>
        <w:t>全州高考改革标准化考场建设</w:t>
      </w:r>
      <w:r>
        <w:rPr>
          <w:rFonts w:hint="default" w:ascii="Times New Roman" w:hAnsi="Times New Roman" w:eastAsia="方正仿宋简体" w:cs="Times New Roman"/>
          <w:color w:val="000000"/>
          <w:sz w:val="32"/>
          <w:szCs w:val="32"/>
          <w:highlight w:val="none"/>
          <w:shd w:val="clear" w:color="auto" w:fill="FFFFFF"/>
          <w:lang w:eastAsia="zh-CN"/>
        </w:rPr>
        <w:t>2023</w:t>
      </w:r>
      <w:r>
        <w:rPr>
          <w:rFonts w:hint="eastAsia" w:ascii="方正仿宋简体" w:hAnsi="方正仿宋简体" w:eastAsia="方正仿宋简体" w:cs="方正仿宋简体"/>
          <w:color w:val="000000"/>
          <w:sz w:val="32"/>
          <w:szCs w:val="32"/>
          <w:highlight w:val="none"/>
          <w:shd w:val="clear" w:color="auto" w:fill="FFFFFF"/>
          <w:lang w:eastAsia="zh-CN"/>
        </w:rPr>
        <w:t>年</w:t>
      </w:r>
      <w:r>
        <w:rPr>
          <w:rFonts w:hint="eastAsia" w:ascii="方正仿宋简体" w:hAnsi="方正仿宋简体" w:eastAsia="方正仿宋简体" w:cs="方正仿宋简体"/>
          <w:color w:val="000000"/>
          <w:sz w:val="32"/>
          <w:szCs w:val="32"/>
          <w:highlight w:val="none"/>
          <w:shd w:val="clear" w:color="auto" w:fill="FFFFFF"/>
        </w:rPr>
        <w:t>县级财政支出项目的实施基本</w:t>
      </w:r>
      <w:r>
        <w:rPr>
          <w:rFonts w:hint="eastAsia" w:ascii="方正仿宋简体" w:hAnsi="方正仿宋简体" w:eastAsia="方正仿宋简体" w:cs="方正仿宋简体"/>
          <w:color w:val="000000"/>
          <w:sz w:val="32"/>
          <w:szCs w:val="32"/>
          <w:highlight w:val="none"/>
          <w:shd w:val="clear" w:color="auto" w:fill="FFFFFF"/>
          <w:lang w:val="en-US" w:eastAsia="zh-CN"/>
        </w:rPr>
        <w:t>完成了</w:t>
      </w:r>
      <w:r>
        <w:rPr>
          <w:rFonts w:hint="eastAsia" w:ascii="方正仿宋简体" w:hAnsi="方正仿宋简体" w:eastAsia="方正仿宋简体" w:cs="方正仿宋简体"/>
          <w:color w:val="000000"/>
          <w:sz w:val="32"/>
          <w:szCs w:val="32"/>
          <w:highlight w:val="none"/>
          <w:shd w:val="clear" w:color="auto" w:fill="FFFFFF"/>
        </w:rPr>
        <w:t>全县对高考工作的标准化要求，</w:t>
      </w:r>
      <w:r>
        <w:rPr>
          <w:rFonts w:hint="eastAsia" w:ascii="方正仿宋简体" w:hAnsi="方正仿宋简体" w:eastAsia="方正仿宋简体" w:cs="方正仿宋简体"/>
          <w:color w:val="000000"/>
          <w:sz w:val="32"/>
          <w:szCs w:val="32"/>
          <w:highlight w:val="none"/>
          <w:shd w:val="clear" w:color="auto" w:fill="FFFFFF"/>
          <w:lang w:val="en-US" w:eastAsia="zh-CN"/>
        </w:rPr>
        <w:t>加强了所在学校教学基础设施建设，有效推进了全州高考综合改革相关工作，</w:t>
      </w:r>
      <w:r>
        <w:rPr>
          <w:rFonts w:hint="eastAsia" w:ascii="方正仿宋简体" w:hAnsi="方正仿宋简体" w:eastAsia="方正仿宋简体" w:cs="方正仿宋简体"/>
          <w:color w:val="000000"/>
          <w:sz w:val="32"/>
          <w:szCs w:val="32"/>
          <w:highlight w:val="none"/>
          <w:shd w:val="clear" w:color="auto" w:fill="FFFFFF"/>
        </w:rPr>
        <w:t>老师与学生及其家长对项目满意度较高，很好地提升了</w:t>
      </w:r>
      <w:r>
        <w:rPr>
          <w:rFonts w:hint="eastAsia" w:ascii="方正仿宋简体" w:hAnsi="方正仿宋简体" w:eastAsia="方正仿宋简体" w:cs="方正仿宋简体"/>
          <w:color w:val="000000"/>
          <w:sz w:val="32"/>
          <w:szCs w:val="32"/>
          <w:highlight w:val="none"/>
          <w:shd w:val="clear" w:color="auto" w:fill="FFFFFF"/>
          <w:lang w:val="en-US" w:eastAsia="zh-CN"/>
        </w:rPr>
        <w:t>全县高考工作在地区民众心目中的声望与热情</w:t>
      </w:r>
      <w:r>
        <w:rPr>
          <w:rFonts w:hint="eastAsia" w:ascii="方正仿宋简体" w:hAnsi="方正仿宋简体" w:eastAsia="方正仿宋简体" w:cs="方正仿宋简体"/>
          <w:color w:val="000000"/>
          <w:sz w:val="32"/>
          <w:szCs w:val="32"/>
          <w:highlight w:val="none"/>
          <w:shd w:val="clear" w:color="auto" w:fill="FFFFFF"/>
        </w:rPr>
        <w:t>。</w:t>
      </w:r>
    </w:p>
    <w:p w14:paraId="29D35571">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综上所述，按照设定的评价指标体系，通过对</w:t>
      </w:r>
      <w:r>
        <w:rPr>
          <w:rFonts w:hint="eastAsia" w:ascii="方正仿宋简体" w:hAnsi="方正仿宋简体" w:eastAsia="方正仿宋简体" w:cs="方正仿宋简体"/>
          <w:sz w:val="32"/>
          <w:szCs w:val="32"/>
          <w:highlight w:val="none"/>
          <w:lang w:eastAsia="zh-CN"/>
        </w:rPr>
        <w:t>全州高考改革标准化考场建设</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w:t>
      </w:r>
      <w:r>
        <w:rPr>
          <w:rFonts w:hint="eastAsia" w:ascii="方正仿宋简体" w:hAnsi="方正仿宋简体" w:eastAsia="方正仿宋简体" w:cs="方正仿宋简体"/>
          <w:sz w:val="32"/>
          <w:szCs w:val="32"/>
          <w:highlight w:val="none"/>
        </w:rPr>
        <w:t>县级财政支出项目在项目决策、项目实施、完成结果、项目效果、基础管理、社会效益、</w:t>
      </w:r>
      <w:r>
        <w:rPr>
          <w:rFonts w:hint="eastAsia" w:ascii="方正仿宋简体" w:hAnsi="方正仿宋简体" w:eastAsia="方正仿宋简体" w:cs="方正仿宋简体"/>
          <w:sz w:val="32"/>
          <w:szCs w:val="32"/>
          <w:highlight w:val="none"/>
          <w:lang w:val="en-US" w:eastAsia="zh-CN"/>
        </w:rPr>
        <w:t>可持续发展</w:t>
      </w:r>
      <w:r>
        <w:rPr>
          <w:rFonts w:hint="eastAsia" w:ascii="方正仿宋简体" w:hAnsi="方正仿宋简体" w:eastAsia="方正仿宋简体" w:cs="方正仿宋简体"/>
          <w:sz w:val="32"/>
          <w:szCs w:val="32"/>
          <w:highlight w:val="none"/>
        </w:rPr>
        <w:t>进行综合评价，</w:t>
      </w:r>
      <w:r>
        <w:rPr>
          <w:rFonts w:hint="eastAsia" w:ascii="方正仿宋简体" w:hAnsi="方正仿宋简体" w:eastAsia="方正仿宋简体" w:cs="方正仿宋简体"/>
          <w:sz w:val="32"/>
          <w:szCs w:val="32"/>
          <w:highlight w:val="none"/>
          <w:lang w:eastAsia="zh-CN"/>
        </w:rPr>
        <w:t>“全州高考改革标准化考场建设</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w:t>
      </w:r>
      <w:r>
        <w:rPr>
          <w:rFonts w:hint="eastAsia" w:ascii="方正仿宋简体" w:hAnsi="方正仿宋简体" w:eastAsia="方正仿宋简体" w:cs="方正仿宋简体"/>
          <w:sz w:val="32"/>
          <w:szCs w:val="32"/>
          <w:highlight w:val="none"/>
        </w:rPr>
        <w:t>县级财政支出项目</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绩效评价得分为</w:t>
      </w:r>
      <w:r>
        <w:rPr>
          <w:rFonts w:hint="default" w:ascii="Times New Roman" w:hAnsi="Times New Roman" w:eastAsia="方正仿宋简体" w:cs="Times New Roman"/>
          <w:sz w:val="32"/>
          <w:szCs w:val="32"/>
          <w:highlight w:val="none"/>
          <w:lang w:val="en-US" w:eastAsia="zh-CN"/>
        </w:rPr>
        <w:t>85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rPr>
        <w:t>分，详见下表：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61"/>
        <w:gridCol w:w="2265"/>
        <w:gridCol w:w="2265"/>
      </w:tblGrid>
      <w:tr w14:paraId="2B29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9A74FC0">
            <w:pPr>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一级指标</w:t>
            </w:r>
          </w:p>
        </w:tc>
        <w:tc>
          <w:tcPr>
            <w:tcW w:w="1248" w:type="pct"/>
            <w:vAlign w:val="center"/>
          </w:tcPr>
          <w:p w14:paraId="2839F429">
            <w:pPr>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分值</w:t>
            </w:r>
          </w:p>
        </w:tc>
        <w:tc>
          <w:tcPr>
            <w:tcW w:w="1250" w:type="pct"/>
            <w:vAlign w:val="center"/>
          </w:tcPr>
          <w:p w14:paraId="3FDCDF42">
            <w:pPr>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w:t>
            </w:r>
          </w:p>
        </w:tc>
        <w:tc>
          <w:tcPr>
            <w:tcW w:w="1250" w:type="pct"/>
            <w:vAlign w:val="center"/>
          </w:tcPr>
          <w:p w14:paraId="05812EA5">
            <w:pPr>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color w:val="000000"/>
                <w:sz w:val="32"/>
                <w:szCs w:val="32"/>
                <w:highlight w:val="none"/>
                <w:shd w:val="clear" w:color="auto" w:fill="FFFFFF"/>
              </w:rPr>
              <w:t>得分率</w:t>
            </w:r>
          </w:p>
        </w:tc>
      </w:tr>
      <w:tr w14:paraId="0B18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7080A002">
            <w:pPr>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项目决策</w:t>
            </w:r>
          </w:p>
        </w:tc>
        <w:tc>
          <w:tcPr>
            <w:tcW w:w="1248" w:type="pct"/>
            <w:vAlign w:val="center"/>
          </w:tcPr>
          <w:p w14:paraId="33F8B0CF">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0" w:type="pct"/>
            <w:vAlign w:val="center"/>
          </w:tcPr>
          <w:p w14:paraId="14761F50">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p>
        </w:tc>
        <w:tc>
          <w:tcPr>
            <w:tcW w:w="1250" w:type="pct"/>
            <w:vAlign w:val="center"/>
          </w:tcPr>
          <w:p w14:paraId="4CD33634">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79</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17</w:t>
            </w:r>
            <w:r>
              <w:rPr>
                <w:rFonts w:hint="default" w:ascii="Times New Roman" w:hAnsi="Times New Roman" w:eastAsia="方正仿宋简体" w:cs="Times New Roman"/>
                <w:sz w:val="32"/>
                <w:szCs w:val="32"/>
                <w:highlight w:val="none"/>
              </w:rPr>
              <w:t>%</w:t>
            </w:r>
          </w:p>
        </w:tc>
      </w:tr>
      <w:tr w14:paraId="2CCC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1ED8FC33">
            <w:pPr>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项目实施</w:t>
            </w:r>
          </w:p>
        </w:tc>
        <w:tc>
          <w:tcPr>
            <w:tcW w:w="1248" w:type="pct"/>
            <w:vAlign w:val="center"/>
          </w:tcPr>
          <w:p w14:paraId="317AE177">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0" w:type="pct"/>
            <w:vAlign w:val="center"/>
          </w:tcPr>
          <w:p w14:paraId="612B515D">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11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0" w:type="pct"/>
            <w:vAlign w:val="center"/>
          </w:tcPr>
          <w:p w14:paraId="44E92338">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default" w:ascii="Times New Roman" w:hAnsi="Times New Roman" w:eastAsia="方正仿宋简体" w:cs="Times New Roman"/>
                <w:sz w:val="32"/>
                <w:szCs w:val="32"/>
                <w:highlight w:val="none"/>
              </w:rPr>
              <w:t>%</w:t>
            </w:r>
          </w:p>
        </w:tc>
      </w:tr>
      <w:tr w14:paraId="6396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67F2B598">
            <w:pPr>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完成结果</w:t>
            </w:r>
          </w:p>
        </w:tc>
        <w:tc>
          <w:tcPr>
            <w:tcW w:w="1248" w:type="pct"/>
            <w:vAlign w:val="center"/>
          </w:tcPr>
          <w:p w14:paraId="470A8FB1">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17</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0" w:type="pct"/>
            <w:vAlign w:val="center"/>
          </w:tcPr>
          <w:p w14:paraId="16065987">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17</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c>
          <w:tcPr>
            <w:tcW w:w="1250" w:type="pct"/>
            <w:vAlign w:val="center"/>
          </w:tcPr>
          <w:p w14:paraId="580CDBDF">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default" w:ascii="Times New Roman" w:hAnsi="Times New Roman" w:eastAsia="方正仿宋简体" w:cs="Times New Roman"/>
                <w:sz w:val="32"/>
                <w:szCs w:val="32"/>
                <w:highlight w:val="none"/>
              </w:rPr>
              <w:t>%</w:t>
            </w:r>
          </w:p>
        </w:tc>
      </w:tr>
      <w:tr w14:paraId="0B5C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42A0323A">
            <w:pPr>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项目效果</w:t>
            </w:r>
          </w:p>
        </w:tc>
        <w:tc>
          <w:tcPr>
            <w:tcW w:w="1248" w:type="pct"/>
            <w:vAlign w:val="center"/>
          </w:tcPr>
          <w:p w14:paraId="437B6FFD">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lang w:val="en-US" w:eastAsia="zh-CN"/>
              </w:rPr>
              <w:t>3</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0" w:type="pct"/>
            <w:vAlign w:val="center"/>
          </w:tcPr>
          <w:p w14:paraId="1F7B6B75">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26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c>
          <w:tcPr>
            <w:tcW w:w="1250" w:type="pct"/>
            <w:vAlign w:val="center"/>
          </w:tcPr>
          <w:p w14:paraId="1ED50A3D">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86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67</w:t>
            </w:r>
            <w:r>
              <w:rPr>
                <w:rFonts w:hint="default" w:ascii="Times New Roman" w:hAnsi="Times New Roman" w:eastAsia="方正仿宋简体" w:cs="Times New Roman"/>
                <w:sz w:val="32"/>
                <w:szCs w:val="32"/>
                <w:highlight w:val="none"/>
              </w:rPr>
              <w:t>%</w:t>
            </w:r>
          </w:p>
        </w:tc>
      </w:tr>
      <w:tr w14:paraId="451A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2D4DE6B0">
            <w:pPr>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基础管理</w:t>
            </w:r>
          </w:p>
        </w:tc>
        <w:tc>
          <w:tcPr>
            <w:tcW w:w="1248" w:type="pct"/>
            <w:vAlign w:val="center"/>
          </w:tcPr>
          <w:p w14:paraId="732052B1">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0" w:type="pct"/>
            <w:vAlign w:val="center"/>
          </w:tcPr>
          <w:p w14:paraId="52BCF2B2">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0" w:type="pct"/>
            <w:vAlign w:val="center"/>
          </w:tcPr>
          <w:p w14:paraId="415FAA7E">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r>
      <w:tr w14:paraId="601F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51B18F26">
            <w:pPr>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社会效益</w:t>
            </w:r>
          </w:p>
        </w:tc>
        <w:tc>
          <w:tcPr>
            <w:tcW w:w="1248" w:type="pct"/>
            <w:vAlign w:val="center"/>
          </w:tcPr>
          <w:p w14:paraId="23088412">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kern w:val="0"/>
                <w:sz w:val="32"/>
                <w:szCs w:val="32"/>
                <w:highlight w:val="none"/>
                <w:lang w:bidi="ar"/>
              </w:rPr>
            </w:pP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0" w:type="pct"/>
            <w:vAlign w:val="center"/>
          </w:tcPr>
          <w:p w14:paraId="22256F54">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c>
          <w:tcPr>
            <w:tcW w:w="1250" w:type="pct"/>
            <w:vAlign w:val="center"/>
          </w:tcPr>
          <w:p w14:paraId="128AF483">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80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default" w:ascii="Times New Roman" w:hAnsi="Times New Roman" w:eastAsia="方正仿宋简体" w:cs="Times New Roman"/>
                <w:sz w:val="32"/>
                <w:szCs w:val="32"/>
                <w:highlight w:val="none"/>
              </w:rPr>
              <w:t>%</w:t>
            </w:r>
          </w:p>
        </w:tc>
      </w:tr>
      <w:tr w14:paraId="5E77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48562C6E">
            <w:pPr>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可持续发展</w:t>
            </w:r>
          </w:p>
        </w:tc>
        <w:tc>
          <w:tcPr>
            <w:tcW w:w="1248" w:type="pct"/>
            <w:vAlign w:val="center"/>
          </w:tcPr>
          <w:p w14:paraId="6716149C">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c>
          <w:tcPr>
            <w:tcW w:w="1250" w:type="pct"/>
            <w:vAlign w:val="center"/>
          </w:tcPr>
          <w:p w14:paraId="7921F830">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c>
          <w:tcPr>
            <w:tcW w:w="1250" w:type="pct"/>
            <w:vAlign w:val="center"/>
          </w:tcPr>
          <w:p w14:paraId="739FC303">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p>
        </w:tc>
      </w:tr>
      <w:tr w14:paraId="65DC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564658D6">
            <w:pPr>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highlight w:val="none"/>
                <w:shd w:val="clear" w:color="auto" w:fill="FFFFFF"/>
              </w:rPr>
            </w:pPr>
            <w:r>
              <w:rPr>
                <w:rFonts w:hint="eastAsia" w:ascii="方正仿宋简体" w:hAnsi="方正仿宋简体" w:eastAsia="方正仿宋简体" w:cs="方正仿宋简体"/>
                <w:sz w:val="32"/>
                <w:szCs w:val="32"/>
                <w:highlight w:val="none"/>
              </w:rPr>
              <w:t>合计</w:t>
            </w:r>
          </w:p>
        </w:tc>
        <w:tc>
          <w:tcPr>
            <w:tcW w:w="1248" w:type="pct"/>
            <w:vAlign w:val="center"/>
          </w:tcPr>
          <w:p w14:paraId="3DE229D9">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color w:val="000000"/>
                <w:sz w:val="32"/>
                <w:szCs w:val="32"/>
                <w:highlight w:val="none"/>
                <w:shd w:val="clear" w:color="auto" w:fill="FFFFFF"/>
              </w:rPr>
            </w:pP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p>
        </w:tc>
        <w:tc>
          <w:tcPr>
            <w:tcW w:w="1250" w:type="pct"/>
            <w:vAlign w:val="center"/>
          </w:tcPr>
          <w:p w14:paraId="1F129F0D">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lang w:val="en-US" w:eastAsia="zh-CN"/>
              </w:rPr>
              <w:t>85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p>
        </w:tc>
        <w:tc>
          <w:tcPr>
            <w:tcW w:w="1250" w:type="pct"/>
            <w:vAlign w:val="center"/>
          </w:tcPr>
          <w:p w14:paraId="5B563528">
            <w:pPr>
              <w:pageBreakBefore w:val="0"/>
              <w:widowControl/>
              <w:kinsoku/>
              <w:wordWrap/>
              <w:overflowPunct/>
              <w:topLinePunct w:val="0"/>
              <w:autoSpaceDE/>
              <w:autoSpaceDN/>
              <w:bidi w:val="0"/>
              <w:spacing w:line="600" w:lineRule="exact"/>
              <w:ind w:left="0" w:leftChars="0"/>
              <w:jc w:val="right"/>
              <w:textAlignment w:val="center"/>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85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default" w:ascii="Times New Roman" w:hAnsi="Times New Roman" w:eastAsia="方正仿宋简体" w:cs="Times New Roman"/>
                <w:sz w:val="32"/>
                <w:szCs w:val="32"/>
                <w:highlight w:val="none"/>
              </w:rPr>
              <w:t>%</w:t>
            </w:r>
          </w:p>
        </w:tc>
      </w:tr>
    </w:tbl>
    <w:p w14:paraId="15B4DD20">
      <w:pPr>
        <w:pageBreakBefore w:val="0"/>
        <w:kinsoku/>
        <w:wordWrap/>
        <w:overflowPunct/>
        <w:topLinePunct w:val="0"/>
        <w:autoSpaceDE/>
        <w:autoSpaceDN/>
        <w:bidi w:val="0"/>
        <w:spacing w:line="600" w:lineRule="exact"/>
        <w:ind w:left="0" w:leftChars="0" w:firstLine="640" w:firstLineChars="200"/>
        <w:outlineLvl w:val="0"/>
        <w:rPr>
          <w:rFonts w:hint="eastAsia" w:ascii="方正黑体简体" w:hAnsi="方正黑体简体" w:eastAsia="方正黑体简体" w:cs="方正黑体简体"/>
          <w:sz w:val="32"/>
          <w:szCs w:val="32"/>
          <w:highlight w:val="none"/>
          <w:lang w:val="en-US" w:eastAsia="zh-CN"/>
        </w:rPr>
      </w:pPr>
      <w:bookmarkStart w:id="58" w:name="_Toc2181"/>
      <w:bookmarkStart w:id="59" w:name="_Toc13308"/>
      <w:bookmarkStart w:id="60" w:name="_Toc488092938"/>
      <w:bookmarkStart w:id="61" w:name="_Toc21540"/>
      <w:bookmarkStart w:id="62" w:name="_Toc121121045"/>
      <w:bookmarkStart w:id="63" w:name="_Toc2038909009"/>
      <w:r>
        <w:rPr>
          <w:rFonts w:hint="eastAsia" w:ascii="方正黑体简体" w:hAnsi="方正黑体简体" w:eastAsia="方正黑体简体" w:cs="方正黑体简体"/>
          <w:sz w:val="32"/>
          <w:szCs w:val="32"/>
          <w:highlight w:val="none"/>
        </w:rPr>
        <w:t>四、</w:t>
      </w:r>
      <w:r>
        <w:rPr>
          <w:rFonts w:hint="eastAsia" w:ascii="方正黑体简体" w:hAnsi="方正黑体简体" w:eastAsia="方正黑体简体" w:cs="方正黑体简体"/>
          <w:sz w:val="32"/>
          <w:szCs w:val="32"/>
          <w:highlight w:val="none"/>
          <w:lang w:val="en-US" w:eastAsia="zh-CN"/>
        </w:rPr>
        <w:t>绩效结果应用</w:t>
      </w:r>
      <w:bookmarkEnd w:id="58"/>
    </w:p>
    <w:p w14:paraId="6A6D6FEA">
      <w:pPr>
        <w:pageBreakBefore w:val="0"/>
        <w:numPr>
          <w:ilvl w:val="1"/>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泸定县教育和体育局认真贯彻</w:t>
      </w:r>
      <w:r>
        <w:rPr>
          <w:rFonts w:hint="eastAsia" w:ascii="方正仿宋简体" w:hAnsi="方正仿宋简体" w:eastAsia="方正仿宋简体" w:cs="方正仿宋简体"/>
          <w:sz w:val="32"/>
          <w:szCs w:val="32"/>
          <w:highlight w:val="none"/>
        </w:rPr>
        <w:t>《关于加快高考综合改革设施设备及标准化考场建设工作的通知》（甘教体函〔</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1139</w:t>
      </w:r>
      <w:r>
        <w:rPr>
          <w:rFonts w:hint="eastAsia" w:ascii="方正仿宋简体" w:hAnsi="方正仿宋简体" w:eastAsia="方正仿宋简体" w:cs="方正仿宋简体"/>
          <w:sz w:val="32"/>
          <w:szCs w:val="32"/>
          <w:highlight w:val="none"/>
        </w:rPr>
        <w:t>号）及甘孜藏族自治州大学中专招生委员会办公室《关于加快推进标准化考场及国家教育考试防作弊系统建设的通知》（甘招办〔</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43</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en-US" w:eastAsia="zh-CN"/>
        </w:rPr>
        <w:t>文件精神，结合泸定县教育实际情况，在</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lang w:val="en-US" w:eastAsia="zh-CN"/>
        </w:rPr>
        <w:t>年度实施“全州高考改革标准化考场建设”项目，经评价组事后评价，该项目相关采购程序完整，实施内容、设施设备已全部验收并投入使用，建设资产使用效益发挥良好，运行正常，能够满足全县对高考工作的标准化统一要求，绩效等级为“良”。秉承科学公正、统筹兼顾、激励约束和公开透明财政绩效原则。我单位建议泸定县财政局针对专项预算项目绩效管理，进一步要求泸定县教育和体育局加强项目目标规划，完善项目管理制度、指导意见、实施细则，对目标管理数据实施有效统筹与运用，提升项目实施效益、可持续性及民生、教育类项目延展性。</w:t>
      </w:r>
    </w:p>
    <w:p w14:paraId="057D9183">
      <w:pPr>
        <w:pageBreakBefore w:val="0"/>
        <w:kinsoku/>
        <w:wordWrap/>
        <w:overflowPunct/>
        <w:topLinePunct w:val="0"/>
        <w:autoSpaceDE/>
        <w:autoSpaceDN/>
        <w:bidi w:val="0"/>
        <w:spacing w:line="600" w:lineRule="exact"/>
        <w:ind w:left="0" w:leftChars="0" w:firstLine="640" w:firstLineChars="200"/>
        <w:outlineLvl w:val="0"/>
        <w:rPr>
          <w:rFonts w:hint="eastAsia" w:ascii="方正黑体简体" w:hAnsi="方正黑体简体" w:eastAsia="方正黑体简体" w:cs="方正黑体简体"/>
          <w:sz w:val="32"/>
          <w:szCs w:val="32"/>
          <w:highlight w:val="none"/>
        </w:rPr>
      </w:pPr>
      <w:bookmarkStart w:id="64" w:name="_Toc30138"/>
      <w:r>
        <w:rPr>
          <w:rFonts w:hint="eastAsia" w:ascii="方正黑体简体" w:hAnsi="方正黑体简体" w:eastAsia="方正黑体简体" w:cs="方正黑体简体"/>
          <w:sz w:val="32"/>
          <w:szCs w:val="32"/>
          <w:highlight w:val="none"/>
          <w:lang w:val="en-US" w:eastAsia="zh-CN"/>
        </w:rPr>
        <w:t>五、</w:t>
      </w:r>
      <w:r>
        <w:rPr>
          <w:rFonts w:hint="eastAsia" w:ascii="方正黑体简体" w:hAnsi="方正黑体简体" w:eastAsia="方正黑体简体" w:cs="方正黑体简体"/>
          <w:sz w:val="32"/>
          <w:szCs w:val="32"/>
          <w:highlight w:val="none"/>
        </w:rPr>
        <w:t>绩效评价指标分析</w:t>
      </w:r>
      <w:bookmarkEnd w:id="59"/>
      <w:bookmarkEnd w:id="60"/>
      <w:bookmarkEnd w:id="61"/>
      <w:bookmarkEnd w:id="62"/>
      <w:bookmarkEnd w:id="63"/>
      <w:bookmarkEnd w:id="64"/>
    </w:p>
    <w:bookmarkEnd w:id="2"/>
    <w:p w14:paraId="58412E5F">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zh-CN"/>
        </w:rPr>
      </w:pPr>
      <w:bookmarkStart w:id="65" w:name="_Toc31799"/>
      <w:bookmarkStart w:id="66" w:name="_Toc314064335"/>
      <w:bookmarkStart w:id="67" w:name="_Toc12635"/>
      <w:bookmarkStart w:id="68" w:name="_Toc1889406865"/>
      <w:bookmarkStart w:id="69" w:name="_Toc142913852"/>
      <w:bookmarkStart w:id="70" w:name="_Toc18880"/>
      <w:bookmarkStart w:id="71" w:name="_Toc30800"/>
      <w:bookmarkStart w:id="72" w:name="_Toc1409505349"/>
      <w:bookmarkStart w:id="73" w:name="_Toc1568235950"/>
      <w:bookmarkStart w:id="74" w:name="_Toc1228970844"/>
      <w:r>
        <w:rPr>
          <w:rFonts w:hint="eastAsia" w:ascii="方正楷体简体" w:hAnsi="方正楷体简体" w:eastAsia="方正楷体简体" w:cs="方正楷体简体"/>
          <w:sz w:val="32"/>
          <w:szCs w:val="32"/>
          <w:highlight w:val="none"/>
          <w:lang w:val="zh-CN"/>
        </w:rPr>
        <w:t>（一）项目</w:t>
      </w:r>
      <w:bookmarkEnd w:id="65"/>
      <w:bookmarkEnd w:id="66"/>
      <w:bookmarkEnd w:id="67"/>
      <w:bookmarkEnd w:id="68"/>
      <w:bookmarkStart w:id="75" w:name="_Toc23796"/>
      <w:r>
        <w:rPr>
          <w:rFonts w:hint="eastAsia" w:ascii="方正楷体简体" w:hAnsi="方正楷体简体" w:eastAsia="方正楷体简体" w:cs="方正楷体简体"/>
          <w:sz w:val="32"/>
          <w:szCs w:val="32"/>
          <w:highlight w:val="none"/>
          <w:lang w:val="zh-CN"/>
        </w:rPr>
        <w:t>决策</w:t>
      </w:r>
      <w:bookmarkEnd w:id="69"/>
      <w:bookmarkEnd w:id="70"/>
    </w:p>
    <w:p w14:paraId="75D7ECD5">
      <w:pPr>
        <w:pageBreakBefore w:val="0"/>
        <w:numPr>
          <w:ilvl w:val="1"/>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项目决策</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w:t>
      </w:r>
      <w:bookmarkEnd w:id="75"/>
      <w:r>
        <w:rPr>
          <w:rFonts w:hint="eastAsia" w:ascii="方正仿宋简体" w:hAnsi="方正仿宋简体" w:eastAsia="方正仿宋简体" w:cs="方正仿宋简体"/>
          <w:sz w:val="32"/>
          <w:szCs w:val="32"/>
          <w:highlight w:val="none"/>
        </w:rPr>
        <w:t>立项程序严密性、规划合理性、管理制度完备性。</w:t>
      </w:r>
    </w:p>
    <w:p w14:paraId="58FE34C7">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.立项程序严密性</w:t>
      </w:r>
      <w:bookmarkStart w:id="76" w:name="_Toc18487"/>
    </w:p>
    <w:p w14:paraId="30B0DE8A">
      <w:pPr>
        <w:keepNext w:val="0"/>
        <w:keepLines w:val="0"/>
        <w:pageBreakBefore w:val="0"/>
        <w:widowControl w:val="0"/>
        <w:kinsoku/>
        <w:wordWrap/>
        <w:overflowPunct/>
        <w:topLinePunct w:val="0"/>
        <w:autoSpaceDE/>
        <w:autoSpaceDN/>
        <w:bidi w:val="0"/>
        <w:adjustRightInd/>
        <w:snapToGrid/>
        <w:spacing w:line="600" w:lineRule="exact"/>
        <w:ind w:left="0" w:leftChars="0" w:firstLine="560"/>
        <w:textAlignment w:val="auto"/>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项目依照《关于加快高考综合改革设施设备及标准化考场建设工作的通知》（甘教体函〔</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1139</w:t>
      </w:r>
      <w:r>
        <w:rPr>
          <w:rFonts w:hint="eastAsia" w:ascii="方正仿宋简体" w:hAnsi="方正仿宋简体" w:eastAsia="方正仿宋简体" w:cs="方正仿宋简体"/>
          <w:sz w:val="32"/>
          <w:szCs w:val="32"/>
          <w:highlight w:val="none"/>
        </w:rPr>
        <w:t>号）及甘孜藏族自治州大学中专招生委员会办公室《关于加快推进标准化考场及国家教育考试防作弊系统建设的通知》（甘招办〔</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43</w:t>
      </w:r>
      <w:r>
        <w:rPr>
          <w:rFonts w:hint="eastAsia" w:ascii="方正仿宋简体" w:hAnsi="方正仿宋简体" w:eastAsia="方正仿宋简体" w:cs="方正仿宋简体"/>
          <w:sz w:val="32"/>
          <w:szCs w:val="32"/>
          <w:highlight w:val="none"/>
        </w:rPr>
        <w:t>号）文件要求，</w:t>
      </w:r>
      <w:r>
        <w:rPr>
          <w:rFonts w:hint="eastAsia" w:ascii="方正仿宋简体" w:hAnsi="方正仿宋简体" w:eastAsia="方正仿宋简体" w:cs="方正仿宋简体"/>
          <w:sz w:val="32"/>
          <w:szCs w:val="32"/>
          <w:highlight w:val="none"/>
          <w:lang w:val="en-US" w:eastAsia="zh-CN"/>
        </w:rPr>
        <w:t>严格按照政府采购程序、项目既定目标实施，该项目设立经过事前评估</w:t>
      </w:r>
      <w:r>
        <w:rPr>
          <w:rFonts w:hint="eastAsia" w:ascii="方正仿宋简体" w:hAnsi="方正仿宋简体" w:eastAsia="方正仿宋简体" w:cs="方正仿宋简体"/>
          <w:sz w:val="32"/>
          <w:szCs w:val="32"/>
          <w:highlight w:val="none"/>
        </w:rPr>
        <w:t>，项目立项合规合理，实施程序严密，</w:t>
      </w:r>
      <w:r>
        <w:rPr>
          <w:rFonts w:hint="eastAsia" w:ascii="方正仿宋简体" w:hAnsi="方正仿宋简体" w:eastAsia="方正仿宋简体" w:cs="方正仿宋简体"/>
          <w:sz w:val="32"/>
          <w:szCs w:val="32"/>
          <w:highlight w:val="none"/>
          <w:lang w:val="en-US" w:eastAsia="zh-CN"/>
        </w:rPr>
        <w:t>且</w:t>
      </w:r>
      <w:r>
        <w:rPr>
          <w:rFonts w:hint="eastAsia" w:ascii="方正仿宋简体" w:hAnsi="方正仿宋简体" w:eastAsia="方正仿宋简体" w:cs="方正仿宋简体"/>
          <w:sz w:val="32"/>
          <w:szCs w:val="32"/>
          <w:highlight w:val="none"/>
        </w:rPr>
        <w:t>与部门职能职责相符</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未见</w:t>
      </w:r>
      <w:r>
        <w:rPr>
          <w:rFonts w:hint="eastAsia" w:ascii="方正仿宋简体" w:hAnsi="方正仿宋简体" w:eastAsia="方正仿宋简体" w:cs="方正仿宋简体"/>
          <w:sz w:val="32"/>
          <w:szCs w:val="32"/>
          <w:highlight w:val="none"/>
          <w:lang w:eastAsia="zh-CN"/>
        </w:rPr>
        <w:t>与相关部门同类项目或部门内部相关项目重复</w:t>
      </w:r>
      <w:r>
        <w:rPr>
          <w:rFonts w:hint="eastAsia" w:ascii="方正仿宋简体" w:hAnsi="方正仿宋简体" w:eastAsia="方正仿宋简体" w:cs="方正仿宋简体"/>
          <w:sz w:val="32"/>
          <w:szCs w:val="32"/>
          <w:highlight w:val="none"/>
          <w:lang w:val="en-US" w:eastAsia="zh-CN"/>
        </w:rPr>
        <w:t>情况发生</w:t>
      </w:r>
      <w:r>
        <w:rPr>
          <w:rFonts w:hint="eastAsia" w:ascii="方正仿宋简体" w:hAnsi="方正仿宋简体" w:eastAsia="方正仿宋简体" w:cs="方正仿宋简体"/>
          <w:sz w:val="32"/>
          <w:szCs w:val="32"/>
          <w:highlight w:val="none"/>
        </w:rPr>
        <w:t>。</w:t>
      </w:r>
    </w:p>
    <w:bookmarkEnd w:id="76"/>
    <w:p w14:paraId="7DAA01A4">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bookmarkStart w:id="77" w:name="_Toc4104"/>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bookmarkEnd w:id="77"/>
    </w:p>
    <w:p w14:paraId="694FD868">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.规划合理性</w:t>
      </w:r>
    </w:p>
    <w:p w14:paraId="1A3C8BB0">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rPr>
        <w:t>评价组查阅了</w:t>
      </w:r>
      <w:bookmarkStart w:id="78" w:name="_Hlk143014851"/>
      <w:r>
        <w:rPr>
          <w:rFonts w:hint="eastAsia" w:ascii="方正仿宋简体" w:hAnsi="方正仿宋简体" w:eastAsia="方正仿宋简体" w:cs="方正仿宋简体"/>
          <w:sz w:val="32"/>
          <w:szCs w:val="32"/>
          <w:highlight w:val="none"/>
        </w:rPr>
        <w:t>泸定县教育和体育局</w:t>
      </w:r>
      <w:bookmarkEnd w:id="78"/>
      <w:r>
        <w:rPr>
          <w:rFonts w:hint="eastAsia" w:ascii="方正仿宋简体" w:hAnsi="方正仿宋简体" w:eastAsia="方正仿宋简体" w:cs="方正仿宋简体"/>
          <w:sz w:val="32"/>
          <w:szCs w:val="32"/>
          <w:highlight w:val="none"/>
        </w:rPr>
        <w:t>项目</w:t>
      </w:r>
      <w:r>
        <w:rPr>
          <w:rFonts w:hint="eastAsia" w:ascii="方正仿宋简体" w:hAnsi="方正仿宋简体" w:eastAsia="方正仿宋简体" w:cs="方正仿宋简体"/>
          <w:sz w:val="32"/>
          <w:szCs w:val="32"/>
          <w:highlight w:val="none"/>
          <w:lang w:val="en-US" w:eastAsia="zh-CN"/>
        </w:rPr>
        <w:t>事前</w:t>
      </w:r>
      <w:r>
        <w:rPr>
          <w:rFonts w:hint="eastAsia" w:ascii="方正仿宋简体" w:hAnsi="方正仿宋简体" w:eastAsia="方正仿宋简体" w:cs="方正仿宋简体"/>
          <w:sz w:val="32"/>
          <w:szCs w:val="32"/>
          <w:highlight w:val="none"/>
        </w:rPr>
        <w:t>绩效评估报告和项目绩效目标申报表，项目实施符合州委、州政府重大决策部署和宏观政策规划，</w:t>
      </w:r>
      <w:r>
        <w:rPr>
          <w:rFonts w:hint="eastAsia" w:ascii="方正仿宋简体" w:hAnsi="方正仿宋简体" w:eastAsia="方正仿宋简体" w:cs="方正仿宋简体"/>
          <w:sz w:val="32"/>
          <w:szCs w:val="32"/>
          <w:highlight w:val="none"/>
          <w:lang w:val="en-US" w:eastAsia="zh-CN"/>
        </w:rPr>
        <w:t>项目实施</w:t>
      </w:r>
      <w:r>
        <w:rPr>
          <w:rFonts w:hint="eastAsia" w:ascii="方正仿宋简体" w:hAnsi="方正仿宋简体" w:eastAsia="方正仿宋简体" w:cs="方正仿宋简体"/>
          <w:sz w:val="32"/>
          <w:szCs w:val="32"/>
          <w:highlight w:val="none"/>
        </w:rPr>
        <w:t>与现实需求</w:t>
      </w:r>
      <w:r>
        <w:rPr>
          <w:rFonts w:hint="eastAsia" w:ascii="方正仿宋简体" w:hAnsi="方正仿宋简体" w:eastAsia="方正仿宋简体" w:cs="方正仿宋简体"/>
          <w:sz w:val="32"/>
          <w:szCs w:val="32"/>
          <w:highlight w:val="none"/>
          <w:lang w:val="en-US" w:eastAsia="zh-CN"/>
        </w:rPr>
        <w:t>基本</w:t>
      </w:r>
      <w:r>
        <w:rPr>
          <w:rFonts w:hint="eastAsia" w:ascii="方正仿宋简体" w:hAnsi="方正仿宋简体" w:eastAsia="方正仿宋简体" w:cs="方正仿宋简体"/>
          <w:sz w:val="32"/>
          <w:szCs w:val="32"/>
          <w:highlight w:val="none"/>
        </w:rPr>
        <w:t>匹配</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但作为本项目实际执行单位，泸定县教育和体育局未编制项目中长期规划目标，导致本项目在延展性及可持续发展效益发挥存在缺陷，扣除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10C697A9">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F0D8210">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.管理制度完备性</w:t>
      </w:r>
    </w:p>
    <w:p w14:paraId="7E6B0C83">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泸定县教育和体育局对项目的管理</w:t>
      </w:r>
      <w:r>
        <w:rPr>
          <w:rFonts w:hint="eastAsia" w:ascii="方正仿宋简体" w:hAnsi="方正仿宋简体" w:eastAsia="方正仿宋简体" w:cs="方正仿宋简体"/>
          <w:sz w:val="32"/>
          <w:szCs w:val="32"/>
          <w:highlight w:val="none"/>
          <w:lang w:val="en-US" w:eastAsia="zh-CN"/>
        </w:rPr>
        <w:t>编制了日常管理制度，如《财政收支管理制度》、采购内控制度等，但未对具体项目的管理编制指导意见、实施细则、管理办法等用以明确具体项目实施的控制体系，扣除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50</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rPr>
        <w:t>。</w:t>
      </w:r>
    </w:p>
    <w:p w14:paraId="5AE8B326">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1</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5</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6055AAD9">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zh-CN"/>
        </w:rPr>
      </w:pPr>
      <w:bookmarkStart w:id="79" w:name="_Toc32636"/>
      <w:bookmarkStart w:id="80" w:name="_Toc14016"/>
      <w:bookmarkStart w:id="81" w:name="_Toc1541608668"/>
      <w:bookmarkStart w:id="82" w:name="_Toc31125"/>
      <w:bookmarkStart w:id="83" w:name="_Toc32247"/>
      <w:bookmarkStart w:id="84" w:name="_Toc88957765"/>
      <w:bookmarkStart w:id="85" w:name="_Toc142913853"/>
      <w:bookmarkStart w:id="86" w:name="_Toc32234"/>
      <w:bookmarkStart w:id="87" w:name="_Toc319507675_WPSOffice_Level3"/>
      <w:r>
        <w:rPr>
          <w:rFonts w:hint="eastAsia" w:ascii="方正楷体简体" w:hAnsi="方正楷体简体" w:eastAsia="方正楷体简体" w:cs="方正楷体简体"/>
          <w:sz w:val="32"/>
          <w:szCs w:val="32"/>
          <w:highlight w:val="none"/>
          <w:lang w:val="zh-CN"/>
        </w:rPr>
        <w:t>（二）</w:t>
      </w:r>
      <w:bookmarkEnd w:id="79"/>
      <w:bookmarkEnd w:id="80"/>
      <w:bookmarkEnd w:id="81"/>
      <w:bookmarkEnd w:id="82"/>
      <w:bookmarkEnd w:id="83"/>
      <w:bookmarkEnd w:id="84"/>
      <w:r>
        <w:rPr>
          <w:rFonts w:hint="eastAsia" w:ascii="方正楷体简体" w:hAnsi="方正楷体简体" w:eastAsia="方正楷体简体" w:cs="方正楷体简体"/>
          <w:sz w:val="32"/>
          <w:szCs w:val="32"/>
          <w:highlight w:val="none"/>
          <w:lang w:val="zh-CN"/>
        </w:rPr>
        <w:t>项目实施</w:t>
      </w:r>
      <w:bookmarkEnd w:id="85"/>
      <w:bookmarkEnd w:id="86"/>
    </w:p>
    <w:p w14:paraId="690F1FE8">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bookmarkStart w:id="88" w:name="_Toc4448"/>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项目实施</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下设三个三级指标分别为：资金分配合理性、资金使用合规性、项目执行有效性。</w:t>
      </w:r>
      <w:bookmarkEnd w:id="88"/>
    </w:p>
    <w:p w14:paraId="65411F0B">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.资金分配合理性</w:t>
      </w:r>
    </w:p>
    <w:p w14:paraId="4CA9607D">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全州高考改革标准化考场建设</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年县级财政支出项目申请财政资金</w:t>
      </w:r>
      <w:r>
        <w:rPr>
          <w:rFonts w:hint="default" w:ascii="Times New Roman" w:hAnsi="Times New Roman" w:eastAsia="方正仿宋简体" w:cs="Times New Roman"/>
          <w:sz w:val="32"/>
          <w:szCs w:val="32"/>
          <w:highlight w:val="none"/>
        </w:rPr>
        <w:t>453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825</w:t>
      </w:r>
      <w:r>
        <w:rPr>
          <w:rFonts w:hint="eastAsia" w:ascii="方正仿宋简体" w:hAnsi="方正仿宋简体" w:eastAsia="方正仿宋简体" w:cs="方正仿宋简体"/>
          <w:sz w:val="32"/>
          <w:szCs w:val="32"/>
          <w:highlight w:val="none"/>
        </w:rPr>
        <w:t>万元，其中年初预算县配套资金</w:t>
      </w:r>
      <w:r>
        <w:rPr>
          <w:rFonts w:hint="default" w:ascii="Times New Roman" w:hAnsi="Times New Roman" w:eastAsia="方正仿宋简体" w:cs="Times New Roman"/>
          <w:sz w:val="32"/>
          <w:szCs w:val="32"/>
          <w:highlight w:val="none"/>
        </w:rPr>
        <w:t>180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万元，泸财教〔</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82</w:t>
      </w:r>
      <w:r>
        <w:rPr>
          <w:rFonts w:hint="eastAsia" w:ascii="方正仿宋简体" w:hAnsi="方正仿宋简体" w:eastAsia="方正仿宋简体" w:cs="方正仿宋简体"/>
          <w:sz w:val="32"/>
          <w:szCs w:val="32"/>
          <w:highlight w:val="none"/>
        </w:rPr>
        <w:t>号文件安排上级补助资金</w:t>
      </w:r>
      <w:r>
        <w:rPr>
          <w:rFonts w:hint="default" w:ascii="Times New Roman" w:hAnsi="Times New Roman" w:eastAsia="方正仿宋简体" w:cs="Times New Roman"/>
          <w:sz w:val="32"/>
          <w:szCs w:val="32"/>
          <w:highlight w:val="none"/>
        </w:rPr>
        <w:t>273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825</w:t>
      </w:r>
      <w:r>
        <w:rPr>
          <w:rFonts w:hint="eastAsia" w:ascii="方正仿宋简体" w:hAnsi="方正仿宋简体" w:eastAsia="方正仿宋简体" w:cs="方正仿宋简体"/>
          <w:sz w:val="32"/>
          <w:szCs w:val="32"/>
          <w:highlight w:val="none"/>
        </w:rPr>
        <w:t>万元</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预算资金全部及时到位，分配与计划基本保持一致</w:t>
      </w:r>
      <w:r>
        <w:rPr>
          <w:rFonts w:hint="eastAsia" w:ascii="方正仿宋简体" w:hAnsi="方正仿宋简体" w:eastAsia="方正仿宋简体" w:cs="方正仿宋简体"/>
          <w:sz w:val="32"/>
          <w:szCs w:val="32"/>
          <w:highlight w:val="none"/>
        </w:rPr>
        <w:t>。</w:t>
      </w:r>
    </w:p>
    <w:p w14:paraId="125FFF1C">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4B362BA3">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.资金使用合规性</w:t>
      </w:r>
    </w:p>
    <w:p w14:paraId="7F80A3A4">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bookmarkStart w:id="89" w:name="_Hlk142493324"/>
      <w:r>
        <w:rPr>
          <w:rFonts w:hint="eastAsia" w:ascii="方正仿宋简体" w:hAnsi="方正仿宋简体" w:eastAsia="方正仿宋简体" w:cs="方正仿宋简体"/>
          <w:sz w:val="32"/>
          <w:szCs w:val="32"/>
          <w:highlight w:val="none"/>
        </w:rPr>
        <w:t>泸定县</w:t>
      </w:r>
      <w:bookmarkEnd w:id="89"/>
      <w:r>
        <w:rPr>
          <w:rFonts w:hint="eastAsia" w:ascii="方正仿宋简体" w:hAnsi="方正仿宋简体" w:eastAsia="方正仿宋简体" w:cs="方正仿宋简体"/>
          <w:sz w:val="32"/>
          <w:szCs w:val="32"/>
          <w:highlight w:val="none"/>
        </w:rPr>
        <w:t>教育和体育局对项目资金的使用符合国家财经法规和财务管理制度及有关专项资金管理办法规定；资金拨付有完整的审批程序和手续；符合项目预算批复或合同规定用途；不存在截留、挤占、挪用、虚列支出等情况。</w:t>
      </w:r>
    </w:p>
    <w:p w14:paraId="70AB2909">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2642B06F">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.项目执行有效性</w:t>
      </w:r>
    </w:p>
    <w:p w14:paraId="629D9BC1">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bookmarkStart w:id="90" w:name="_Toc1369"/>
      <w:r>
        <w:rPr>
          <w:rFonts w:hint="eastAsia" w:ascii="方正仿宋简体" w:hAnsi="方正仿宋简体" w:eastAsia="方正仿宋简体" w:cs="方正仿宋简体"/>
          <w:sz w:val="32"/>
          <w:szCs w:val="32"/>
          <w:highlight w:val="none"/>
        </w:rPr>
        <w:t>泸定县教育和体育局对项目的管理依照《关于加快高考综合改革设施设备及标准化考场建设工作的通知》（甘教体函〔</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1139</w:t>
      </w:r>
      <w:r>
        <w:rPr>
          <w:rFonts w:hint="eastAsia" w:ascii="方正仿宋简体" w:hAnsi="方正仿宋简体" w:eastAsia="方正仿宋简体" w:cs="方正仿宋简体"/>
          <w:sz w:val="32"/>
          <w:szCs w:val="32"/>
          <w:highlight w:val="none"/>
        </w:rPr>
        <w:t>号）及甘孜藏族自治州大学中专招生委员会办公室《关于加快推进标准化考场及国家教育考试防作弊系统建设的通知》（甘招办〔</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43</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《泸定县教育和体育局内部控制手册（试行）》执行</w:t>
      </w:r>
      <w:r>
        <w:rPr>
          <w:rFonts w:hint="eastAsia" w:ascii="方正仿宋简体" w:hAnsi="方正仿宋简体" w:eastAsia="方正仿宋简体" w:cs="方正仿宋简体"/>
          <w:sz w:val="32"/>
          <w:szCs w:val="32"/>
          <w:highlight w:val="none"/>
          <w:lang w:eastAsia="zh-CN"/>
        </w:rPr>
        <w:t>，项目实施遵守相关法律法规；项目调整手续完备，项目合同、验收报告、技术鉴定等资料齐全并及时归档</w:t>
      </w:r>
      <w:r>
        <w:rPr>
          <w:rFonts w:hint="eastAsia" w:ascii="方正仿宋简体" w:hAnsi="方正仿宋简体" w:eastAsia="方正仿宋简体" w:cs="方正仿宋简体"/>
          <w:sz w:val="32"/>
          <w:szCs w:val="32"/>
          <w:highlight w:val="none"/>
        </w:rPr>
        <w:t>。</w:t>
      </w:r>
    </w:p>
    <w:p w14:paraId="108ED5DA">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bookmarkEnd w:id="90"/>
    </w:p>
    <w:p w14:paraId="5D12E5FA">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zh-CN"/>
        </w:rPr>
      </w:pPr>
      <w:bookmarkStart w:id="91" w:name="_Toc16444"/>
      <w:bookmarkStart w:id="92" w:name="_Toc32069"/>
      <w:bookmarkStart w:id="93" w:name="_Toc2043726100"/>
      <w:bookmarkStart w:id="94" w:name="_Toc1142577582"/>
      <w:bookmarkStart w:id="95" w:name="_Toc1836"/>
      <w:bookmarkStart w:id="96" w:name="_Toc142913854"/>
      <w:r>
        <w:rPr>
          <w:rFonts w:hint="eastAsia" w:ascii="方正楷体简体" w:hAnsi="方正楷体简体" w:eastAsia="方正楷体简体" w:cs="方正楷体简体"/>
          <w:sz w:val="32"/>
          <w:szCs w:val="32"/>
          <w:highlight w:val="none"/>
          <w:lang w:val="zh-CN"/>
        </w:rPr>
        <w:t>（三）</w:t>
      </w:r>
      <w:bookmarkEnd w:id="91"/>
      <w:bookmarkEnd w:id="92"/>
      <w:bookmarkEnd w:id="93"/>
      <w:bookmarkEnd w:id="94"/>
      <w:r>
        <w:rPr>
          <w:rFonts w:hint="eastAsia" w:ascii="方正楷体简体" w:hAnsi="方正楷体简体" w:eastAsia="方正楷体简体" w:cs="方正楷体简体"/>
          <w:sz w:val="32"/>
          <w:szCs w:val="32"/>
          <w:highlight w:val="none"/>
          <w:lang w:val="zh-CN"/>
        </w:rPr>
        <w:t>完成结果</w:t>
      </w:r>
      <w:bookmarkEnd w:id="95"/>
      <w:bookmarkEnd w:id="96"/>
    </w:p>
    <w:p w14:paraId="2D8F51C2">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bookmarkStart w:id="97" w:name="_Toc1661"/>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完成结果</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下设四个三级指标分别为：预算完成</w:t>
      </w:r>
      <w:r>
        <w:rPr>
          <w:rFonts w:hint="eastAsia" w:ascii="方正仿宋简体" w:hAnsi="方正仿宋简体" w:eastAsia="方正仿宋简体" w:cs="方正仿宋简体"/>
          <w:sz w:val="32"/>
          <w:szCs w:val="32"/>
          <w:highlight w:val="none"/>
          <w:lang w:val="en-US" w:eastAsia="zh-CN"/>
        </w:rPr>
        <w:t>率</w:t>
      </w:r>
      <w:r>
        <w:rPr>
          <w:rFonts w:hint="eastAsia" w:ascii="方正仿宋简体" w:hAnsi="方正仿宋简体" w:eastAsia="方正仿宋简体" w:cs="方正仿宋简体"/>
          <w:sz w:val="32"/>
          <w:szCs w:val="32"/>
          <w:highlight w:val="none"/>
        </w:rPr>
        <w:t>、目标完成</w:t>
      </w:r>
      <w:r>
        <w:rPr>
          <w:rFonts w:hint="eastAsia" w:ascii="方正仿宋简体" w:hAnsi="方正仿宋简体" w:eastAsia="方正仿宋简体" w:cs="方正仿宋简体"/>
          <w:sz w:val="32"/>
          <w:szCs w:val="32"/>
          <w:highlight w:val="none"/>
          <w:lang w:val="en-US" w:eastAsia="zh-CN"/>
        </w:rPr>
        <w:t>率</w:t>
      </w:r>
      <w:r>
        <w:rPr>
          <w:rFonts w:hint="eastAsia" w:ascii="方正仿宋简体" w:hAnsi="方正仿宋简体" w:eastAsia="方正仿宋简体" w:cs="方正仿宋简体"/>
          <w:sz w:val="32"/>
          <w:szCs w:val="32"/>
          <w:highlight w:val="none"/>
        </w:rPr>
        <w:t>、</w:t>
      </w:r>
      <w:bookmarkStart w:id="98" w:name="_Hlk142494591"/>
      <w:r>
        <w:rPr>
          <w:rFonts w:hint="eastAsia" w:ascii="方正仿宋简体" w:hAnsi="方正仿宋简体" w:eastAsia="方正仿宋简体" w:cs="方正仿宋简体"/>
          <w:sz w:val="32"/>
          <w:szCs w:val="32"/>
          <w:highlight w:val="none"/>
        </w:rPr>
        <w:t>完成</w:t>
      </w:r>
      <w:bookmarkEnd w:id="98"/>
      <w:r>
        <w:rPr>
          <w:rFonts w:hint="eastAsia" w:ascii="方正仿宋简体" w:hAnsi="方正仿宋简体" w:eastAsia="方正仿宋简体" w:cs="方正仿宋简体"/>
          <w:sz w:val="32"/>
          <w:szCs w:val="32"/>
          <w:highlight w:val="none"/>
          <w:lang w:val="en-US" w:eastAsia="zh-CN"/>
        </w:rPr>
        <w:t>及时率</w:t>
      </w:r>
      <w:r>
        <w:rPr>
          <w:rFonts w:hint="eastAsia" w:ascii="方正仿宋简体" w:hAnsi="方正仿宋简体" w:eastAsia="方正仿宋简体" w:cs="方正仿宋简体"/>
          <w:sz w:val="32"/>
          <w:szCs w:val="32"/>
          <w:highlight w:val="none"/>
        </w:rPr>
        <w:t>、违规记录。</w:t>
      </w:r>
      <w:bookmarkEnd w:id="97"/>
    </w:p>
    <w:p w14:paraId="146617F6">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.预算完成</w:t>
      </w:r>
      <w:r>
        <w:rPr>
          <w:rFonts w:hint="eastAsia" w:ascii="方正仿宋简体" w:hAnsi="方正仿宋简体" w:eastAsia="方正仿宋简体" w:cs="方正仿宋简体"/>
          <w:sz w:val="32"/>
          <w:szCs w:val="32"/>
          <w:highlight w:val="none"/>
          <w:lang w:val="en-US" w:eastAsia="zh-CN"/>
        </w:rPr>
        <w:t>率</w:t>
      </w:r>
    </w:p>
    <w:p w14:paraId="44DEC57F">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本项目预算</w:t>
      </w:r>
      <w:r>
        <w:rPr>
          <w:rFonts w:hint="default" w:ascii="Times New Roman" w:hAnsi="Times New Roman" w:eastAsia="方正仿宋简体" w:cs="Times New Roman"/>
          <w:sz w:val="32"/>
          <w:szCs w:val="32"/>
          <w:highlight w:val="none"/>
        </w:rPr>
        <w:t>453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83</w:t>
      </w:r>
      <w:r>
        <w:rPr>
          <w:rFonts w:hint="eastAsia" w:ascii="方正仿宋简体" w:hAnsi="方正仿宋简体" w:eastAsia="方正仿宋简体" w:cs="方正仿宋简体"/>
          <w:sz w:val="32"/>
          <w:szCs w:val="32"/>
          <w:highlight w:val="none"/>
        </w:rPr>
        <w:t>万元，实际执行</w:t>
      </w:r>
      <w:r>
        <w:rPr>
          <w:rFonts w:hint="default" w:ascii="Times New Roman" w:hAnsi="Times New Roman" w:eastAsia="方正仿宋简体" w:cs="Times New Roman"/>
          <w:sz w:val="32"/>
          <w:szCs w:val="32"/>
          <w:highlight w:val="none"/>
        </w:rPr>
        <w:t>453</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59</w:t>
      </w:r>
      <w:r>
        <w:rPr>
          <w:rFonts w:hint="eastAsia" w:ascii="方正仿宋简体" w:hAnsi="方正仿宋简体" w:eastAsia="方正仿宋简体" w:cs="方正仿宋简体"/>
          <w:sz w:val="32"/>
          <w:szCs w:val="32"/>
          <w:highlight w:val="none"/>
        </w:rPr>
        <w:t>万元，执行率</w:t>
      </w:r>
      <w:r>
        <w:rPr>
          <w:rFonts w:hint="default" w:ascii="Times New Roman" w:hAnsi="Times New Roman" w:eastAsia="方正仿宋简体" w:cs="Times New Roman"/>
          <w:sz w:val="32"/>
          <w:szCs w:val="32"/>
          <w:highlight w:val="none"/>
        </w:rPr>
        <w:t>99</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95%</w:t>
      </w:r>
      <w:r>
        <w:rPr>
          <w:rFonts w:hint="eastAsia" w:ascii="方正仿宋简体" w:hAnsi="方正仿宋简体" w:eastAsia="方正仿宋简体" w:cs="方正仿宋简体"/>
          <w:sz w:val="32"/>
          <w:szCs w:val="32"/>
          <w:highlight w:val="none"/>
        </w:rPr>
        <w:t>，剩余未付金额已被财政收回</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实际预算完成率按</w:t>
      </w: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计算</w:t>
      </w:r>
      <w:r>
        <w:rPr>
          <w:rFonts w:hint="eastAsia" w:ascii="方正仿宋简体" w:hAnsi="方正仿宋简体" w:eastAsia="方正仿宋简体" w:cs="方正仿宋简体"/>
          <w:sz w:val="32"/>
          <w:szCs w:val="32"/>
          <w:highlight w:val="none"/>
        </w:rPr>
        <w:t>。</w:t>
      </w:r>
    </w:p>
    <w:p w14:paraId="54270289">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61C87D1D">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.目标完成</w:t>
      </w:r>
      <w:r>
        <w:rPr>
          <w:rFonts w:hint="eastAsia" w:ascii="方正仿宋简体" w:hAnsi="方正仿宋简体" w:eastAsia="方正仿宋简体" w:cs="方正仿宋简体"/>
          <w:sz w:val="32"/>
          <w:szCs w:val="32"/>
          <w:highlight w:val="none"/>
          <w:lang w:val="en-US" w:eastAsia="zh-CN"/>
        </w:rPr>
        <w:t>率</w:t>
      </w:r>
    </w:p>
    <w:p w14:paraId="712C3A9A">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根据项目年初目标设定：产出数量指标“防作弊教室建设≧</w:t>
      </w:r>
      <w:r>
        <w:rPr>
          <w:rFonts w:hint="default" w:ascii="Times New Roman" w:hAnsi="Times New Roman" w:eastAsia="方正仿宋简体" w:cs="Times New Roman"/>
          <w:sz w:val="32"/>
          <w:szCs w:val="32"/>
          <w:highlight w:val="none"/>
        </w:rPr>
        <w:t>60</w:t>
      </w:r>
      <w:r>
        <w:rPr>
          <w:rFonts w:hint="eastAsia" w:ascii="方正仿宋简体" w:hAnsi="方正仿宋简体" w:eastAsia="方正仿宋简体" w:cs="方正仿宋简体"/>
          <w:sz w:val="32"/>
          <w:szCs w:val="32"/>
          <w:highlight w:val="none"/>
        </w:rPr>
        <w:t>个”“受益学校数=</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所”，截至</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rPr>
        <w:t>31</w:t>
      </w:r>
      <w:r>
        <w:rPr>
          <w:rFonts w:hint="eastAsia" w:ascii="方正仿宋简体" w:hAnsi="方正仿宋简体" w:eastAsia="方正仿宋简体" w:cs="方正仿宋简体"/>
          <w:sz w:val="32"/>
          <w:szCs w:val="32"/>
          <w:highlight w:val="none"/>
        </w:rPr>
        <w:t>日，相关产出数量指标均已完成，完成率</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w:t>
      </w:r>
    </w:p>
    <w:p w14:paraId="73BE5699">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719E4117">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lang w:val="en-US" w:eastAsia="zh-CN"/>
        </w:rPr>
      </w:pP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.完成</w:t>
      </w:r>
      <w:r>
        <w:rPr>
          <w:rFonts w:hint="eastAsia" w:ascii="方正仿宋简体" w:hAnsi="方正仿宋简体" w:eastAsia="方正仿宋简体" w:cs="方正仿宋简体"/>
          <w:sz w:val="32"/>
          <w:szCs w:val="32"/>
          <w:highlight w:val="none"/>
          <w:lang w:val="en-US" w:eastAsia="zh-CN"/>
        </w:rPr>
        <w:t>及时率</w:t>
      </w:r>
    </w:p>
    <w:p w14:paraId="3E3A2F75">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项目计划完成时间</w:t>
      </w:r>
      <w:r>
        <w:rPr>
          <w:rFonts w:hint="default" w:ascii="Times New Roman" w:hAnsi="Times New Roman" w:eastAsia="方正仿宋简体" w:cs="Times New Roman"/>
          <w:sz w:val="32"/>
          <w:szCs w:val="32"/>
          <w:highlight w:val="none"/>
        </w:rPr>
        <w:t>202</w:t>
      </w:r>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rPr>
        <w:t>31</w:t>
      </w:r>
      <w:r>
        <w:rPr>
          <w:rFonts w:hint="eastAsia" w:ascii="方正仿宋简体" w:hAnsi="方正仿宋简体" w:eastAsia="方正仿宋简体" w:cs="方正仿宋简体"/>
          <w:sz w:val="32"/>
          <w:szCs w:val="32"/>
          <w:highlight w:val="none"/>
        </w:rPr>
        <w:t>日前，截止于</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lang w:val="en-US" w:eastAsia="zh-CN"/>
        </w:rPr>
        <w:t>12</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lang w:val="en-US" w:eastAsia="zh-CN"/>
        </w:rPr>
        <w:t>31</w:t>
      </w:r>
      <w:r>
        <w:rPr>
          <w:rFonts w:hint="eastAsia" w:ascii="方正仿宋简体" w:hAnsi="方正仿宋简体" w:eastAsia="方正仿宋简体" w:cs="方正仿宋简体"/>
          <w:sz w:val="32"/>
          <w:szCs w:val="32"/>
          <w:highlight w:val="none"/>
        </w:rPr>
        <w:t>日，项目相关采购程序完整，</w:t>
      </w:r>
      <w:r>
        <w:rPr>
          <w:rFonts w:hint="eastAsia" w:ascii="方正仿宋简体" w:hAnsi="方正仿宋简体" w:eastAsia="方正仿宋简体" w:cs="方正仿宋简体"/>
          <w:sz w:val="32"/>
          <w:szCs w:val="32"/>
          <w:highlight w:val="none"/>
          <w:lang w:val="en-US" w:eastAsia="zh-CN"/>
        </w:rPr>
        <w:t>预算资金执行有效，</w:t>
      </w:r>
      <w:r>
        <w:rPr>
          <w:rFonts w:hint="eastAsia" w:ascii="方正仿宋简体" w:hAnsi="方正仿宋简体" w:eastAsia="方正仿宋简体" w:cs="方正仿宋简体"/>
          <w:sz w:val="32"/>
          <w:szCs w:val="32"/>
          <w:highlight w:val="none"/>
        </w:rPr>
        <w:t>实施内容、设施设备已全部验收并投入使用，建设资产使用效益发挥良好，运行正常，能够满足全县对高考工作的标准化统一要求</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完成及时率</w:t>
      </w:r>
      <w:r>
        <w:rPr>
          <w:rFonts w:hint="default" w:ascii="Times New Roman" w:hAnsi="Times New Roman" w:eastAsia="方正仿宋简体" w:cs="Times New Roman"/>
          <w:sz w:val="32"/>
          <w:szCs w:val="32"/>
          <w:highlight w:val="none"/>
          <w:lang w:val="en-US" w:eastAsia="zh-CN"/>
        </w:rPr>
        <w:t>100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w:t>
      </w:r>
    </w:p>
    <w:p w14:paraId="0CFC7D11">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5A41A730">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4</w:t>
      </w:r>
      <w:r>
        <w:rPr>
          <w:rFonts w:hint="eastAsia" w:ascii="方正仿宋简体" w:hAnsi="方正仿宋简体" w:eastAsia="方正仿宋简体" w:cs="方正仿宋简体"/>
          <w:sz w:val="32"/>
          <w:szCs w:val="32"/>
          <w:highlight w:val="none"/>
        </w:rPr>
        <w:t>.违规记录</w:t>
      </w:r>
    </w:p>
    <w:p w14:paraId="5F134EAC">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根据项目实施资料，</w:t>
      </w:r>
      <w:r>
        <w:rPr>
          <w:rFonts w:hint="eastAsia" w:ascii="方正仿宋简体" w:hAnsi="方正仿宋简体" w:eastAsia="方正仿宋简体" w:cs="方正仿宋简体"/>
          <w:sz w:val="32"/>
          <w:szCs w:val="32"/>
          <w:highlight w:val="none"/>
          <w:lang w:val="en-US" w:eastAsia="zh-CN"/>
        </w:rPr>
        <w:t>泸定县教育和体育局在计划、实施、验收本项目过程中，均未出现违背财经法规、国家相关法律法规的情况、受到各级纪委、监委及其他行政处罚机构进行处罚、警告等情况</w:t>
      </w:r>
      <w:r>
        <w:rPr>
          <w:rFonts w:hint="eastAsia" w:ascii="方正仿宋简体" w:hAnsi="方正仿宋简体" w:eastAsia="方正仿宋简体" w:cs="方正仿宋简体"/>
          <w:sz w:val="32"/>
          <w:szCs w:val="32"/>
          <w:highlight w:val="none"/>
        </w:rPr>
        <w:t>。</w:t>
      </w:r>
    </w:p>
    <w:p w14:paraId="5B6E198E">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0</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p w14:paraId="2CE791AB">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zh-CN"/>
        </w:rPr>
      </w:pPr>
      <w:bookmarkStart w:id="99" w:name="_Toc1234034413"/>
      <w:bookmarkStart w:id="100" w:name="_Toc1057408103"/>
      <w:bookmarkStart w:id="101" w:name="_Toc142913855"/>
      <w:bookmarkStart w:id="102" w:name="_Toc5847"/>
      <w:r>
        <w:rPr>
          <w:rFonts w:hint="eastAsia" w:ascii="方正楷体简体" w:hAnsi="方正楷体简体" w:eastAsia="方正楷体简体" w:cs="方正楷体简体"/>
          <w:sz w:val="32"/>
          <w:szCs w:val="32"/>
          <w:highlight w:val="none"/>
          <w:lang w:val="zh-CN"/>
        </w:rPr>
        <w:t>（四）</w:t>
      </w:r>
      <w:bookmarkEnd w:id="99"/>
      <w:bookmarkEnd w:id="100"/>
      <w:r>
        <w:rPr>
          <w:rFonts w:hint="eastAsia" w:ascii="方正楷体简体" w:hAnsi="方正楷体简体" w:eastAsia="方正楷体简体" w:cs="方正楷体简体"/>
          <w:sz w:val="32"/>
          <w:szCs w:val="32"/>
          <w:highlight w:val="none"/>
          <w:lang w:val="zh-CN"/>
        </w:rPr>
        <w:t>项目效果</w:t>
      </w:r>
      <w:bookmarkEnd w:id="101"/>
      <w:bookmarkEnd w:id="102"/>
    </w:p>
    <w:p w14:paraId="1724ABC3">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bookmarkStart w:id="103" w:name="_Toc16730"/>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项目效果</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w:t>
      </w:r>
      <w:r>
        <w:rPr>
          <w:rFonts w:hint="eastAsia" w:ascii="方正仿宋简体" w:hAnsi="方正仿宋简体" w:eastAsia="方正仿宋简体" w:cs="方正仿宋简体"/>
          <w:sz w:val="32"/>
          <w:szCs w:val="32"/>
          <w:highlight w:val="none"/>
          <w:lang w:val="en-US" w:eastAsia="zh-CN"/>
        </w:rPr>
        <w:t>四</w:t>
      </w:r>
      <w:r>
        <w:rPr>
          <w:rFonts w:hint="eastAsia" w:ascii="方正仿宋简体" w:hAnsi="方正仿宋简体" w:eastAsia="方正仿宋简体" w:cs="方正仿宋简体"/>
          <w:sz w:val="32"/>
          <w:szCs w:val="32"/>
          <w:highlight w:val="none"/>
        </w:rPr>
        <w:t>个三级指标分别为：</w:t>
      </w:r>
      <w:bookmarkEnd w:id="103"/>
      <w:r>
        <w:rPr>
          <w:rFonts w:hint="eastAsia" w:ascii="方正仿宋简体" w:hAnsi="方正仿宋简体" w:eastAsia="方正仿宋简体" w:cs="方正仿宋简体"/>
          <w:sz w:val="32"/>
          <w:szCs w:val="32"/>
          <w:highlight w:val="none"/>
          <w:lang w:val="en-US" w:eastAsia="zh-CN"/>
        </w:rPr>
        <w:t>功能性</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配套性</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社会满意度、</w:t>
      </w:r>
      <w:r>
        <w:rPr>
          <w:rFonts w:hint="eastAsia" w:ascii="方正仿宋简体" w:hAnsi="方正仿宋简体" w:eastAsia="方正仿宋简体" w:cs="方正仿宋简体"/>
          <w:sz w:val="32"/>
          <w:szCs w:val="32"/>
          <w:highlight w:val="none"/>
        </w:rPr>
        <w:t>教学（文化）设备利用率。</w:t>
      </w:r>
    </w:p>
    <w:p w14:paraId="531A9A4B">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lang w:eastAsia="zh-CN"/>
        </w:rPr>
      </w:pPr>
      <w:r>
        <w:rPr>
          <w:rFonts w:hint="default" w:ascii="Times New Roman" w:hAnsi="Times New Roman" w:eastAsia="方正仿宋简体" w:cs="Times New Roman"/>
          <w:sz w:val="32"/>
          <w:szCs w:val="32"/>
          <w:highlight w:val="none"/>
        </w:rPr>
        <w:t>1</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功能性</w:t>
      </w:r>
    </w:p>
    <w:p w14:paraId="431B744F">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val="en-US" w:eastAsia="zh-CN"/>
        </w:rPr>
        <w:t>随着本项目</w:t>
      </w:r>
      <w:r>
        <w:rPr>
          <w:rFonts w:hint="eastAsia" w:ascii="方正仿宋简体" w:hAnsi="方正仿宋简体" w:eastAsia="方正仿宋简体" w:cs="方正仿宋简体"/>
          <w:sz w:val="32"/>
          <w:szCs w:val="32"/>
          <w:highlight w:val="none"/>
        </w:rPr>
        <w:t>实施内容、</w:t>
      </w:r>
      <w:r>
        <w:rPr>
          <w:rFonts w:hint="eastAsia" w:ascii="方正仿宋简体" w:hAnsi="方正仿宋简体" w:eastAsia="方正仿宋简体" w:cs="方正仿宋简体"/>
          <w:sz w:val="32"/>
          <w:szCs w:val="32"/>
          <w:highlight w:val="none"/>
          <w:lang w:val="en-US" w:eastAsia="zh-CN"/>
        </w:rPr>
        <w:t>采购的</w:t>
      </w:r>
      <w:r>
        <w:rPr>
          <w:rFonts w:hint="eastAsia" w:ascii="方正仿宋简体" w:hAnsi="方正仿宋简体" w:eastAsia="方正仿宋简体" w:cs="方正仿宋简体"/>
          <w:sz w:val="32"/>
          <w:szCs w:val="32"/>
          <w:highlight w:val="none"/>
        </w:rPr>
        <w:t>设施</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设备全部验收并投入使用，建设资产使用效益发挥</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运行正常，</w:t>
      </w:r>
      <w:r>
        <w:rPr>
          <w:rFonts w:hint="eastAsia" w:ascii="方正仿宋简体" w:hAnsi="方正仿宋简体" w:eastAsia="方正仿宋简体" w:cs="方正仿宋简体"/>
          <w:sz w:val="32"/>
          <w:szCs w:val="32"/>
          <w:highlight w:val="none"/>
          <w:lang w:val="en-US" w:eastAsia="zh-CN"/>
        </w:rPr>
        <w:t>在极大程度上</w:t>
      </w:r>
      <w:r>
        <w:rPr>
          <w:rFonts w:hint="eastAsia" w:ascii="方正仿宋简体" w:hAnsi="方正仿宋简体" w:eastAsia="方正仿宋简体" w:cs="方正仿宋简体"/>
          <w:sz w:val="32"/>
          <w:szCs w:val="32"/>
          <w:highlight w:val="none"/>
        </w:rPr>
        <w:t>满足</w:t>
      </w:r>
      <w:r>
        <w:rPr>
          <w:rFonts w:hint="eastAsia" w:ascii="方正仿宋简体" w:hAnsi="方正仿宋简体" w:eastAsia="方正仿宋简体" w:cs="方正仿宋简体"/>
          <w:sz w:val="32"/>
          <w:szCs w:val="32"/>
          <w:highlight w:val="none"/>
          <w:lang w:eastAsia="zh-CN"/>
        </w:rPr>
        <w:t>了</w:t>
      </w:r>
      <w:r>
        <w:rPr>
          <w:rFonts w:hint="eastAsia" w:ascii="方正仿宋简体" w:hAnsi="方正仿宋简体" w:eastAsia="方正仿宋简体" w:cs="方正仿宋简体"/>
          <w:sz w:val="32"/>
          <w:szCs w:val="32"/>
          <w:highlight w:val="none"/>
        </w:rPr>
        <w:t>全县对高考工作的标准化统一要求</w:t>
      </w:r>
      <w:r>
        <w:rPr>
          <w:rFonts w:hint="eastAsia" w:ascii="方正仿宋简体" w:hAnsi="方正仿宋简体" w:eastAsia="方正仿宋简体" w:cs="方正仿宋简体"/>
          <w:sz w:val="32"/>
          <w:szCs w:val="32"/>
          <w:highlight w:val="none"/>
          <w:lang w:val="en-US" w:eastAsia="zh-CN"/>
        </w:rPr>
        <w:t>，并对泸定县及县覆盖地区教育、教学功能完善起到了积极推进作用，增强了地区教育、教学功能性</w:t>
      </w:r>
      <w:r>
        <w:rPr>
          <w:rFonts w:hint="eastAsia" w:ascii="方正仿宋简体" w:hAnsi="方正仿宋简体" w:eastAsia="方正仿宋简体" w:cs="方正仿宋简体"/>
          <w:sz w:val="32"/>
          <w:szCs w:val="32"/>
          <w:highlight w:val="none"/>
        </w:rPr>
        <w:t>。</w:t>
      </w:r>
    </w:p>
    <w:p w14:paraId="4C3F2814">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717082A0">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配套性</w:t>
      </w:r>
    </w:p>
    <w:p w14:paraId="335DE8C2">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截止于</w:t>
      </w:r>
      <w:r>
        <w:rPr>
          <w:rFonts w:hint="default" w:ascii="Times New Roman" w:hAnsi="Times New Roman" w:eastAsia="方正仿宋简体" w:cs="Times New Roman"/>
          <w:sz w:val="32"/>
          <w:szCs w:val="32"/>
          <w:highlight w:val="none"/>
        </w:rPr>
        <w:t>2023</w:t>
      </w:r>
      <w:r>
        <w:rPr>
          <w:rFonts w:hint="eastAsia" w:ascii="方正仿宋简体" w:hAnsi="方正仿宋简体" w:eastAsia="方正仿宋简体" w:cs="方正仿宋简体"/>
          <w:sz w:val="32"/>
          <w:szCs w:val="32"/>
          <w:highlight w:val="none"/>
        </w:rPr>
        <w:t>年</w:t>
      </w:r>
      <w:r>
        <w:rPr>
          <w:rFonts w:hint="default" w:ascii="Times New Roman" w:hAnsi="Times New Roman" w:eastAsia="方正仿宋简体" w:cs="Times New Roman"/>
          <w:sz w:val="32"/>
          <w:szCs w:val="32"/>
          <w:highlight w:val="none"/>
        </w:rPr>
        <w:t>12</w:t>
      </w:r>
      <w:r>
        <w:rPr>
          <w:rFonts w:hint="eastAsia" w:ascii="方正仿宋简体" w:hAnsi="方正仿宋简体" w:eastAsia="方正仿宋简体" w:cs="方正仿宋简体"/>
          <w:sz w:val="32"/>
          <w:szCs w:val="32"/>
          <w:highlight w:val="none"/>
        </w:rPr>
        <w:t>月</w:t>
      </w:r>
      <w:r>
        <w:rPr>
          <w:rFonts w:hint="default" w:ascii="Times New Roman" w:hAnsi="Times New Roman" w:eastAsia="方正仿宋简体" w:cs="Times New Roman"/>
          <w:sz w:val="32"/>
          <w:szCs w:val="32"/>
          <w:highlight w:val="none"/>
        </w:rPr>
        <w:t>31</w:t>
      </w:r>
      <w:r>
        <w:rPr>
          <w:rFonts w:hint="eastAsia" w:ascii="方正仿宋简体" w:hAnsi="方正仿宋简体" w:eastAsia="方正仿宋简体" w:cs="方正仿宋简体"/>
          <w:sz w:val="32"/>
          <w:szCs w:val="32"/>
          <w:highlight w:val="none"/>
        </w:rPr>
        <w:t>日，项目相关采购程序完整，实施内容、采购的设施设备已全部验收并投入使用，建设资产使用符合了</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关于加快高考综合改革设施设备及标准化考场建设工作的通知》（甘教体函〔</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1139</w:t>
      </w:r>
      <w:r>
        <w:rPr>
          <w:rFonts w:hint="eastAsia" w:ascii="方正仿宋简体" w:hAnsi="方正仿宋简体" w:eastAsia="方正仿宋简体" w:cs="方正仿宋简体"/>
          <w:sz w:val="32"/>
          <w:szCs w:val="32"/>
          <w:highlight w:val="none"/>
        </w:rPr>
        <w:t>号）及甘孜藏族自治州大学中专招生委员会办公室《关于加快推进标准化考场及国家教育考试防作弊系统建设的通知》（甘招办〔</w:t>
      </w:r>
      <w:r>
        <w:rPr>
          <w:rFonts w:hint="default" w:ascii="Times New Roman" w:hAnsi="Times New Roman" w:eastAsia="方正仿宋简体" w:cs="Times New Roman"/>
          <w:sz w:val="32"/>
          <w:szCs w:val="32"/>
          <w:highlight w:val="none"/>
        </w:rPr>
        <w:t>2022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43</w:t>
      </w:r>
      <w:r>
        <w:rPr>
          <w:rFonts w:hint="eastAsia" w:ascii="方正仿宋简体" w:hAnsi="方正仿宋简体" w:eastAsia="方正仿宋简体" w:cs="方正仿宋简体"/>
          <w:sz w:val="32"/>
          <w:szCs w:val="32"/>
          <w:highlight w:val="none"/>
        </w:rPr>
        <w:t>号）文件要求相关，与</w:t>
      </w:r>
      <w:r>
        <w:rPr>
          <w:rFonts w:hint="eastAsia" w:ascii="方正仿宋简体" w:hAnsi="方正仿宋简体" w:eastAsia="方正仿宋简体" w:cs="方正仿宋简体"/>
          <w:sz w:val="32"/>
          <w:szCs w:val="32"/>
          <w:highlight w:val="none"/>
          <w:lang w:val="en-US" w:eastAsia="zh-CN"/>
        </w:rPr>
        <w:t>泸定县</w:t>
      </w:r>
      <w:r>
        <w:rPr>
          <w:rFonts w:hint="eastAsia" w:ascii="方正仿宋简体" w:hAnsi="方正仿宋简体" w:eastAsia="方正仿宋简体" w:cs="方正仿宋简体"/>
          <w:sz w:val="32"/>
          <w:szCs w:val="32"/>
          <w:highlight w:val="none"/>
        </w:rPr>
        <w:t>县级</w:t>
      </w:r>
      <w:r>
        <w:rPr>
          <w:rFonts w:hint="eastAsia" w:ascii="方正仿宋简体" w:hAnsi="方正仿宋简体" w:eastAsia="方正仿宋简体" w:cs="方正仿宋简体"/>
          <w:sz w:val="32"/>
          <w:szCs w:val="32"/>
          <w:highlight w:val="none"/>
          <w:lang w:val="en-US" w:eastAsia="zh-CN"/>
        </w:rPr>
        <w:t>及</w:t>
      </w:r>
      <w:r>
        <w:rPr>
          <w:rFonts w:hint="eastAsia" w:ascii="方正仿宋简体" w:hAnsi="方正仿宋简体" w:eastAsia="方正仿宋简体" w:cs="方正仿宋简体"/>
          <w:sz w:val="32"/>
          <w:szCs w:val="32"/>
          <w:highlight w:val="none"/>
        </w:rPr>
        <w:t>地方教育、教学及教学基础设施建设配套，效益发挥良好，运行正常，能够满足全县对高考工作的标准化统一要求。</w:t>
      </w:r>
    </w:p>
    <w:p w14:paraId="0195BAA1">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bookmarkEnd w:id="87"/>
    <w:p w14:paraId="4A407CDD">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lang w:val="en-US" w:eastAsia="zh-CN"/>
        </w:rPr>
      </w:pPr>
      <w:bookmarkStart w:id="104" w:name="_Toc2072298162"/>
      <w:bookmarkStart w:id="105" w:name="_Toc1710821527"/>
      <w:bookmarkStart w:id="106" w:name="_Toc142913856"/>
      <w:r>
        <w:rPr>
          <w:rFonts w:hint="default" w:ascii="Times New Roman" w:hAnsi="Times New Roman" w:eastAsia="方正仿宋简体" w:cs="Times New Roman"/>
          <w:sz w:val="32"/>
          <w:szCs w:val="32"/>
          <w:highlight w:val="none"/>
          <w:lang w:val="en-US" w:eastAsia="zh-CN"/>
        </w:rPr>
        <w:t>3</w:t>
      </w:r>
      <w:r>
        <w:rPr>
          <w:rFonts w:hint="eastAsia" w:ascii="方正仿宋简体" w:hAnsi="方正仿宋简体" w:eastAsia="方正仿宋简体" w:cs="方正仿宋简体"/>
          <w:sz w:val="32"/>
          <w:szCs w:val="32"/>
          <w:highlight w:val="none"/>
          <w:lang w:val="en-US" w:eastAsia="zh-CN"/>
        </w:rPr>
        <w:t>.社会满意度</w:t>
      </w:r>
    </w:p>
    <w:p w14:paraId="3F9C2A46">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指标“社会满意度”下设一个三级指标：社会满意度</w:t>
      </w:r>
    </w:p>
    <w:p w14:paraId="6617EF5E">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评价中通过问卷调查分析，调查群体主要为学校老师、学生及学生家庭，针对全州及全县推进高考改革标准化建设为主题，共计发放问卷</w:t>
      </w:r>
      <w:r>
        <w:rPr>
          <w:rFonts w:hint="default" w:ascii="Times New Roman" w:hAnsi="Times New Roman" w:eastAsia="方正仿宋简体" w:cs="Times New Roman"/>
          <w:sz w:val="32"/>
          <w:szCs w:val="32"/>
          <w:highlight w:val="none"/>
          <w:lang w:val="en-US" w:eastAsia="zh-CN"/>
        </w:rPr>
        <w:t>250</w:t>
      </w:r>
      <w:r>
        <w:rPr>
          <w:rFonts w:hint="eastAsia" w:ascii="方正仿宋简体" w:hAnsi="方正仿宋简体" w:eastAsia="方正仿宋简体" w:cs="方正仿宋简体"/>
          <w:sz w:val="32"/>
          <w:szCs w:val="32"/>
          <w:highlight w:val="none"/>
          <w:lang w:val="en-US" w:eastAsia="zh-CN"/>
        </w:rPr>
        <w:t>份，收到有效问卷</w:t>
      </w:r>
      <w:r>
        <w:rPr>
          <w:rFonts w:hint="default" w:ascii="Times New Roman" w:hAnsi="Times New Roman" w:eastAsia="方正仿宋简体" w:cs="Times New Roman"/>
          <w:sz w:val="32"/>
          <w:szCs w:val="32"/>
          <w:highlight w:val="none"/>
          <w:lang w:val="en-US" w:eastAsia="zh-CN"/>
        </w:rPr>
        <w:t>250</w:t>
      </w:r>
      <w:r>
        <w:rPr>
          <w:rFonts w:hint="eastAsia" w:ascii="方正仿宋简体" w:hAnsi="方正仿宋简体" w:eastAsia="方正仿宋简体" w:cs="方正仿宋简体"/>
          <w:sz w:val="32"/>
          <w:szCs w:val="32"/>
          <w:highlight w:val="none"/>
          <w:lang w:val="en-US" w:eastAsia="zh-CN"/>
        </w:rPr>
        <w:t>份，整体评价满意度≥</w:t>
      </w:r>
      <w:r>
        <w:rPr>
          <w:rFonts w:hint="default" w:ascii="Times New Roman" w:hAnsi="Times New Roman" w:eastAsia="方正仿宋简体" w:cs="Times New Roman"/>
          <w:sz w:val="32"/>
          <w:szCs w:val="32"/>
          <w:highlight w:val="none"/>
          <w:lang w:val="en-US" w:eastAsia="zh-CN"/>
        </w:rPr>
        <w:t>90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w:t>
      </w:r>
    </w:p>
    <w:p w14:paraId="31E02585">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4FCB169E">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rPr>
        <w:t>.教学（文化）设备利用率</w:t>
      </w:r>
    </w:p>
    <w:p w14:paraId="60CC5E49">
      <w:pPr>
        <w:pStyle w:val="2"/>
        <w:pageBreakBefore w:val="0"/>
        <w:kinsoku/>
        <w:wordWrap/>
        <w:overflowPunct/>
        <w:topLinePunct w:val="0"/>
        <w:autoSpaceDE/>
        <w:autoSpaceDN/>
        <w:bidi w:val="0"/>
        <w:spacing w:after="0" w:line="600" w:lineRule="exact"/>
        <w:ind w:left="0" w:leftChars="0" w:firstLine="564"/>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评价组通过对本项目采购设施、设备及建设资产使用情况进行了解，泸定县教育和体育局在满足正常高考的同时，该建成资产还充分用于全县中考、全县期末汇考及社会考试等方面，建成资产利用率较高</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但泸定县教育和体育局未对该资产利用及使用情况进行数字化统筹，导致该资产实际使用效率不可量化，降低了本项目结果运用效果，扣除</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046C6C1E">
      <w:pPr>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4</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6</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rPr>
        <w:t>分。</w:t>
      </w:r>
    </w:p>
    <w:p w14:paraId="64E1E2F5">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zh-CN"/>
        </w:rPr>
      </w:pPr>
      <w:bookmarkStart w:id="107" w:name="_Toc20338"/>
      <w:r>
        <w:rPr>
          <w:rFonts w:hint="eastAsia" w:ascii="方正楷体简体" w:hAnsi="方正楷体简体" w:eastAsia="方正楷体简体" w:cs="方正楷体简体"/>
          <w:sz w:val="32"/>
          <w:szCs w:val="32"/>
          <w:highlight w:val="none"/>
          <w:lang w:val="zh-CN"/>
        </w:rPr>
        <w:t>（五）</w:t>
      </w:r>
      <w:bookmarkEnd w:id="104"/>
      <w:bookmarkEnd w:id="105"/>
      <w:bookmarkEnd w:id="106"/>
      <w:r>
        <w:rPr>
          <w:rFonts w:hint="eastAsia" w:ascii="方正楷体简体" w:hAnsi="方正楷体简体" w:eastAsia="方正楷体简体" w:cs="方正楷体简体"/>
          <w:sz w:val="32"/>
          <w:szCs w:val="32"/>
          <w:highlight w:val="none"/>
          <w:lang w:val="zh-CN"/>
        </w:rPr>
        <w:t>基础管理</w:t>
      </w:r>
      <w:bookmarkEnd w:id="107"/>
    </w:p>
    <w:p w14:paraId="2FA702DC">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基础管理</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下设一个三级指标：</w:t>
      </w:r>
      <w:r>
        <w:rPr>
          <w:rFonts w:hint="eastAsia" w:ascii="方正仿宋简体" w:hAnsi="方正仿宋简体" w:eastAsia="方正仿宋简体" w:cs="方正仿宋简体"/>
          <w:sz w:val="32"/>
          <w:szCs w:val="32"/>
          <w:highlight w:val="none"/>
          <w:lang w:val="en-US" w:eastAsia="zh-CN"/>
        </w:rPr>
        <w:t>对象覆盖全面</w:t>
      </w:r>
      <w:r>
        <w:rPr>
          <w:rFonts w:hint="eastAsia" w:ascii="方正仿宋简体" w:hAnsi="方正仿宋简体" w:eastAsia="方正仿宋简体" w:cs="方正仿宋简体"/>
          <w:sz w:val="32"/>
          <w:szCs w:val="32"/>
          <w:highlight w:val="none"/>
        </w:rPr>
        <w:t>。</w:t>
      </w:r>
    </w:p>
    <w:p w14:paraId="495DF502">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评价组</w:t>
      </w:r>
      <w:r>
        <w:rPr>
          <w:rFonts w:hint="eastAsia" w:ascii="方正仿宋简体" w:hAnsi="方正仿宋简体" w:eastAsia="方正仿宋简体" w:cs="方正仿宋简体"/>
          <w:sz w:val="32"/>
          <w:szCs w:val="32"/>
          <w:highlight w:val="none"/>
          <w:lang w:val="en-US" w:eastAsia="zh-CN"/>
        </w:rPr>
        <w:t>通过本项目目标申报、具体实施等情况，了解到本项目在全县两所高中具体实施，与既定目标保持一致，基本做到了全面覆盖</w:t>
      </w:r>
      <w:r>
        <w:rPr>
          <w:rFonts w:hint="eastAsia" w:ascii="方正仿宋简体" w:hAnsi="方正仿宋简体" w:eastAsia="方正仿宋简体" w:cs="方正仿宋简体"/>
          <w:sz w:val="32"/>
          <w:szCs w:val="32"/>
          <w:highlight w:val="none"/>
        </w:rPr>
        <w:t>。</w:t>
      </w:r>
    </w:p>
    <w:p w14:paraId="04C2BBB1">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04D68774">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zh-CN"/>
        </w:rPr>
      </w:pPr>
      <w:bookmarkStart w:id="108" w:name="_Toc1036307307"/>
      <w:bookmarkStart w:id="109" w:name="_Toc1403589335"/>
      <w:bookmarkStart w:id="110" w:name="_Toc28929"/>
      <w:bookmarkStart w:id="111" w:name="_Toc142913857"/>
      <w:bookmarkStart w:id="112" w:name="_Toc1256376225_WPSOffice_Level3"/>
      <w:r>
        <w:rPr>
          <w:rFonts w:hint="eastAsia" w:ascii="方正楷体简体" w:hAnsi="方正楷体简体" w:eastAsia="方正楷体简体" w:cs="方正楷体简体"/>
          <w:sz w:val="32"/>
          <w:szCs w:val="32"/>
          <w:highlight w:val="none"/>
          <w:lang w:val="zh-CN"/>
        </w:rPr>
        <w:t>（六）</w:t>
      </w:r>
      <w:bookmarkEnd w:id="108"/>
      <w:bookmarkEnd w:id="109"/>
      <w:r>
        <w:rPr>
          <w:rFonts w:hint="eastAsia" w:ascii="方正楷体简体" w:hAnsi="方正楷体简体" w:eastAsia="方正楷体简体" w:cs="方正楷体简体"/>
          <w:sz w:val="32"/>
          <w:szCs w:val="32"/>
          <w:highlight w:val="none"/>
          <w:lang w:val="zh-CN"/>
        </w:rPr>
        <w:t>社会效益</w:t>
      </w:r>
      <w:bookmarkEnd w:id="110"/>
      <w:bookmarkEnd w:id="111"/>
    </w:p>
    <w:p w14:paraId="5BF95130">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指标</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社会效益</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下设</w:t>
      </w:r>
      <w:r>
        <w:rPr>
          <w:rFonts w:hint="eastAsia" w:ascii="方正仿宋简体" w:hAnsi="方正仿宋简体" w:eastAsia="方正仿宋简体" w:cs="方正仿宋简体"/>
          <w:sz w:val="32"/>
          <w:szCs w:val="32"/>
          <w:highlight w:val="none"/>
          <w:lang w:val="en-US" w:eastAsia="zh-CN"/>
        </w:rPr>
        <w:t>一</w:t>
      </w:r>
      <w:r>
        <w:rPr>
          <w:rFonts w:hint="eastAsia" w:ascii="方正仿宋简体" w:hAnsi="方正仿宋简体" w:eastAsia="方正仿宋简体" w:cs="方正仿宋简体"/>
          <w:sz w:val="32"/>
          <w:szCs w:val="32"/>
          <w:highlight w:val="none"/>
        </w:rPr>
        <w:t>个三级指标：提升民族地区基础教育办学条件</w:t>
      </w:r>
      <w:r>
        <w:rPr>
          <w:rFonts w:hint="eastAsia" w:ascii="方正仿宋简体" w:hAnsi="方正仿宋简体" w:eastAsia="方正仿宋简体" w:cs="方正仿宋简体"/>
          <w:sz w:val="32"/>
          <w:szCs w:val="32"/>
          <w:highlight w:val="none"/>
          <w:lang w:eastAsia="zh-CN"/>
        </w:rPr>
        <w:t>。</w:t>
      </w:r>
    </w:p>
    <w:bookmarkEnd w:id="112"/>
    <w:p w14:paraId="4897724D">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随着全州及全县推进高考改革标准化建设，补全高考标准化建设短板，强化教育、教学功能性设备利用，较好地提升了民族地区基础教育办学条件，促进民族地区教育事业与全州、全省、全国同步蓬勃发展。</w:t>
      </w:r>
    </w:p>
    <w:p w14:paraId="3E5038A2">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8</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sz w:val="32"/>
          <w:szCs w:val="32"/>
          <w:highlight w:val="none"/>
          <w:lang w:eastAsia="zh-CN"/>
        </w:rPr>
        <w:t>。</w:t>
      </w:r>
    </w:p>
    <w:p w14:paraId="537F29FB">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113" w:name="_Toc25508"/>
      <w:r>
        <w:rPr>
          <w:rFonts w:hint="eastAsia" w:ascii="方正楷体简体" w:hAnsi="方正楷体简体" w:eastAsia="方正楷体简体" w:cs="方正楷体简体"/>
          <w:sz w:val="32"/>
          <w:szCs w:val="32"/>
          <w:highlight w:val="none"/>
          <w:lang w:val="en-US" w:eastAsia="zh-CN"/>
        </w:rPr>
        <w:t>（七）可持续发展</w:t>
      </w:r>
      <w:bookmarkEnd w:id="113"/>
    </w:p>
    <w:p w14:paraId="5A0AB46C">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指标“可持续发展”下设一个三级指标：延展性</w:t>
      </w:r>
    </w:p>
    <w:p w14:paraId="6BD9BAF1">
      <w:pPr>
        <w:pStyle w:val="2"/>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评价组通过审视本项目实际情况，作为民族地区教育、教学事业基础建设，可带动民族地区教育、教学事业发展</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但泸定县教育和体育局未对本项目可持续发展进行后续规划和管理，导致项目延展性一般，甚至无可持续发展可能，扣除</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分。</w:t>
      </w:r>
    </w:p>
    <w:p w14:paraId="79963B0E">
      <w:pPr>
        <w:pStyle w:val="2"/>
        <w:pageBreakBefore w:val="0"/>
        <w:kinsoku/>
        <w:wordWrap/>
        <w:overflowPunct/>
        <w:topLinePunct w:val="0"/>
        <w:autoSpaceDE/>
        <w:autoSpaceDN/>
        <w:bidi w:val="0"/>
        <w:spacing w:after="0" w:line="600" w:lineRule="exact"/>
        <w:ind w:left="0" w:leftChars="0" w:firstLine="561"/>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指标分为</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分，得分为</w:t>
      </w:r>
      <w:r>
        <w:rPr>
          <w:rFonts w:hint="default" w:ascii="Times New Roman" w:hAnsi="Times New Roman" w:eastAsia="方正仿宋简体" w:cs="Times New Roman"/>
          <w:sz w:val="32"/>
          <w:szCs w:val="32"/>
          <w:highlight w:val="none"/>
          <w:lang w:val="en-US" w:eastAsia="zh-CN"/>
        </w:rPr>
        <w:t>5</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p>
    <w:p w14:paraId="14BF3F93">
      <w:pPr>
        <w:pageBreakBefore w:val="0"/>
        <w:kinsoku/>
        <w:wordWrap/>
        <w:overflowPunct/>
        <w:topLinePunct w:val="0"/>
        <w:autoSpaceDE/>
        <w:autoSpaceDN/>
        <w:bidi w:val="0"/>
        <w:spacing w:line="600" w:lineRule="exact"/>
        <w:ind w:left="0" w:leftChars="0" w:firstLine="640" w:firstLineChars="200"/>
        <w:outlineLvl w:val="0"/>
        <w:rPr>
          <w:rFonts w:hint="eastAsia" w:ascii="方正黑体简体" w:hAnsi="方正黑体简体" w:eastAsia="方正黑体简体" w:cs="方正黑体简体"/>
          <w:sz w:val="32"/>
          <w:szCs w:val="32"/>
          <w:highlight w:val="none"/>
        </w:rPr>
      </w:pPr>
      <w:bookmarkStart w:id="114" w:name="_Toc6520"/>
      <w:r>
        <w:rPr>
          <w:rFonts w:hint="eastAsia" w:ascii="方正黑体简体" w:hAnsi="方正黑体简体" w:eastAsia="方正黑体简体" w:cs="方正黑体简体"/>
          <w:sz w:val="32"/>
          <w:szCs w:val="32"/>
          <w:highlight w:val="none"/>
          <w:lang w:val="en-US" w:eastAsia="zh-CN"/>
        </w:rPr>
        <w:t>六</w:t>
      </w:r>
      <w:r>
        <w:rPr>
          <w:rFonts w:hint="eastAsia" w:ascii="方正黑体简体" w:hAnsi="方正黑体简体" w:eastAsia="方正黑体简体" w:cs="方正黑体简体"/>
          <w:sz w:val="32"/>
          <w:szCs w:val="32"/>
          <w:highlight w:val="none"/>
        </w:rPr>
        <w:t>、存在的主要问题</w:t>
      </w:r>
      <w:bookmarkEnd w:id="71"/>
      <w:bookmarkEnd w:id="72"/>
      <w:bookmarkEnd w:id="73"/>
      <w:bookmarkEnd w:id="74"/>
      <w:bookmarkEnd w:id="114"/>
    </w:p>
    <w:p w14:paraId="19BBD5FC">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115" w:name="_Toc1038715558"/>
      <w:bookmarkStart w:id="116" w:name="_Toc1321079616"/>
      <w:bookmarkStart w:id="117" w:name="_Toc3283"/>
      <w:bookmarkStart w:id="118" w:name="_Toc828329307"/>
      <w:bookmarkStart w:id="119" w:name="_Toc21431"/>
      <w:r>
        <w:rPr>
          <w:rFonts w:hint="eastAsia" w:ascii="方正楷体简体" w:hAnsi="方正楷体简体" w:eastAsia="方正楷体简体" w:cs="方正楷体简体"/>
          <w:sz w:val="32"/>
          <w:szCs w:val="32"/>
          <w:highlight w:val="none"/>
          <w:lang w:val="zh-CN"/>
        </w:rPr>
        <w:t>（一）</w:t>
      </w:r>
      <w:bookmarkEnd w:id="115"/>
      <w:bookmarkEnd w:id="116"/>
      <w:bookmarkEnd w:id="117"/>
      <w:bookmarkEnd w:id="118"/>
      <w:r>
        <w:rPr>
          <w:rFonts w:hint="eastAsia" w:ascii="方正楷体简体" w:hAnsi="方正楷体简体" w:eastAsia="方正楷体简体" w:cs="方正楷体简体"/>
          <w:sz w:val="32"/>
          <w:szCs w:val="32"/>
          <w:highlight w:val="none"/>
          <w:lang w:val="en-US" w:eastAsia="zh-CN"/>
        </w:rPr>
        <w:t>自评质量欠佳，绩效目标管理有待加强</w:t>
      </w:r>
      <w:bookmarkEnd w:id="119"/>
    </w:p>
    <w:p w14:paraId="741438D9">
      <w:pPr>
        <w:pageBreakBefore w:val="0"/>
        <w:kinsoku/>
        <w:wordWrap/>
        <w:overflowPunct/>
        <w:topLinePunct w:val="0"/>
        <w:autoSpaceDE/>
        <w:autoSpaceDN/>
        <w:bidi w:val="0"/>
        <w:spacing w:line="600" w:lineRule="exact"/>
        <w:ind w:left="0" w:leftChars="0" w:firstLine="564"/>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经查，发现项目总体目标中列示了完成防作弊教室建设</w:t>
      </w:r>
      <w:r>
        <w:rPr>
          <w:rFonts w:hint="default" w:ascii="Times New Roman" w:hAnsi="Times New Roman" w:eastAsia="方正仿宋简体" w:cs="Times New Roman"/>
          <w:sz w:val="32"/>
          <w:szCs w:val="32"/>
          <w:highlight w:val="none"/>
        </w:rPr>
        <w:t>66</w:t>
      </w:r>
      <w:r>
        <w:rPr>
          <w:rFonts w:hint="eastAsia" w:ascii="方正仿宋简体" w:hAnsi="方正仿宋简体" w:eastAsia="方正仿宋简体" w:cs="方正仿宋简体"/>
          <w:sz w:val="32"/>
          <w:szCs w:val="32"/>
          <w:highlight w:val="none"/>
        </w:rPr>
        <w:t>间，实际指标设定“防作弊教室建设≧</w:t>
      </w:r>
      <w:r>
        <w:rPr>
          <w:rFonts w:hint="default" w:ascii="Times New Roman" w:hAnsi="Times New Roman" w:eastAsia="方正仿宋简体" w:cs="Times New Roman"/>
          <w:sz w:val="32"/>
          <w:szCs w:val="32"/>
          <w:highlight w:val="none"/>
        </w:rPr>
        <w:t>60</w:t>
      </w:r>
      <w:r>
        <w:rPr>
          <w:rFonts w:hint="eastAsia" w:ascii="方正仿宋简体" w:hAnsi="方正仿宋简体" w:eastAsia="方正仿宋简体" w:cs="方正仿宋简体"/>
          <w:sz w:val="32"/>
          <w:szCs w:val="32"/>
          <w:highlight w:val="none"/>
          <w:lang w:val="en-US" w:eastAsia="zh-CN"/>
        </w:rPr>
        <w:t>间</w:t>
      </w:r>
      <w:r>
        <w:rPr>
          <w:rFonts w:hint="eastAsia" w:ascii="方正仿宋简体" w:hAnsi="方正仿宋简体" w:eastAsia="方正仿宋简体" w:cs="方正仿宋简体"/>
          <w:sz w:val="32"/>
          <w:szCs w:val="32"/>
          <w:highlight w:val="none"/>
        </w:rPr>
        <w:t>”，</w:t>
      </w:r>
      <w:r>
        <w:rPr>
          <w:rFonts w:hint="eastAsia" w:ascii="方正仿宋简体" w:hAnsi="方正仿宋简体" w:eastAsia="方正仿宋简体" w:cs="方正仿宋简体"/>
          <w:sz w:val="32"/>
          <w:szCs w:val="32"/>
          <w:highlight w:val="none"/>
          <w:lang w:val="en-US" w:eastAsia="zh-CN"/>
        </w:rPr>
        <w:t>自评</w:t>
      </w:r>
      <w:r>
        <w:rPr>
          <w:rFonts w:hint="eastAsia" w:ascii="方正仿宋简体" w:hAnsi="方正仿宋简体" w:eastAsia="方正仿宋简体" w:cs="方正仿宋简体"/>
          <w:sz w:val="32"/>
          <w:szCs w:val="32"/>
          <w:highlight w:val="none"/>
        </w:rPr>
        <w:t>完成值为</w:t>
      </w:r>
      <w:r>
        <w:rPr>
          <w:rFonts w:hint="default" w:ascii="Times New Roman" w:hAnsi="Times New Roman" w:eastAsia="方正仿宋简体" w:cs="Times New Roman"/>
          <w:sz w:val="32"/>
          <w:szCs w:val="32"/>
          <w:highlight w:val="none"/>
        </w:rPr>
        <w:t>60</w:t>
      </w:r>
      <w:r>
        <w:rPr>
          <w:rFonts w:hint="eastAsia" w:ascii="方正仿宋简体" w:hAnsi="方正仿宋简体" w:eastAsia="方正仿宋简体" w:cs="方正仿宋简体"/>
          <w:sz w:val="32"/>
          <w:szCs w:val="32"/>
          <w:highlight w:val="none"/>
          <w:lang w:val="en-US" w:eastAsia="zh-CN"/>
        </w:rPr>
        <w:t>间</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经询问，实际完成值为</w:t>
      </w:r>
      <w:r>
        <w:rPr>
          <w:rFonts w:hint="default" w:ascii="Times New Roman" w:hAnsi="Times New Roman" w:eastAsia="方正仿宋简体" w:cs="Times New Roman"/>
          <w:sz w:val="32"/>
          <w:szCs w:val="32"/>
          <w:highlight w:val="none"/>
          <w:lang w:val="en-US" w:eastAsia="zh-CN"/>
        </w:rPr>
        <w:t>66</w:t>
      </w:r>
      <w:r>
        <w:rPr>
          <w:rFonts w:hint="eastAsia" w:ascii="方正仿宋简体" w:hAnsi="方正仿宋简体" w:eastAsia="方正仿宋简体" w:cs="方正仿宋简体"/>
          <w:sz w:val="32"/>
          <w:szCs w:val="32"/>
          <w:highlight w:val="none"/>
          <w:lang w:val="en-US" w:eastAsia="zh-CN"/>
        </w:rPr>
        <w:t>间</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rPr>
        <w:t>，总体目标设定与</w:t>
      </w:r>
      <w:r>
        <w:rPr>
          <w:rFonts w:hint="eastAsia" w:ascii="方正仿宋简体" w:hAnsi="方正仿宋简体" w:eastAsia="方正仿宋简体" w:cs="方正仿宋简体"/>
          <w:sz w:val="32"/>
          <w:szCs w:val="32"/>
          <w:highlight w:val="none"/>
          <w:lang w:val="en-US" w:eastAsia="zh-CN"/>
        </w:rPr>
        <w:t>明细</w:t>
      </w:r>
      <w:r>
        <w:rPr>
          <w:rFonts w:hint="eastAsia" w:ascii="方正仿宋简体" w:hAnsi="方正仿宋简体" w:eastAsia="方正仿宋简体" w:cs="方正仿宋简体"/>
          <w:sz w:val="32"/>
          <w:szCs w:val="32"/>
          <w:highlight w:val="none"/>
        </w:rPr>
        <w:t>指标设定</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与实际执行内容明显</w:t>
      </w:r>
      <w:r>
        <w:rPr>
          <w:rFonts w:hint="eastAsia" w:ascii="方正仿宋简体" w:hAnsi="方正仿宋简体" w:eastAsia="方正仿宋简体" w:cs="方正仿宋简体"/>
          <w:sz w:val="32"/>
          <w:szCs w:val="32"/>
          <w:highlight w:val="none"/>
        </w:rPr>
        <w:t>不符。</w:t>
      </w:r>
    </w:p>
    <w:p w14:paraId="704104EB">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120" w:name="_Toc17145"/>
      <w:r>
        <w:rPr>
          <w:rFonts w:hint="eastAsia" w:ascii="方正楷体简体" w:hAnsi="方正楷体简体" w:eastAsia="方正楷体简体" w:cs="方正楷体简体"/>
          <w:sz w:val="32"/>
          <w:szCs w:val="32"/>
          <w:highlight w:val="none"/>
          <w:lang w:val="zh-CN"/>
        </w:rPr>
        <w:t>（二）</w:t>
      </w:r>
      <w:r>
        <w:rPr>
          <w:rFonts w:hint="eastAsia" w:ascii="方正楷体简体" w:hAnsi="方正楷体简体" w:eastAsia="方正楷体简体" w:cs="方正楷体简体"/>
          <w:sz w:val="32"/>
          <w:szCs w:val="32"/>
          <w:highlight w:val="none"/>
          <w:lang w:val="en-US" w:eastAsia="zh-CN"/>
        </w:rPr>
        <w:t>制度完备性有待进一步提高</w:t>
      </w:r>
      <w:bookmarkEnd w:id="120"/>
    </w:p>
    <w:p w14:paraId="10B3D91B">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经查，泸定县教育和体育局制定了采购内控制度、财务收支管理制度等，项目管理制度基本完善，但</w:t>
      </w:r>
      <w:r>
        <w:rPr>
          <w:rFonts w:hint="eastAsia" w:ascii="方正仿宋简体" w:hAnsi="方正仿宋简体" w:eastAsia="方正仿宋简体" w:cs="方正仿宋简体"/>
          <w:sz w:val="32"/>
          <w:szCs w:val="32"/>
          <w:highlight w:val="none"/>
          <w:lang w:val="en-US" w:eastAsia="zh-CN"/>
        </w:rPr>
        <w:t>针对具体</w:t>
      </w:r>
      <w:r>
        <w:rPr>
          <w:rFonts w:hint="eastAsia" w:ascii="方正仿宋简体" w:hAnsi="方正仿宋简体" w:eastAsia="方正仿宋简体" w:cs="方正仿宋简体"/>
          <w:sz w:val="32"/>
          <w:szCs w:val="32"/>
          <w:highlight w:val="none"/>
        </w:rPr>
        <w:t>项目指导意见、具体管理办法、申报指南、实施细则等仍存在缺失，</w:t>
      </w:r>
      <w:r>
        <w:rPr>
          <w:rFonts w:hint="eastAsia" w:ascii="方正仿宋简体" w:hAnsi="方正仿宋简体" w:eastAsia="方正仿宋简体" w:cs="方正仿宋简体"/>
          <w:sz w:val="32"/>
          <w:szCs w:val="32"/>
          <w:highlight w:val="none"/>
          <w:lang w:val="en-US" w:eastAsia="zh-CN"/>
        </w:rPr>
        <w:t>导致项目在实施过程中缺乏具体的监管及考核依据</w:t>
      </w:r>
      <w:r>
        <w:rPr>
          <w:rFonts w:hint="eastAsia" w:ascii="方正仿宋简体" w:hAnsi="方正仿宋简体" w:eastAsia="方正仿宋简体" w:cs="方正仿宋简体"/>
          <w:sz w:val="32"/>
          <w:szCs w:val="32"/>
          <w:highlight w:val="none"/>
        </w:rPr>
        <w:t>。</w:t>
      </w:r>
    </w:p>
    <w:p w14:paraId="7C15E72D">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121" w:name="_Toc18338"/>
      <w:bookmarkStart w:id="122" w:name="_Toc209175539"/>
      <w:bookmarkStart w:id="123" w:name="_Toc1665834229"/>
      <w:bookmarkStart w:id="124" w:name="_Toc2061369965"/>
      <w:r>
        <w:rPr>
          <w:rFonts w:hint="eastAsia" w:ascii="方正楷体简体" w:hAnsi="方正楷体简体" w:eastAsia="方正楷体简体" w:cs="方正楷体简体"/>
          <w:sz w:val="32"/>
          <w:szCs w:val="32"/>
          <w:highlight w:val="none"/>
          <w:lang w:val="en-US" w:eastAsia="zh-CN"/>
        </w:rPr>
        <w:t>（三）项目效果未形成综合管理数据</w:t>
      </w:r>
      <w:bookmarkEnd w:id="121"/>
    </w:p>
    <w:p w14:paraId="5B28524F">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经查泸定县教育和体育局未针对本项目设备、设施及建成资产使用效率进行全面数字化统筹，仅对日常或常规使用情况进行了关注，导致本项目及其资产管理数据不可量化，并对项目效益发挥产生影响。</w:t>
      </w:r>
    </w:p>
    <w:p w14:paraId="1D9B0F1F">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125" w:name="_Toc32011"/>
      <w:r>
        <w:rPr>
          <w:rFonts w:hint="eastAsia" w:ascii="方正楷体简体" w:hAnsi="方正楷体简体" w:eastAsia="方正楷体简体" w:cs="方正楷体简体"/>
          <w:sz w:val="32"/>
          <w:szCs w:val="32"/>
          <w:highlight w:val="none"/>
          <w:lang w:val="en-US" w:eastAsia="zh-CN"/>
        </w:rPr>
        <w:t>（四）项目延展性较弱，可持续发展不足</w:t>
      </w:r>
      <w:bookmarkEnd w:id="125"/>
    </w:p>
    <w:p w14:paraId="221C7CC2">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评价组通过审视本项目实际情况，作为民族地区教育、教学事业基础建设，可带动民族地区教育、教学事业发展。但泸定县教育和体育局未对本项目可持续发展进行后续规划和管理，导致项目延展性一般，甚至无可持续发展可能。</w:t>
      </w:r>
    </w:p>
    <w:p w14:paraId="458E61E4">
      <w:pPr>
        <w:pageBreakBefore w:val="0"/>
        <w:kinsoku/>
        <w:wordWrap/>
        <w:overflowPunct/>
        <w:topLinePunct w:val="0"/>
        <w:autoSpaceDE/>
        <w:autoSpaceDN/>
        <w:bidi w:val="0"/>
        <w:spacing w:line="600" w:lineRule="exact"/>
        <w:ind w:left="0" w:leftChars="0" w:firstLine="640" w:firstLineChars="200"/>
        <w:outlineLvl w:val="0"/>
        <w:rPr>
          <w:rFonts w:hint="eastAsia" w:ascii="方正黑体简体" w:hAnsi="方正黑体简体" w:eastAsia="方正黑体简体" w:cs="方正黑体简体"/>
          <w:sz w:val="32"/>
          <w:szCs w:val="32"/>
          <w:highlight w:val="none"/>
        </w:rPr>
      </w:pPr>
      <w:bookmarkStart w:id="126" w:name="_Toc7211"/>
      <w:bookmarkStart w:id="127" w:name="_Toc8854"/>
      <w:r>
        <w:rPr>
          <w:rFonts w:hint="eastAsia" w:ascii="方正黑体简体" w:hAnsi="方正黑体简体" w:eastAsia="方正黑体简体" w:cs="方正黑体简体"/>
          <w:sz w:val="32"/>
          <w:szCs w:val="32"/>
          <w:highlight w:val="none"/>
          <w:lang w:val="en-US" w:eastAsia="zh-CN"/>
        </w:rPr>
        <w:t>七</w:t>
      </w:r>
      <w:r>
        <w:rPr>
          <w:rFonts w:hint="eastAsia" w:ascii="方正黑体简体" w:hAnsi="方正黑体简体" w:eastAsia="方正黑体简体" w:cs="方正黑体简体"/>
          <w:sz w:val="32"/>
          <w:szCs w:val="32"/>
          <w:highlight w:val="none"/>
        </w:rPr>
        <w:t>、相关措施建议</w:t>
      </w:r>
      <w:bookmarkEnd w:id="122"/>
      <w:bookmarkEnd w:id="123"/>
      <w:bookmarkEnd w:id="124"/>
      <w:bookmarkEnd w:id="126"/>
      <w:bookmarkEnd w:id="127"/>
    </w:p>
    <w:p w14:paraId="094654C1">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zh-CN"/>
        </w:rPr>
      </w:pPr>
      <w:bookmarkStart w:id="128" w:name="_Toc28883"/>
      <w:bookmarkStart w:id="129" w:name="_Toc885755508"/>
      <w:bookmarkStart w:id="130" w:name="_Toc2099841636"/>
      <w:bookmarkStart w:id="131" w:name="_Toc1343332924"/>
      <w:bookmarkStart w:id="132" w:name="_Toc24934"/>
      <w:r>
        <w:rPr>
          <w:rFonts w:hint="eastAsia" w:ascii="方正楷体简体" w:hAnsi="方正楷体简体" w:eastAsia="方正楷体简体" w:cs="方正楷体简体"/>
          <w:sz w:val="32"/>
          <w:szCs w:val="32"/>
          <w:highlight w:val="none"/>
          <w:lang w:val="zh-CN"/>
        </w:rPr>
        <w:t>（一）针对</w:t>
      </w:r>
      <w:r>
        <w:rPr>
          <w:rFonts w:hint="eastAsia" w:ascii="方正楷体简体" w:hAnsi="方正楷体简体" w:eastAsia="方正楷体简体" w:cs="方正楷体简体"/>
          <w:sz w:val="32"/>
          <w:szCs w:val="32"/>
          <w:highlight w:val="none"/>
          <w:lang w:val="zh-CN" w:eastAsia="zh-CN"/>
        </w:rPr>
        <w:t>“</w:t>
      </w:r>
      <w:r>
        <w:rPr>
          <w:rFonts w:hint="eastAsia" w:ascii="方正楷体简体" w:hAnsi="方正楷体简体" w:eastAsia="方正楷体简体" w:cs="方正楷体简体"/>
          <w:sz w:val="32"/>
          <w:szCs w:val="32"/>
          <w:highlight w:val="none"/>
          <w:lang w:val="zh-CN"/>
        </w:rPr>
        <w:t>绩效目标管理有待加强</w:t>
      </w:r>
      <w:r>
        <w:rPr>
          <w:rFonts w:hint="eastAsia" w:ascii="方正楷体简体" w:hAnsi="方正楷体简体" w:eastAsia="方正楷体简体" w:cs="方正楷体简体"/>
          <w:sz w:val="32"/>
          <w:szCs w:val="32"/>
          <w:highlight w:val="none"/>
          <w:lang w:val="zh-CN" w:eastAsia="zh-CN"/>
        </w:rPr>
        <w:t>”</w:t>
      </w:r>
      <w:r>
        <w:rPr>
          <w:rFonts w:hint="eastAsia" w:ascii="方正楷体简体" w:hAnsi="方正楷体简体" w:eastAsia="方正楷体简体" w:cs="方正楷体简体"/>
          <w:sz w:val="32"/>
          <w:szCs w:val="32"/>
          <w:highlight w:val="none"/>
          <w:lang w:val="zh-CN"/>
        </w:rPr>
        <w:t>的建议</w:t>
      </w:r>
      <w:bookmarkEnd w:id="128"/>
    </w:p>
    <w:p w14:paraId="7D6FF3F5">
      <w:pPr>
        <w:pStyle w:val="2"/>
        <w:pageBreakBefore w:val="0"/>
        <w:kinsoku/>
        <w:wordWrap/>
        <w:overflowPunct/>
        <w:topLinePunct w:val="0"/>
        <w:autoSpaceDE/>
        <w:autoSpaceDN/>
        <w:bidi w:val="0"/>
        <w:spacing w:after="0" w:line="600" w:lineRule="exact"/>
        <w:ind w:left="0" w:left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 xml:space="preserve">    建议：泸定县教育和体育局在项目</w:t>
      </w:r>
      <w:r>
        <w:rPr>
          <w:rFonts w:hint="eastAsia" w:ascii="方正仿宋简体" w:hAnsi="方正仿宋简体" w:eastAsia="方正仿宋简体" w:cs="方正仿宋简体"/>
          <w:sz w:val="32"/>
          <w:szCs w:val="32"/>
          <w:highlight w:val="none"/>
          <w:lang w:val="en-US" w:eastAsia="zh-CN"/>
        </w:rPr>
        <w:t>申报过程中严格管理既定总体目标和明细指标，充分保障总体目标与具体明细考核指标存在必然相关性、逻辑性，避免脱离实际太远</w:t>
      </w:r>
      <w:r>
        <w:rPr>
          <w:rFonts w:hint="eastAsia" w:ascii="方正仿宋简体" w:hAnsi="方正仿宋简体" w:eastAsia="方正仿宋简体" w:cs="方正仿宋简体"/>
          <w:sz w:val="32"/>
          <w:szCs w:val="32"/>
          <w:highlight w:val="none"/>
        </w:rPr>
        <w:t>。</w:t>
      </w:r>
    </w:p>
    <w:p w14:paraId="3B41DC02">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zh-CN"/>
        </w:rPr>
      </w:pPr>
      <w:bookmarkStart w:id="133" w:name="_Toc22771"/>
      <w:r>
        <w:rPr>
          <w:rFonts w:hint="eastAsia" w:ascii="方正楷体简体" w:hAnsi="方正楷体简体" w:eastAsia="方正楷体简体" w:cs="方正楷体简体"/>
          <w:sz w:val="32"/>
          <w:szCs w:val="32"/>
          <w:highlight w:val="none"/>
          <w:lang w:val="zh-CN"/>
        </w:rPr>
        <w:t>（二）针对</w:t>
      </w:r>
      <w:bookmarkEnd w:id="129"/>
      <w:r>
        <w:rPr>
          <w:rFonts w:hint="eastAsia" w:ascii="方正楷体简体" w:hAnsi="方正楷体简体" w:eastAsia="方正楷体简体" w:cs="方正楷体简体"/>
          <w:sz w:val="32"/>
          <w:szCs w:val="32"/>
          <w:highlight w:val="none"/>
          <w:lang w:val="zh-CN" w:eastAsia="zh-CN"/>
        </w:rPr>
        <w:t>“</w:t>
      </w:r>
      <w:r>
        <w:rPr>
          <w:rFonts w:hint="eastAsia" w:ascii="方正楷体简体" w:hAnsi="方正楷体简体" w:eastAsia="方正楷体简体" w:cs="方正楷体简体"/>
          <w:sz w:val="32"/>
          <w:szCs w:val="32"/>
          <w:highlight w:val="none"/>
          <w:lang w:val="zh-CN"/>
        </w:rPr>
        <w:t>制度完备性有待进一步提高</w:t>
      </w:r>
      <w:r>
        <w:rPr>
          <w:rFonts w:hint="eastAsia" w:ascii="方正楷体简体" w:hAnsi="方正楷体简体" w:eastAsia="方正楷体简体" w:cs="方正楷体简体"/>
          <w:sz w:val="32"/>
          <w:szCs w:val="32"/>
          <w:highlight w:val="none"/>
          <w:lang w:val="zh-CN" w:eastAsia="zh-CN"/>
        </w:rPr>
        <w:t>”</w:t>
      </w:r>
      <w:r>
        <w:rPr>
          <w:rFonts w:hint="eastAsia" w:ascii="方正楷体简体" w:hAnsi="方正楷体简体" w:eastAsia="方正楷体简体" w:cs="方正楷体简体"/>
          <w:sz w:val="32"/>
          <w:szCs w:val="32"/>
          <w:highlight w:val="none"/>
          <w:lang w:val="zh-CN"/>
        </w:rPr>
        <w:t>的建议</w:t>
      </w:r>
      <w:bookmarkEnd w:id="130"/>
      <w:bookmarkEnd w:id="131"/>
      <w:bookmarkEnd w:id="132"/>
      <w:bookmarkEnd w:id="133"/>
    </w:p>
    <w:p w14:paraId="3EAD278E">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建议：泸定县教育和体育局</w:t>
      </w:r>
      <w:r>
        <w:rPr>
          <w:rFonts w:hint="eastAsia" w:ascii="方正仿宋简体" w:hAnsi="方正仿宋简体" w:eastAsia="方正仿宋简体" w:cs="方正仿宋简体"/>
          <w:sz w:val="32"/>
          <w:szCs w:val="32"/>
          <w:highlight w:val="none"/>
          <w:lang w:val="en-US" w:eastAsia="zh-CN"/>
        </w:rPr>
        <w:t>应加强针对单个具体项目制定相应的指导意见、管理办法和实施细则，保障项目从目标申报到效益充分发挥全过程均有相应制度进行监管和督导</w:t>
      </w:r>
      <w:r>
        <w:rPr>
          <w:rFonts w:hint="eastAsia" w:ascii="方正仿宋简体" w:hAnsi="方正仿宋简体" w:eastAsia="方正仿宋简体" w:cs="方正仿宋简体"/>
          <w:sz w:val="32"/>
          <w:szCs w:val="32"/>
          <w:highlight w:val="none"/>
        </w:rPr>
        <w:t>。</w:t>
      </w:r>
    </w:p>
    <w:p w14:paraId="295583F1">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134" w:name="_Toc14778"/>
      <w:bookmarkStart w:id="135" w:name="_Toc23585"/>
      <w:r>
        <w:rPr>
          <w:rFonts w:hint="eastAsia" w:ascii="方正楷体简体" w:hAnsi="方正楷体简体" w:eastAsia="方正楷体简体" w:cs="方正楷体简体"/>
          <w:sz w:val="32"/>
          <w:szCs w:val="32"/>
          <w:highlight w:val="none"/>
          <w:lang w:val="en-US" w:eastAsia="zh-CN"/>
        </w:rPr>
        <w:t>（三）针对“项目效果未形成综合管理数据”的建议</w:t>
      </w:r>
      <w:bookmarkEnd w:id="134"/>
    </w:p>
    <w:p w14:paraId="0432F1E5">
      <w:pPr>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highlight w:val="none"/>
          <w:lang w:val="en-US" w:eastAsia="zh-CN"/>
        </w:rPr>
      </w:pPr>
      <w:r>
        <w:rPr>
          <w:rFonts w:hint="eastAsia" w:ascii="方正仿宋简体" w:hAnsi="方正仿宋简体" w:eastAsia="方正仿宋简体" w:cs="方正仿宋简体"/>
          <w:sz w:val="32"/>
          <w:szCs w:val="32"/>
          <w:highlight w:val="none"/>
          <w:lang w:val="en-US" w:eastAsia="zh-CN"/>
        </w:rPr>
        <w:t>建议：泸定教育和体育局加强项目后续运用中的统筹管理，尤其是针对形成资产的项目，重点针对项目资产后续效益发挥数据的归集和整理、统筹，以便作为后续继续执行项目的印证数据和管理基础。</w:t>
      </w:r>
    </w:p>
    <w:p w14:paraId="4AA39F42">
      <w:pPr>
        <w:pageBreakBefore w:val="0"/>
        <w:kinsoku/>
        <w:wordWrap/>
        <w:overflowPunct/>
        <w:topLinePunct w:val="0"/>
        <w:autoSpaceDE/>
        <w:autoSpaceDN/>
        <w:bidi w:val="0"/>
        <w:spacing w:line="600" w:lineRule="exact"/>
        <w:ind w:left="0" w:leftChars="0" w:firstLine="640" w:firstLineChars="200"/>
        <w:outlineLvl w:val="0"/>
        <w:rPr>
          <w:rFonts w:hint="eastAsia" w:ascii="方正楷体简体" w:hAnsi="方正楷体简体" w:eastAsia="方正楷体简体" w:cs="方正楷体简体"/>
          <w:sz w:val="32"/>
          <w:szCs w:val="32"/>
          <w:highlight w:val="none"/>
          <w:lang w:val="en-US" w:eastAsia="zh-CN"/>
        </w:rPr>
      </w:pPr>
      <w:bookmarkStart w:id="136" w:name="_Toc22243"/>
      <w:r>
        <w:rPr>
          <w:rFonts w:hint="eastAsia" w:ascii="方正楷体简体" w:hAnsi="方正楷体简体" w:eastAsia="方正楷体简体" w:cs="方正楷体简体"/>
          <w:sz w:val="32"/>
          <w:szCs w:val="32"/>
          <w:highlight w:val="none"/>
          <w:lang w:val="en-US" w:eastAsia="zh-CN"/>
        </w:rPr>
        <w:t>（四）针对“项目延展性较弱，可持续发展不足”的建议</w:t>
      </w:r>
      <w:bookmarkEnd w:id="136"/>
    </w:p>
    <w:p w14:paraId="15E56210">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color w:val="000000"/>
          <w:kern w:val="0"/>
          <w:sz w:val="32"/>
          <w:szCs w:val="32"/>
          <w:highlight w:val="none"/>
          <w:shd w:val="clear" w:color="auto" w:fill="FFFFFF"/>
          <w:lang w:val="en-US" w:eastAsia="zh-CN"/>
        </w:rPr>
      </w:pPr>
      <w:r>
        <w:rPr>
          <w:rFonts w:hint="eastAsia" w:ascii="方正仿宋简体" w:hAnsi="方正仿宋简体" w:eastAsia="方正仿宋简体" w:cs="方正仿宋简体"/>
          <w:color w:val="000000"/>
          <w:kern w:val="0"/>
          <w:sz w:val="32"/>
          <w:szCs w:val="32"/>
          <w:highlight w:val="none"/>
          <w:shd w:val="clear" w:color="auto" w:fill="FFFFFF"/>
          <w:lang w:val="en-US" w:eastAsia="zh-CN"/>
        </w:rPr>
        <w:t>建议：泸定县教育和体育局应加强项目事后总结和分析，从中央、省、市（州）相关政策、地区教育、教学事业发展角度进行全面规划与管理，如建立有效的数据统筹机制，对促进地区教育、教学事业发展的项目定期或不定期开展数据分析，明确相关项目是否在地区具备可延展性及可持续发展，应对可延展性、可持续发展类项目予以强化和支持。</w:t>
      </w:r>
    </w:p>
    <w:p w14:paraId="3A8DC46F">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textAlignment w:val="auto"/>
        <w:rPr>
          <w:rFonts w:hint="eastAsia" w:ascii="方正仿宋简体" w:hAnsi="方正仿宋简体" w:eastAsia="方正仿宋简体" w:cs="方正仿宋简体"/>
          <w:color w:val="000000"/>
          <w:kern w:val="0"/>
          <w:sz w:val="32"/>
          <w:szCs w:val="32"/>
          <w:highlight w:val="none"/>
          <w:shd w:val="clear" w:color="auto" w:fill="FFFFFF"/>
        </w:rPr>
      </w:pPr>
    </w:p>
    <w:p w14:paraId="7CA73598">
      <w:pPr>
        <w:keepNext w:val="0"/>
        <w:keepLines w:val="0"/>
        <w:pageBreakBefore w:val="0"/>
        <w:widowControl/>
        <w:kinsoku/>
        <w:wordWrap/>
        <w:overflowPunct/>
        <w:topLinePunct w:val="0"/>
        <w:autoSpaceDE/>
        <w:autoSpaceDN/>
        <w:bidi w:val="0"/>
        <w:adjustRightInd w:val="0"/>
        <w:snapToGrid w:val="0"/>
        <w:spacing w:line="600" w:lineRule="exact"/>
        <w:ind w:left="1598" w:leftChars="228" w:hanging="960" w:hangingChars="300"/>
        <w:jc w:val="left"/>
        <w:textAlignment w:val="auto"/>
        <w:rPr>
          <w:rFonts w:hint="eastAsia" w:ascii="方正仿宋简体" w:hAnsi="方正仿宋简体" w:eastAsia="方正仿宋简体" w:cs="方正仿宋简体"/>
          <w:sz w:val="32"/>
          <w:szCs w:val="32"/>
          <w:highlight w:val="none"/>
          <w:lang w:eastAsia="zh-CN"/>
        </w:rPr>
      </w:pPr>
      <w:r>
        <w:rPr>
          <w:rFonts w:hint="eastAsia" w:ascii="方正仿宋简体" w:hAnsi="方正仿宋简体" w:eastAsia="方正仿宋简体" w:cs="方正仿宋简体"/>
          <w:color w:val="000000"/>
          <w:kern w:val="0"/>
          <w:sz w:val="32"/>
          <w:szCs w:val="32"/>
          <w:highlight w:val="none"/>
          <w:shd w:val="clear" w:color="auto" w:fill="FFFFFF"/>
        </w:rPr>
        <w:t>附件</w:t>
      </w:r>
      <w:bookmarkEnd w:id="135"/>
      <w:bookmarkStart w:id="137" w:name="_Toc8336"/>
      <w:bookmarkStart w:id="138" w:name="_Toc5975"/>
      <w:r>
        <w:rPr>
          <w:rFonts w:hint="eastAsia" w:ascii="方正仿宋简体" w:hAnsi="方正仿宋简体" w:eastAsia="方正仿宋简体" w:cs="方正仿宋简体"/>
          <w:sz w:val="32"/>
          <w:szCs w:val="32"/>
          <w:highlight w:val="none"/>
        </w:rPr>
        <w:t>：</w:t>
      </w:r>
      <w:bookmarkEnd w:id="137"/>
      <w:bookmarkEnd w:id="138"/>
      <w:r>
        <w:rPr>
          <w:rFonts w:hint="eastAsia" w:ascii="方正仿宋简体" w:hAnsi="方正仿宋简体" w:eastAsia="方正仿宋简体" w:cs="方正仿宋简体"/>
          <w:sz w:val="32"/>
          <w:szCs w:val="32"/>
          <w:highlight w:val="none"/>
          <w:lang w:eastAsia="zh-CN"/>
        </w:rPr>
        <w:t>全州高考改革标准化考场建设</w:t>
      </w:r>
      <w:r>
        <w:rPr>
          <w:rFonts w:hint="default" w:ascii="Times New Roman" w:hAnsi="Times New Roman" w:eastAsia="方正仿宋简体" w:cs="Times New Roman"/>
          <w:sz w:val="32"/>
          <w:szCs w:val="32"/>
          <w:highlight w:val="none"/>
          <w:lang w:eastAsia="zh-CN"/>
        </w:rPr>
        <w:t>2023</w:t>
      </w:r>
      <w:r>
        <w:rPr>
          <w:rFonts w:hint="eastAsia" w:ascii="方正仿宋简体" w:hAnsi="方正仿宋简体" w:eastAsia="方正仿宋简体" w:cs="方正仿宋简体"/>
          <w:sz w:val="32"/>
          <w:szCs w:val="32"/>
          <w:highlight w:val="none"/>
          <w:lang w:eastAsia="zh-CN"/>
        </w:rPr>
        <w:t>年</w:t>
      </w:r>
      <w:r>
        <w:rPr>
          <w:rFonts w:hint="eastAsia" w:ascii="方正仿宋简体" w:hAnsi="方正仿宋简体" w:eastAsia="方正仿宋简体" w:cs="方正仿宋简体"/>
          <w:sz w:val="32"/>
          <w:szCs w:val="32"/>
          <w:highlight w:val="none"/>
        </w:rPr>
        <w:t>县级财政支出项目绩效评价指标体系表</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评分表</w:t>
      </w:r>
      <w:r>
        <w:rPr>
          <w:rFonts w:hint="eastAsia" w:ascii="方正仿宋简体" w:hAnsi="方正仿宋简体" w:eastAsia="方正仿宋简体" w:cs="方正仿宋简体"/>
          <w:sz w:val="32"/>
          <w:szCs w:val="32"/>
          <w:highlight w:val="none"/>
          <w:lang w:eastAsia="zh-CN"/>
        </w:rPr>
        <w:t>）</w:t>
      </w:r>
    </w:p>
    <w:p w14:paraId="47926ADE">
      <w:pPr>
        <w:pStyle w:val="2"/>
        <w:rPr>
          <w:rFonts w:hint="eastAsia" w:ascii="方正仿宋简体" w:hAnsi="方正仿宋简体" w:eastAsia="方正仿宋简体" w:cs="方正仿宋简体"/>
          <w:sz w:val="32"/>
          <w:szCs w:val="32"/>
          <w:highlight w:val="none"/>
          <w:lang w:eastAsia="zh-CN"/>
        </w:rPr>
      </w:pPr>
    </w:p>
    <w:p w14:paraId="6D26D878">
      <w:pPr>
        <w:rPr>
          <w:rFonts w:hint="eastAsia" w:ascii="方正仿宋简体" w:hAnsi="方正仿宋简体" w:eastAsia="方正仿宋简体" w:cs="方正仿宋简体"/>
          <w:sz w:val="32"/>
          <w:szCs w:val="32"/>
          <w:highlight w:val="none"/>
          <w:lang w:eastAsia="zh-CN"/>
        </w:rPr>
      </w:pPr>
    </w:p>
    <w:p w14:paraId="1A527C4C">
      <w:pPr>
        <w:pStyle w:val="2"/>
        <w:rPr>
          <w:rFonts w:hint="eastAsia"/>
          <w:highlight w:val="none"/>
          <w:lang w:eastAsia="zh-CN"/>
        </w:rPr>
      </w:pPr>
    </w:p>
    <w:p w14:paraId="36AD171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39" w:name="_GoBack"/>
      <w:bookmarkEnd w:id="139"/>
    </w:p>
    <w:p w14:paraId="6138B11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3B30D466">
      <w:pPr>
        <w:pageBreakBefore w:val="0"/>
        <w:kinsoku/>
        <w:wordWrap/>
        <w:overflowPunct/>
        <w:topLinePunct w:val="0"/>
        <w:autoSpaceDE/>
        <w:autoSpaceDN/>
        <w:bidi w:val="0"/>
        <w:spacing w:line="600" w:lineRule="exact"/>
        <w:ind w:left="0" w:leftChars="0"/>
        <w:rPr>
          <w:rFonts w:hint="eastAsia" w:ascii="方正仿宋简体" w:hAnsi="方正仿宋简体" w:eastAsia="方正仿宋简体" w:cs="方正仿宋简体"/>
          <w:color w:val="000000"/>
          <w:sz w:val="32"/>
          <w:szCs w:val="32"/>
          <w:highlight w:val="none"/>
        </w:rPr>
      </w:pPr>
    </w:p>
    <w:sectPr>
      <w:headerReference r:id="rId3" w:type="default"/>
      <w:footerReference r:id="rId4" w:type="default"/>
      <w:footerReference r:id="rId5" w:type="even"/>
      <w:pgSz w:w="11906" w:h="16838"/>
      <w:pgMar w:top="2098" w:right="1531" w:bottom="1871" w:left="1531" w:header="850" w:footer="992" w:gutter="0"/>
      <w:pgNumType w:fmt="decimal" w:start="1"/>
      <w:cols w:space="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embedRegular r:id="rId1" w:fontKey="{BCA51B56-07FC-468B-8172-275B84E32294}"/>
  </w:font>
  <w:font w:name="方正黑体简体">
    <w:panose1 w:val="03000509000000000000"/>
    <w:charset w:val="86"/>
    <w:family w:val="auto"/>
    <w:pitch w:val="default"/>
    <w:sig w:usb0="00000001" w:usb1="080E0000" w:usb2="00000000" w:usb3="00000000" w:csb0="00040000" w:csb1="00000000"/>
    <w:embedRegular r:id="rId2" w:fontKey="{DEC12BDC-14A6-45B4-9EBA-4CDC1D1EC856}"/>
  </w:font>
  <w:font w:name="方正小标宋简体">
    <w:panose1 w:val="03000509000000000000"/>
    <w:charset w:val="86"/>
    <w:family w:val="auto"/>
    <w:pitch w:val="default"/>
    <w:sig w:usb0="00000001" w:usb1="080E0000" w:usb2="00000000" w:usb3="00000000" w:csb0="00040000" w:csb1="00000000"/>
    <w:embedRegular r:id="rId3" w:fontKey="{F9BBBB21-C29F-4924-88FC-639EC3BA4E36}"/>
  </w:font>
  <w:font w:name="方正楷体简体">
    <w:panose1 w:val="02000000000000000000"/>
    <w:charset w:val="86"/>
    <w:family w:val="auto"/>
    <w:pitch w:val="default"/>
    <w:sig w:usb0="00000001" w:usb1="080E0000" w:usb2="00000000" w:usb3="00000000" w:csb0="00040000" w:csb1="00000000"/>
    <w:embedRegular r:id="rId4" w:fontKey="{CF670500-B6B2-410D-9952-740CECD978C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42E56">
    <w:pPr>
      <w:pStyle w:val="8"/>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509B3E">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07509B3E">
                    <w:pPr>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7CCC6E3E">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2CF8C">
    <w:pPr>
      <w:pStyle w:val="8"/>
      <w:tabs>
        <w:tab w:val="right" w:pos="8528"/>
        <w:tab w:val="clear" w:pos="4153"/>
      </w:tabs>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AEB5D8">
                          <w:pPr>
                            <w:pStyle w:val="8"/>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42AEB5D8">
                    <w:pPr>
                      <w:pStyle w:val="8"/>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8D2BEC"/>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3F8D2BEC"/>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97DD4">
    <w:pPr>
      <w:pStyle w:val="9"/>
      <w:pBdr>
        <w:bottom w:val="none" w:color="auto" w:sz="0" w:space="1"/>
      </w:pBdr>
      <w:ind w:firstLine="0"/>
      <w:jc w:val="both"/>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74690498" name="文本框 5746904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EF5A90"/>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CE1HbTUCAABlBAAADgAAAAAAAAABACAAAAAfAQAAZHJzL2Uyb0RvYy54bWxQ&#10;SwUGAAAAAAYABgBZAQAAxgUAAAAA&#10;">
              <v:fill on="f" focussize="0,0"/>
              <v:stroke on="f" weight="0.5pt"/>
              <v:imagedata o:title=""/>
              <o:lock v:ext="edit" aspectratio="f"/>
              <v:textbox inset="0mm,0mm,0mm,0mm" style="mso-fit-shape-to-text:t;">
                <w:txbxContent>
                  <w:p w14:paraId="42EF5A90"/>
                </w:txbxContent>
              </v:textbox>
            </v:shape>
          </w:pict>
        </mc:Fallback>
      </mc:AlternateContent>
    </w:r>
    <w:r>
      <w:rPr>
        <w:rFonts w:hint="eastAsia" w:eastAsia="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9C0228"/>
    <w:multiLevelType w:val="multilevel"/>
    <w:tmpl w:val="ED9C0228"/>
    <w:lvl w:ilvl="0" w:tentative="0">
      <w:start w:val="1"/>
      <w:numFmt w:val="decimal"/>
      <w:suff w:val="nothing"/>
      <w:lvlText w:val="%1."/>
      <w:lvlJc w:val="left"/>
      <w:pPr>
        <w:ind w:left="0" w:leftChars="0" w:firstLine="567" w:firstLineChars="0"/>
      </w:pPr>
      <w:rPr>
        <w:rFonts w:hint="default" w:ascii="Times New Roman" w:hAnsi="Times New Roman" w:eastAsia="仿宋"/>
        <w:b w:val="0"/>
        <w:i w:val="0"/>
        <w:sz w:val="32"/>
        <w:szCs w:val="3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40"/>
  <w:drawingGridVerticalSpacing w:val="381"/>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05700"/>
    <w:rsid w:val="00022C4D"/>
    <w:rsid w:val="00027CF7"/>
    <w:rsid w:val="000343B9"/>
    <w:rsid w:val="00065343"/>
    <w:rsid w:val="00065AD5"/>
    <w:rsid w:val="000D3132"/>
    <w:rsid w:val="000D4071"/>
    <w:rsid w:val="001148D3"/>
    <w:rsid w:val="00120F9A"/>
    <w:rsid w:val="00127F9D"/>
    <w:rsid w:val="0013065B"/>
    <w:rsid w:val="001344B2"/>
    <w:rsid w:val="00134855"/>
    <w:rsid w:val="00145CA9"/>
    <w:rsid w:val="00145DD7"/>
    <w:rsid w:val="00162341"/>
    <w:rsid w:val="001708DE"/>
    <w:rsid w:val="001724D3"/>
    <w:rsid w:val="00172A27"/>
    <w:rsid w:val="00180637"/>
    <w:rsid w:val="001A7A5A"/>
    <w:rsid w:val="001D1FC2"/>
    <w:rsid w:val="001E5796"/>
    <w:rsid w:val="001F5C32"/>
    <w:rsid w:val="00243F87"/>
    <w:rsid w:val="002539F8"/>
    <w:rsid w:val="002570D0"/>
    <w:rsid w:val="00266BA5"/>
    <w:rsid w:val="00287756"/>
    <w:rsid w:val="002F7B42"/>
    <w:rsid w:val="003133F3"/>
    <w:rsid w:val="00317DCF"/>
    <w:rsid w:val="00320D39"/>
    <w:rsid w:val="0032304E"/>
    <w:rsid w:val="00332C7B"/>
    <w:rsid w:val="00380FC9"/>
    <w:rsid w:val="00384CF2"/>
    <w:rsid w:val="003942E4"/>
    <w:rsid w:val="003C0388"/>
    <w:rsid w:val="003D5286"/>
    <w:rsid w:val="003E2D83"/>
    <w:rsid w:val="003E30D4"/>
    <w:rsid w:val="003F0E80"/>
    <w:rsid w:val="003F4549"/>
    <w:rsid w:val="00415B00"/>
    <w:rsid w:val="004255E8"/>
    <w:rsid w:val="0044122C"/>
    <w:rsid w:val="00443DB6"/>
    <w:rsid w:val="004549BF"/>
    <w:rsid w:val="004646A3"/>
    <w:rsid w:val="00465D4B"/>
    <w:rsid w:val="00490688"/>
    <w:rsid w:val="005512A0"/>
    <w:rsid w:val="00551BFB"/>
    <w:rsid w:val="00585F86"/>
    <w:rsid w:val="005E6F67"/>
    <w:rsid w:val="005F18EA"/>
    <w:rsid w:val="005F30FB"/>
    <w:rsid w:val="00604A9B"/>
    <w:rsid w:val="00625E84"/>
    <w:rsid w:val="00646411"/>
    <w:rsid w:val="0069157A"/>
    <w:rsid w:val="006C308B"/>
    <w:rsid w:val="006F2143"/>
    <w:rsid w:val="007118F7"/>
    <w:rsid w:val="007221E5"/>
    <w:rsid w:val="007304E9"/>
    <w:rsid w:val="007510A0"/>
    <w:rsid w:val="007A714B"/>
    <w:rsid w:val="007B0D55"/>
    <w:rsid w:val="007B6521"/>
    <w:rsid w:val="007C12F8"/>
    <w:rsid w:val="007D13A4"/>
    <w:rsid w:val="007E5CD9"/>
    <w:rsid w:val="00804DDE"/>
    <w:rsid w:val="00844FFA"/>
    <w:rsid w:val="0085646D"/>
    <w:rsid w:val="008700E1"/>
    <w:rsid w:val="00870DA1"/>
    <w:rsid w:val="00874752"/>
    <w:rsid w:val="00891D33"/>
    <w:rsid w:val="008B2190"/>
    <w:rsid w:val="008B3C2A"/>
    <w:rsid w:val="008C7942"/>
    <w:rsid w:val="008D1222"/>
    <w:rsid w:val="008F709E"/>
    <w:rsid w:val="00913AAB"/>
    <w:rsid w:val="00915BF4"/>
    <w:rsid w:val="00916CC3"/>
    <w:rsid w:val="00934B72"/>
    <w:rsid w:val="009469D8"/>
    <w:rsid w:val="00947CAA"/>
    <w:rsid w:val="00970916"/>
    <w:rsid w:val="00977F0D"/>
    <w:rsid w:val="00982A1F"/>
    <w:rsid w:val="00984364"/>
    <w:rsid w:val="00990626"/>
    <w:rsid w:val="009A14D8"/>
    <w:rsid w:val="00A21DA0"/>
    <w:rsid w:val="00A234C6"/>
    <w:rsid w:val="00A32901"/>
    <w:rsid w:val="00A40427"/>
    <w:rsid w:val="00A6426B"/>
    <w:rsid w:val="00A7593B"/>
    <w:rsid w:val="00A83D99"/>
    <w:rsid w:val="00A8572E"/>
    <w:rsid w:val="00A97621"/>
    <w:rsid w:val="00AB5C77"/>
    <w:rsid w:val="00AC4CCA"/>
    <w:rsid w:val="00AD1C0E"/>
    <w:rsid w:val="00AD64C4"/>
    <w:rsid w:val="00AE0EA5"/>
    <w:rsid w:val="00B0025A"/>
    <w:rsid w:val="00B07D55"/>
    <w:rsid w:val="00B238E5"/>
    <w:rsid w:val="00B54DD1"/>
    <w:rsid w:val="00B61B81"/>
    <w:rsid w:val="00B86407"/>
    <w:rsid w:val="00BA4573"/>
    <w:rsid w:val="00BB0157"/>
    <w:rsid w:val="00BC1E79"/>
    <w:rsid w:val="00BC3771"/>
    <w:rsid w:val="00BD73FD"/>
    <w:rsid w:val="00BF1745"/>
    <w:rsid w:val="00C10A63"/>
    <w:rsid w:val="00C15E2B"/>
    <w:rsid w:val="00C2036B"/>
    <w:rsid w:val="00C27DBC"/>
    <w:rsid w:val="00C4082F"/>
    <w:rsid w:val="00C42AC9"/>
    <w:rsid w:val="00C46DF1"/>
    <w:rsid w:val="00C473DE"/>
    <w:rsid w:val="00C57E48"/>
    <w:rsid w:val="00C60C5F"/>
    <w:rsid w:val="00C95EE1"/>
    <w:rsid w:val="00CB3663"/>
    <w:rsid w:val="00CD1115"/>
    <w:rsid w:val="00CE47F8"/>
    <w:rsid w:val="00CF1087"/>
    <w:rsid w:val="00CF395F"/>
    <w:rsid w:val="00D0292A"/>
    <w:rsid w:val="00D03F28"/>
    <w:rsid w:val="00D10437"/>
    <w:rsid w:val="00D17FF2"/>
    <w:rsid w:val="00D32F3D"/>
    <w:rsid w:val="00D40684"/>
    <w:rsid w:val="00D674C9"/>
    <w:rsid w:val="00DA2CFE"/>
    <w:rsid w:val="00DB0266"/>
    <w:rsid w:val="00DB4299"/>
    <w:rsid w:val="00DD6F63"/>
    <w:rsid w:val="00DF4201"/>
    <w:rsid w:val="00E12623"/>
    <w:rsid w:val="00E21D9A"/>
    <w:rsid w:val="00E26327"/>
    <w:rsid w:val="00E54124"/>
    <w:rsid w:val="00E57013"/>
    <w:rsid w:val="00EA5C64"/>
    <w:rsid w:val="00EB7419"/>
    <w:rsid w:val="00EB7CC9"/>
    <w:rsid w:val="00EC36B4"/>
    <w:rsid w:val="00EC4E9D"/>
    <w:rsid w:val="00EE02EB"/>
    <w:rsid w:val="00EE1A30"/>
    <w:rsid w:val="00EE3529"/>
    <w:rsid w:val="00EE48FB"/>
    <w:rsid w:val="00EE6953"/>
    <w:rsid w:val="00EE7FC6"/>
    <w:rsid w:val="00F274AA"/>
    <w:rsid w:val="00F30D9C"/>
    <w:rsid w:val="00F46E00"/>
    <w:rsid w:val="00F50B3A"/>
    <w:rsid w:val="00F534D0"/>
    <w:rsid w:val="00F80E20"/>
    <w:rsid w:val="00FC3561"/>
    <w:rsid w:val="00FE38B2"/>
    <w:rsid w:val="00FF3147"/>
    <w:rsid w:val="01056705"/>
    <w:rsid w:val="01AE1362"/>
    <w:rsid w:val="020A5CCC"/>
    <w:rsid w:val="028212C5"/>
    <w:rsid w:val="0295277A"/>
    <w:rsid w:val="030550DE"/>
    <w:rsid w:val="0307791A"/>
    <w:rsid w:val="03810B86"/>
    <w:rsid w:val="0385027D"/>
    <w:rsid w:val="03895C68"/>
    <w:rsid w:val="039D1411"/>
    <w:rsid w:val="03C46413"/>
    <w:rsid w:val="041F4DBF"/>
    <w:rsid w:val="04B51984"/>
    <w:rsid w:val="05370DC3"/>
    <w:rsid w:val="05704583"/>
    <w:rsid w:val="06F515E9"/>
    <w:rsid w:val="074574B7"/>
    <w:rsid w:val="076743EF"/>
    <w:rsid w:val="07B50534"/>
    <w:rsid w:val="0815093A"/>
    <w:rsid w:val="08CA0DBA"/>
    <w:rsid w:val="08DA47AD"/>
    <w:rsid w:val="0AA10A64"/>
    <w:rsid w:val="0AF44EAD"/>
    <w:rsid w:val="0B386398"/>
    <w:rsid w:val="0CC90B55"/>
    <w:rsid w:val="0D7C008D"/>
    <w:rsid w:val="0DA06897"/>
    <w:rsid w:val="0DF462ED"/>
    <w:rsid w:val="0E19564B"/>
    <w:rsid w:val="0E22759B"/>
    <w:rsid w:val="0E5E23AA"/>
    <w:rsid w:val="0E7F3C56"/>
    <w:rsid w:val="0EF610D2"/>
    <w:rsid w:val="0FCEE19E"/>
    <w:rsid w:val="0FEDD33C"/>
    <w:rsid w:val="10C177C0"/>
    <w:rsid w:val="10FB12CE"/>
    <w:rsid w:val="11A54F88"/>
    <w:rsid w:val="12F71BB3"/>
    <w:rsid w:val="134E407D"/>
    <w:rsid w:val="144B4CE8"/>
    <w:rsid w:val="14F52C04"/>
    <w:rsid w:val="155B04E5"/>
    <w:rsid w:val="15762967"/>
    <w:rsid w:val="15FF6AB8"/>
    <w:rsid w:val="16B348F3"/>
    <w:rsid w:val="16BA737C"/>
    <w:rsid w:val="17404D18"/>
    <w:rsid w:val="179E79D9"/>
    <w:rsid w:val="186A5A33"/>
    <w:rsid w:val="18A93AFC"/>
    <w:rsid w:val="18C55A5F"/>
    <w:rsid w:val="18DD5A8A"/>
    <w:rsid w:val="19430B61"/>
    <w:rsid w:val="196B6F54"/>
    <w:rsid w:val="19CD71FA"/>
    <w:rsid w:val="1A94413A"/>
    <w:rsid w:val="1A994EAA"/>
    <w:rsid w:val="1AC82436"/>
    <w:rsid w:val="1BAA0BEC"/>
    <w:rsid w:val="1BDF6BC8"/>
    <w:rsid w:val="1C535707"/>
    <w:rsid w:val="1D4F18C5"/>
    <w:rsid w:val="1D5C6857"/>
    <w:rsid w:val="1D9444AE"/>
    <w:rsid w:val="1D9A1CE4"/>
    <w:rsid w:val="1EBF8E91"/>
    <w:rsid w:val="1ED35C04"/>
    <w:rsid w:val="1F406C39"/>
    <w:rsid w:val="1F5275D0"/>
    <w:rsid w:val="1FE92B41"/>
    <w:rsid w:val="20CB7E98"/>
    <w:rsid w:val="222D5CA1"/>
    <w:rsid w:val="235D6114"/>
    <w:rsid w:val="23F46FD7"/>
    <w:rsid w:val="24101808"/>
    <w:rsid w:val="24283899"/>
    <w:rsid w:val="248C4080"/>
    <w:rsid w:val="257C14F2"/>
    <w:rsid w:val="262D6E6F"/>
    <w:rsid w:val="26331263"/>
    <w:rsid w:val="265058AE"/>
    <w:rsid w:val="273B0505"/>
    <w:rsid w:val="277338DD"/>
    <w:rsid w:val="27FF4D71"/>
    <w:rsid w:val="28016C02"/>
    <w:rsid w:val="28087A34"/>
    <w:rsid w:val="282B56B9"/>
    <w:rsid w:val="28317601"/>
    <w:rsid w:val="28EA1A45"/>
    <w:rsid w:val="294B0B24"/>
    <w:rsid w:val="29581F66"/>
    <w:rsid w:val="29942B89"/>
    <w:rsid w:val="2A14341E"/>
    <w:rsid w:val="2A210B04"/>
    <w:rsid w:val="2A2368F1"/>
    <w:rsid w:val="2A7F945E"/>
    <w:rsid w:val="2A817549"/>
    <w:rsid w:val="2ACD2201"/>
    <w:rsid w:val="2AF467D7"/>
    <w:rsid w:val="2B8F2245"/>
    <w:rsid w:val="2BBE5215"/>
    <w:rsid w:val="2BD8212D"/>
    <w:rsid w:val="2BFDA77C"/>
    <w:rsid w:val="2C66157A"/>
    <w:rsid w:val="2CED406D"/>
    <w:rsid w:val="2CF33CB4"/>
    <w:rsid w:val="2D324D1A"/>
    <w:rsid w:val="2D525A3B"/>
    <w:rsid w:val="2D6319D3"/>
    <w:rsid w:val="2DF126AA"/>
    <w:rsid w:val="2DF91330"/>
    <w:rsid w:val="2EA36849"/>
    <w:rsid w:val="2EAB4317"/>
    <w:rsid w:val="2EB90D4F"/>
    <w:rsid w:val="2EBDC04F"/>
    <w:rsid w:val="2F3274A5"/>
    <w:rsid w:val="2F552ED6"/>
    <w:rsid w:val="2F70357F"/>
    <w:rsid w:val="2FF755DD"/>
    <w:rsid w:val="3052247A"/>
    <w:rsid w:val="3090670D"/>
    <w:rsid w:val="30D4086C"/>
    <w:rsid w:val="312B48AF"/>
    <w:rsid w:val="32A47AB4"/>
    <w:rsid w:val="32AC5D7B"/>
    <w:rsid w:val="32CB27BC"/>
    <w:rsid w:val="32FC75D4"/>
    <w:rsid w:val="33D34794"/>
    <w:rsid w:val="34B42BB5"/>
    <w:rsid w:val="34C73C1C"/>
    <w:rsid w:val="34C957E7"/>
    <w:rsid w:val="350D79A2"/>
    <w:rsid w:val="36001598"/>
    <w:rsid w:val="360308FA"/>
    <w:rsid w:val="36783E87"/>
    <w:rsid w:val="36870F62"/>
    <w:rsid w:val="369B1CB2"/>
    <w:rsid w:val="369F01D5"/>
    <w:rsid w:val="36AF3103"/>
    <w:rsid w:val="36BF54EC"/>
    <w:rsid w:val="36DC449D"/>
    <w:rsid w:val="36EDA54C"/>
    <w:rsid w:val="372D446F"/>
    <w:rsid w:val="377DC02A"/>
    <w:rsid w:val="37BB122C"/>
    <w:rsid w:val="37E36263"/>
    <w:rsid w:val="37F72B7F"/>
    <w:rsid w:val="38D85C62"/>
    <w:rsid w:val="391FD347"/>
    <w:rsid w:val="3A3949DD"/>
    <w:rsid w:val="3A5F4A38"/>
    <w:rsid w:val="3AE5274E"/>
    <w:rsid w:val="3B3522AA"/>
    <w:rsid w:val="3B3D6F96"/>
    <w:rsid w:val="3B626037"/>
    <w:rsid w:val="3B6A3F8A"/>
    <w:rsid w:val="3BA9E31C"/>
    <w:rsid w:val="3D1F22E5"/>
    <w:rsid w:val="3D997564"/>
    <w:rsid w:val="3DD12550"/>
    <w:rsid w:val="3E432DCF"/>
    <w:rsid w:val="3E8E1632"/>
    <w:rsid w:val="3E9FF9E4"/>
    <w:rsid w:val="3EEF2905"/>
    <w:rsid w:val="3EEF87E3"/>
    <w:rsid w:val="3FB5575F"/>
    <w:rsid w:val="3FB57775"/>
    <w:rsid w:val="3FBFEC52"/>
    <w:rsid w:val="3FCE5EC9"/>
    <w:rsid w:val="3FFD6C8D"/>
    <w:rsid w:val="400D7690"/>
    <w:rsid w:val="4069560F"/>
    <w:rsid w:val="415A6585"/>
    <w:rsid w:val="41DC7289"/>
    <w:rsid w:val="41FD2ABB"/>
    <w:rsid w:val="425C18F8"/>
    <w:rsid w:val="4294088C"/>
    <w:rsid w:val="42982F61"/>
    <w:rsid w:val="42A2347D"/>
    <w:rsid w:val="42E77859"/>
    <w:rsid w:val="42EB7271"/>
    <w:rsid w:val="43802285"/>
    <w:rsid w:val="43D2284D"/>
    <w:rsid w:val="43ED42A2"/>
    <w:rsid w:val="44865DC2"/>
    <w:rsid w:val="44A86EA6"/>
    <w:rsid w:val="44FE2B7A"/>
    <w:rsid w:val="452477C4"/>
    <w:rsid w:val="455812EC"/>
    <w:rsid w:val="455851CB"/>
    <w:rsid w:val="45761D23"/>
    <w:rsid w:val="459B16D3"/>
    <w:rsid w:val="462654C2"/>
    <w:rsid w:val="462A15BD"/>
    <w:rsid w:val="477AA038"/>
    <w:rsid w:val="481D51B8"/>
    <w:rsid w:val="48B40588"/>
    <w:rsid w:val="48D56225"/>
    <w:rsid w:val="49605DAC"/>
    <w:rsid w:val="49FFC2D1"/>
    <w:rsid w:val="4A3F0AC3"/>
    <w:rsid w:val="4AFA2C7B"/>
    <w:rsid w:val="4B404837"/>
    <w:rsid w:val="4B6B11A9"/>
    <w:rsid w:val="4B863FDA"/>
    <w:rsid w:val="4BC23D1C"/>
    <w:rsid w:val="4BDE4024"/>
    <w:rsid w:val="4C907F6D"/>
    <w:rsid w:val="4CAE35BE"/>
    <w:rsid w:val="4D6E449B"/>
    <w:rsid w:val="4E7F4CED"/>
    <w:rsid w:val="4F7241B1"/>
    <w:rsid w:val="4FFFCD54"/>
    <w:rsid w:val="507D0BBC"/>
    <w:rsid w:val="507E6B2A"/>
    <w:rsid w:val="51290B58"/>
    <w:rsid w:val="51381763"/>
    <w:rsid w:val="52265F38"/>
    <w:rsid w:val="52EF2BDF"/>
    <w:rsid w:val="53D138E8"/>
    <w:rsid w:val="53FE2BF5"/>
    <w:rsid w:val="543748C0"/>
    <w:rsid w:val="55AC2CD2"/>
    <w:rsid w:val="55B812E3"/>
    <w:rsid w:val="561A2F05"/>
    <w:rsid w:val="563D0083"/>
    <w:rsid w:val="56934204"/>
    <w:rsid w:val="56A7003A"/>
    <w:rsid w:val="56DC53F6"/>
    <w:rsid w:val="56F7792F"/>
    <w:rsid w:val="575D29C4"/>
    <w:rsid w:val="577B4EF8"/>
    <w:rsid w:val="579A41D9"/>
    <w:rsid w:val="57BD0169"/>
    <w:rsid w:val="57E13BCA"/>
    <w:rsid w:val="57F939E1"/>
    <w:rsid w:val="584F0184"/>
    <w:rsid w:val="5864421C"/>
    <w:rsid w:val="58CA26BF"/>
    <w:rsid w:val="5901172B"/>
    <w:rsid w:val="59065CB4"/>
    <w:rsid w:val="596C2DB0"/>
    <w:rsid w:val="59821BED"/>
    <w:rsid w:val="5AB4383C"/>
    <w:rsid w:val="5ABB2895"/>
    <w:rsid w:val="5AC12207"/>
    <w:rsid w:val="5B3C271A"/>
    <w:rsid w:val="5B9952E7"/>
    <w:rsid w:val="5C5537BA"/>
    <w:rsid w:val="5C694A22"/>
    <w:rsid w:val="5D07484F"/>
    <w:rsid w:val="5D3C5456"/>
    <w:rsid w:val="5D5BF516"/>
    <w:rsid w:val="5FE31B11"/>
    <w:rsid w:val="5FF4FC2B"/>
    <w:rsid w:val="5FFBCD3B"/>
    <w:rsid w:val="5FFD34BB"/>
    <w:rsid w:val="5FFE5558"/>
    <w:rsid w:val="6020741B"/>
    <w:rsid w:val="608914CC"/>
    <w:rsid w:val="60C364F2"/>
    <w:rsid w:val="615C16D6"/>
    <w:rsid w:val="61876B95"/>
    <w:rsid w:val="618A3DC3"/>
    <w:rsid w:val="627C5614"/>
    <w:rsid w:val="62B74F26"/>
    <w:rsid w:val="62BA758E"/>
    <w:rsid w:val="62BB6119"/>
    <w:rsid w:val="62DB2B6C"/>
    <w:rsid w:val="634E45C9"/>
    <w:rsid w:val="63A71F74"/>
    <w:rsid w:val="63AF6478"/>
    <w:rsid w:val="63DDBBBB"/>
    <w:rsid w:val="6431662A"/>
    <w:rsid w:val="64590321"/>
    <w:rsid w:val="65A32AFE"/>
    <w:rsid w:val="65C7404D"/>
    <w:rsid w:val="65F17436"/>
    <w:rsid w:val="66B18282"/>
    <w:rsid w:val="66EE54A9"/>
    <w:rsid w:val="67551304"/>
    <w:rsid w:val="675C7C9C"/>
    <w:rsid w:val="67AB4C59"/>
    <w:rsid w:val="67BDF9D3"/>
    <w:rsid w:val="67C647C0"/>
    <w:rsid w:val="684306E9"/>
    <w:rsid w:val="68723580"/>
    <w:rsid w:val="68994500"/>
    <w:rsid w:val="697F1380"/>
    <w:rsid w:val="699A1F8A"/>
    <w:rsid w:val="69A93917"/>
    <w:rsid w:val="69AC355D"/>
    <w:rsid w:val="69E5B8E5"/>
    <w:rsid w:val="6A4A3BFD"/>
    <w:rsid w:val="6ACA2779"/>
    <w:rsid w:val="6B1029D1"/>
    <w:rsid w:val="6BD9F023"/>
    <w:rsid w:val="6C75429C"/>
    <w:rsid w:val="6C82343C"/>
    <w:rsid w:val="6CD785FD"/>
    <w:rsid w:val="6D8E68B6"/>
    <w:rsid w:val="6DBA7515"/>
    <w:rsid w:val="6DFF3390"/>
    <w:rsid w:val="6E761153"/>
    <w:rsid w:val="6EF36040"/>
    <w:rsid w:val="6EFF2B7B"/>
    <w:rsid w:val="6F493902"/>
    <w:rsid w:val="6FBF7F56"/>
    <w:rsid w:val="6FC06BC3"/>
    <w:rsid w:val="6FEB4FEB"/>
    <w:rsid w:val="6FEF29B3"/>
    <w:rsid w:val="6FF2CBB9"/>
    <w:rsid w:val="6FF658FB"/>
    <w:rsid w:val="70066BB1"/>
    <w:rsid w:val="711A3103"/>
    <w:rsid w:val="711F09A7"/>
    <w:rsid w:val="71D4087A"/>
    <w:rsid w:val="71DDC9F2"/>
    <w:rsid w:val="71E34413"/>
    <w:rsid w:val="71FFC0C1"/>
    <w:rsid w:val="727D4F24"/>
    <w:rsid w:val="72A70FAA"/>
    <w:rsid w:val="73113F43"/>
    <w:rsid w:val="734944D8"/>
    <w:rsid w:val="73B7ADB8"/>
    <w:rsid w:val="740A1865"/>
    <w:rsid w:val="747FFD7A"/>
    <w:rsid w:val="74B54142"/>
    <w:rsid w:val="74E42203"/>
    <w:rsid w:val="75101AA2"/>
    <w:rsid w:val="758650B4"/>
    <w:rsid w:val="75A97E24"/>
    <w:rsid w:val="75DD4904"/>
    <w:rsid w:val="75FA3F3B"/>
    <w:rsid w:val="76778448"/>
    <w:rsid w:val="76DE513E"/>
    <w:rsid w:val="77245415"/>
    <w:rsid w:val="7771949D"/>
    <w:rsid w:val="77BF2551"/>
    <w:rsid w:val="77BFD273"/>
    <w:rsid w:val="77EDB0D9"/>
    <w:rsid w:val="782E0A91"/>
    <w:rsid w:val="788D4C3C"/>
    <w:rsid w:val="78EDD24C"/>
    <w:rsid w:val="7922343B"/>
    <w:rsid w:val="7926388B"/>
    <w:rsid w:val="79521C10"/>
    <w:rsid w:val="795E17F1"/>
    <w:rsid w:val="79D42C0A"/>
    <w:rsid w:val="7A727261"/>
    <w:rsid w:val="7A83401C"/>
    <w:rsid w:val="7A9310F6"/>
    <w:rsid w:val="7B204EC5"/>
    <w:rsid w:val="7B7EBDF0"/>
    <w:rsid w:val="7B8E17E2"/>
    <w:rsid w:val="7B93031C"/>
    <w:rsid w:val="7B9FD11C"/>
    <w:rsid w:val="7BBFBDE8"/>
    <w:rsid w:val="7BCC39B7"/>
    <w:rsid w:val="7BEB4051"/>
    <w:rsid w:val="7CDE1835"/>
    <w:rsid w:val="7CFC4664"/>
    <w:rsid w:val="7D4E5235"/>
    <w:rsid w:val="7D7B5896"/>
    <w:rsid w:val="7D7BD595"/>
    <w:rsid w:val="7E6B12CB"/>
    <w:rsid w:val="7E7273D9"/>
    <w:rsid w:val="7E77D991"/>
    <w:rsid w:val="7EB151EC"/>
    <w:rsid w:val="7EBDF124"/>
    <w:rsid w:val="7EBF5C24"/>
    <w:rsid w:val="7ED5A2C4"/>
    <w:rsid w:val="7EFB3570"/>
    <w:rsid w:val="7EFF5ED8"/>
    <w:rsid w:val="7F4375B9"/>
    <w:rsid w:val="7F4B6054"/>
    <w:rsid w:val="7F696F3C"/>
    <w:rsid w:val="7F7EA9D2"/>
    <w:rsid w:val="7F824F8C"/>
    <w:rsid w:val="7F9955B4"/>
    <w:rsid w:val="7FB7E12A"/>
    <w:rsid w:val="7FDFE08E"/>
    <w:rsid w:val="7FEB5C58"/>
    <w:rsid w:val="7FF999A7"/>
    <w:rsid w:val="7FFBA9C2"/>
    <w:rsid w:val="7FFBEE05"/>
    <w:rsid w:val="7FFD3163"/>
    <w:rsid w:val="7FFFADCF"/>
    <w:rsid w:val="8FB52647"/>
    <w:rsid w:val="8FD1C878"/>
    <w:rsid w:val="8FEF4A8D"/>
    <w:rsid w:val="971D1DFF"/>
    <w:rsid w:val="97F6179A"/>
    <w:rsid w:val="9AECA37B"/>
    <w:rsid w:val="9BBC560B"/>
    <w:rsid w:val="9DD91B26"/>
    <w:rsid w:val="9F977CEE"/>
    <w:rsid w:val="9FFDD58A"/>
    <w:rsid w:val="A797FD14"/>
    <w:rsid w:val="AAAB3E80"/>
    <w:rsid w:val="AEFF0EDB"/>
    <w:rsid w:val="B6F5E0B7"/>
    <w:rsid w:val="BADD304E"/>
    <w:rsid w:val="BCDB95F6"/>
    <w:rsid w:val="BE749C9D"/>
    <w:rsid w:val="BEB561CE"/>
    <w:rsid w:val="BEB79207"/>
    <w:rsid w:val="BEE77723"/>
    <w:rsid w:val="BEF64A81"/>
    <w:rsid w:val="BFEFC32C"/>
    <w:rsid w:val="C7DED0D6"/>
    <w:rsid w:val="D15AC55A"/>
    <w:rsid w:val="D27B3645"/>
    <w:rsid w:val="D3FB50D6"/>
    <w:rsid w:val="D7E377CF"/>
    <w:rsid w:val="D7EF0BF7"/>
    <w:rsid w:val="DAED115C"/>
    <w:rsid w:val="DB5F406F"/>
    <w:rsid w:val="DBE7F8B4"/>
    <w:rsid w:val="DE3FCB91"/>
    <w:rsid w:val="DEBF1326"/>
    <w:rsid w:val="DEDD909B"/>
    <w:rsid w:val="DEFE8B6C"/>
    <w:rsid w:val="DFBDAD35"/>
    <w:rsid w:val="DFBE8F09"/>
    <w:rsid w:val="DFDF7B42"/>
    <w:rsid w:val="DFF3CC59"/>
    <w:rsid w:val="DFFD93F7"/>
    <w:rsid w:val="DFFE9052"/>
    <w:rsid w:val="E74775F6"/>
    <w:rsid w:val="E7FF1066"/>
    <w:rsid w:val="E9EFB32A"/>
    <w:rsid w:val="EADDC9B6"/>
    <w:rsid w:val="EADEFAB7"/>
    <w:rsid w:val="EB73FA1C"/>
    <w:rsid w:val="EBC9EB1D"/>
    <w:rsid w:val="EBDF4FC7"/>
    <w:rsid w:val="EBFF197F"/>
    <w:rsid w:val="EDFC2E87"/>
    <w:rsid w:val="EF7FFE34"/>
    <w:rsid w:val="EFD629E5"/>
    <w:rsid w:val="EFFB475C"/>
    <w:rsid w:val="F1F9609C"/>
    <w:rsid w:val="F1FFFF88"/>
    <w:rsid w:val="F39947E1"/>
    <w:rsid w:val="F3D71110"/>
    <w:rsid w:val="F3FDFFF2"/>
    <w:rsid w:val="F47A67D3"/>
    <w:rsid w:val="F576167A"/>
    <w:rsid w:val="F5F59530"/>
    <w:rsid w:val="F7A799C3"/>
    <w:rsid w:val="F7FE8233"/>
    <w:rsid w:val="F9EF6DC5"/>
    <w:rsid w:val="F9FF718F"/>
    <w:rsid w:val="FAF94D1D"/>
    <w:rsid w:val="FAFE9232"/>
    <w:rsid w:val="FB8BADB6"/>
    <w:rsid w:val="FBB99A53"/>
    <w:rsid w:val="FDCBE75C"/>
    <w:rsid w:val="FDFF248A"/>
    <w:rsid w:val="FE79B20B"/>
    <w:rsid w:val="FE7F4B05"/>
    <w:rsid w:val="FEEFD47F"/>
    <w:rsid w:val="FEF179B6"/>
    <w:rsid w:val="FF7DD536"/>
    <w:rsid w:val="FF7FFDFB"/>
    <w:rsid w:val="FFBBF062"/>
    <w:rsid w:val="FFBC43AB"/>
    <w:rsid w:val="FFD5D44E"/>
    <w:rsid w:val="FFF3D0AA"/>
    <w:rsid w:val="FFF96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2"/>
    <w:basedOn w:val="1"/>
    <w:next w:val="1"/>
    <w:link w:val="32"/>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toc 3"/>
    <w:basedOn w:val="1"/>
    <w:next w:val="1"/>
    <w:semiHidden/>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left" w:pos="709"/>
        <w:tab w:val="right" w:leader="dot" w:pos="8296"/>
      </w:tabs>
    </w:pPr>
  </w:style>
  <w:style w:type="paragraph" w:styleId="11">
    <w:name w:val="toc 2"/>
    <w:basedOn w:val="1"/>
    <w:next w:val="1"/>
    <w:unhideWhenUsed/>
    <w:qFormat/>
    <w:uiPriority w:val="39"/>
    <w:pPr>
      <w:ind w:left="420" w:leftChars="200"/>
    </w:pPr>
  </w:style>
  <w:style w:type="paragraph" w:styleId="12">
    <w:name w:val="Normal (Web)"/>
    <w:basedOn w:val="1"/>
    <w:unhideWhenUsed/>
    <w:qFormat/>
    <w:uiPriority w:val="99"/>
    <w:pPr>
      <w:spacing w:before="100" w:beforeAutospacing="1" w:after="100" w:afterAutospacing="1"/>
      <w:jc w:val="left"/>
    </w:pPr>
    <w:rPr>
      <w:rFonts w:cs="Times New Roman"/>
      <w:kern w:val="0"/>
      <w:sz w:val="24"/>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character" w:styleId="17">
    <w:name w:val="Hyperlink"/>
    <w:unhideWhenUsed/>
    <w:qFormat/>
    <w:uiPriority w:val="99"/>
    <w:rPr>
      <w:color w:val="4D4D4D"/>
      <w:u w:val="none"/>
    </w:rPr>
  </w:style>
  <w:style w:type="character" w:styleId="18">
    <w:name w:val="annotation reference"/>
    <w:basedOn w:val="15"/>
    <w:semiHidden/>
    <w:unhideWhenUsed/>
    <w:qFormat/>
    <w:uiPriority w:val="99"/>
    <w:rPr>
      <w:sz w:val="21"/>
      <w:szCs w:val="21"/>
    </w:rPr>
  </w:style>
  <w:style w:type="character" w:customStyle="1" w:styleId="19">
    <w:name w:val="页眉 字符"/>
    <w:basedOn w:val="15"/>
    <w:link w:val="9"/>
    <w:qFormat/>
    <w:uiPriority w:val="99"/>
    <w:rPr>
      <w:sz w:val="18"/>
      <w:szCs w:val="18"/>
    </w:rPr>
  </w:style>
  <w:style w:type="character" w:customStyle="1" w:styleId="20">
    <w:name w:val="页脚 字符"/>
    <w:basedOn w:val="15"/>
    <w:link w:val="8"/>
    <w:qFormat/>
    <w:uiPriority w:val="99"/>
    <w:rPr>
      <w:sz w:val="18"/>
      <w:szCs w:val="18"/>
    </w:rPr>
  </w:style>
  <w:style w:type="character" w:customStyle="1" w:styleId="21">
    <w:name w:val="font11"/>
    <w:basedOn w:val="15"/>
    <w:qFormat/>
    <w:uiPriority w:val="0"/>
    <w:rPr>
      <w:rFonts w:hint="eastAsia" w:ascii="宋体" w:hAnsi="宋体" w:eastAsia="宋体" w:cs="宋体"/>
      <w:color w:val="000000"/>
      <w:sz w:val="21"/>
      <w:szCs w:val="21"/>
      <w:u w:val="none"/>
    </w:rPr>
  </w:style>
  <w:style w:type="character" w:customStyle="1" w:styleId="22">
    <w:name w:val="font01"/>
    <w:basedOn w:val="15"/>
    <w:qFormat/>
    <w:uiPriority w:val="0"/>
    <w:rPr>
      <w:rFonts w:hint="default" w:ascii="Calibri" w:hAnsi="Calibri" w:cs="Calibri"/>
      <w:color w:val="000000"/>
      <w:sz w:val="21"/>
      <w:szCs w:val="21"/>
      <w:u w:val="none"/>
    </w:rPr>
  </w:style>
  <w:style w:type="character" w:customStyle="1" w:styleId="23">
    <w:name w:val="font71"/>
    <w:basedOn w:val="15"/>
    <w:qFormat/>
    <w:uiPriority w:val="0"/>
    <w:rPr>
      <w:rFonts w:hint="eastAsia" w:ascii="仿宋" w:hAnsi="仿宋" w:eastAsia="仿宋" w:cs="仿宋"/>
      <w:b/>
      <w:color w:val="000000"/>
      <w:sz w:val="24"/>
      <w:szCs w:val="24"/>
      <w:u w:val="none"/>
    </w:rPr>
  </w:style>
  <w:style w:type="character" w:customStyle="1" w:styleId="24">
    <w:name w:val="font51"/>
    <w:basedOn w:val="15"/>
    <w:qFormat/>
    <w:uiPriority w:val="0"/>
    <w:rPr>
      <w:rFonts w:hint="eastAsia" w:ascii="仿宋" w:hAnsi="仿宋" w:eastAsia="仿宋" w:cs="仿宋"/>
      <w:color w:val="000000"/>
      <w:sz w:val="24"/>
      <w:szCs w:val="24"/>
      <w:u w:val="none"/>
    </w:rPr>
  </w:style>
  <w:style w:type="character" w:customStyle="1" w:styleId="25">
    <w:name w:val="font31"/>
    <w:basedOn w:val="15"/>
    <w:qFormat/>
    <w:uiPriority w:val="0"/>
    <w:rPr>
      <w:rFonts w:hint="eastAsia" w:ascii="宋体" w:hAnsi="宋体" w:eastAsia="宋体" w:cs="宋体"/>
      <w:b/>
      <w:color w:val="000000"/>
      <w:sz w:val="22"/>
      <w:szCs w:val="22"/>
      <w:u w:val="none"/>
    </w:rPr>
  </w:style>
  <w:style w:type="character" w:customStyle="1" w:styleId="26">
    <w:name w:val="font21"/>
    <w:basedOn w:val="15"/>
    <w:qFormat/>
    <w:uiPriority w:val="0"/>
    <w:rPr>
      <w:rFonts w:hint="eastAsia" w:ascii="宋体" w:hAnsi="宋体" w:eastAsia="宋体" w:cs="宋体"/>
      <w:color w:val="000000"/>
      <w:sz w:val="20"/>
      <w:szCs w:val="20"/>
      <w:u w:val="none"/>
    </w:rPr>
  </w:style>
  <w:style w:type="character" w:customStyle="1" w:styleId="27">
    <w:name w:val="font41"/>
    <w:basedOn w:val="15"/>
    <w:qFormat/>
    <w:uiPriority w:val="0"/>
    <w:rPr>
      <w:rFonts w:hint="default" w:ascii="Times New Roman" w:hAnsi="Times New Roman" w:cs="Times New Roman"/>
      <w:b/>
      <w:color w:val="000000"/>
      <w:sz w:val="20"/>
      <w:szCs w:val="20"/>
      <w:u w:val="none"/>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1">
    <w:name w:val="修订2"/>
    <w:hidden/>
    <w:unhideWhenUsed/>
    <w:qFormat/>
    <w:uiPriority w:val="99"/>
    <w:rPr>
      <w:rFonts w:eastAsia="仿宋_GB2312" w:asciiTheme="minorHAnsi" w:hAnsiTheme="minorHAnsi" w:cstheme="minorBidi"/>
      <w:kern w:val="2"/>
      <w:sz w:val="28"/>
      <w:szCs w:val="22"/>
      <w:lang w:val="en-US" w:eastAsia="zh-CN" w:bidi="ar-SA"/>
    </w:rPr>
  </w:style>
  <w:style w:type="character" w:customStyle="1" w:styleId="32">
    <w:name w:val="标题 2 字符"/>
    <w:basedOn w:val="15"/>
    <w:link w:val="3"/>
    <w:semiHidden/>
    <w:qFormat/>
    <w:uiPriority w:val="9"/>
    <w:rPr>
      <w:rFonts w:asciiTheme="majorHAnsi" w:hAnsiTheme="majorHAnsi" w:eastAsiaTheme="majorEastAsia" w:cstheme="majorBidi"/>
      <w:b/>
      <w:bCs/>
      <w:kern w:val="2"/>
      <w:sz w:val="32"/>
      <w:szCs w:val="32"/>
    </w:rPr>
  </w:style>
  <w:style w:type="paragraph" w:customStyle="1" w:styleId="33">
    <w:name w:val="Revision"/>
    <w:hidden/>
    <w:unhideWhenUsed/>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2474</Words>
  <Characters>2725</Characters>
  <Lines>73</Lines>
  <Paragraphs>20</Paragraphs>
  <TotalTime>2</TotalTime>
  <ScaleCrop>false</ScaleCrop>
  <LinksUpToDate>false</LinksUpToDate>
  <CharactersWithSpaces>2737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2020-04-07T07:49:00Z</dcterms:created>
  <dc:creator>ZC</dc:creator>
  <cp:lastModifiedBy>李国宝</cp:lastModifiedBy>
  <cp:lastPrinted>2024-11-06T09:22:00Z</cp:lastPrinted>
  <dcterms:modified xsi:type="dcterms:W3CDTF">2025-01-08T02:20:52Z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