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58D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bookmarkStart w:id="0" w:name="_Toc22314"/>
      <w:bookmarkStart w:id="1" w:name="_Toc29524"/>
      <w:bookmarkStart w:id="2" w:name="_Toc14462_WPSOffice_Level1"/>
    </w:p>
    <w:p w14:paraId="527361BB">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2F791CEC">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54576958">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3871261E">
      <w:pPr>
        <w:keepNext w:val="0"/>
        <w:keepLines w:val="0"/>
        <w:pageBreakBefore w:val="0"/>
        <w:widowControl/>
        <w:kinsoku/>
        <w:wordWrap/>
        <w:overflowPunct/>
        <w:topLinePunct w:val="0"/>
        <w:autoSpaceDE/>
        <w:autoSpaceDN/>
        <w:bidi w:val="0"/>
        <w:spacing w:line="600" w:lineRule="exact"/>
        <w:ind w:left="0" w:leftChars="0"/>
        <w:jc w:val="center"/>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67D01BDF">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35CA2516">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26FD8620">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670F37E3">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250CB88C">
      <w:pPr>
        <w:keepNext w:val="0"/>
        <w:keepLines w:val="0"/>
        <w:pageBreakBefore w:val="0"/>
        <w:widowControl/>
        <w:kinsoku/>
        <w:wordWrap/>
        <w:overflowPunct/>
        <w:topLinePunct w:val="0"/>
        <w:autoSpaceDE/>
        <w:autoSpaceDN/>
        <w:bidi w:val="0"/>
        <w:spacing w:line="600" w:lineRule="exact"/>
        <w:jc w:val="left"/>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被评价单位名称：泸定县林业和草原局</w:t>
      </w:r>
    </w:p>
    <w:p w14:paraId="74108A4E">
      <w:pPr>
        <w:keepNext w:val="0"/>
        <w:keepLines w:val="0"/>
        <w:pageBreakBefore w:val="0"/>
        <w:widowControl/>
        <w:kinsoku/>
        <w:wordWrap/>
        <w:overflowPunct/>
        <w:topLinePunct w:val="0"/>
        <w:autoSpaceDE/>
        <w:autoSpaceDN/>
        <w:bidi w:val="0"/>
        <w:spacing w:line="600" w:lineRule="exact"/>
        <w:ind w:left="1600" w:leftChars="0" w:hanging="1600" w:hangingChars="500"/>
        <w:jc w:val="left"/>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评价项目：森林应急灭火大队工作经费项目</w:t>
      </w:r>
    </w:p>
    <w:p w14:paraId="732485E5">
      <w:pPr>
        <w:keepNext w:val="0"/>
        <w:keepLines w:val="0"/>
        <w:pageBreakBefore w:val="0"/>
        <w:kinsoku/>
        <w:wordWrap/>
        <w:overflowPunct/>
        <w:topLinePunct w:val="0"/>
        <w:autoSpaceDE/>
        <w:autoSpaceDN/>
        <w:bidi w:val="0"/>
        <w:spacing w:line="600" w:lineRule="exact"/>
        <w:ind w:left="0" w:leftChars="0" w:firstLine="320" w:firstLineChars="100"/>
        <w:rPr>
          <w:rFonts w:hint="eastAsia" w:ascii="方正仿宋简体" w:hAnsi="方正仿宋简体" w:eastAsia="方正仿宋简体" w:cs="方正仿宋简体"/>
          <w:sz w:val="32"/>
          <w:szCs w:val="32"/>
          <w:highlight w:val="none"/>
        </w:rPr>
      </w:pPr>
    </w:p>
    <w:p w14:paraId="5B31955B">
      <w:pPr>
        <w:pStyle w:val="2"/>
        <w:keepNext w:val="0"/>
        <w:keepLines w:val="0"/>
        <w:pageBreakBefore w:val="0"/>
        <w:kinsoku/>
        <w:wordWrap/>
        <w:overflowPunct/>
        <w:topLinePunct w:val="0"/>
        <w:autoSpaceDE/>
        <w:autoSpaceDN/>
        <w:bidi w:val="0"/>
        <w:spacing w:line="600" w:lineRule="exact"/>
        <w:ind w:left="0" w:leftChars="0" w:firstLine="320" w:firstLineChars="100"/>
        <w:rPr>
          <w:rFonts w:hint="eastAsia" w:ascii="方正仿宋简体" w:hAnsi="方正仿宋简体" w:eastAsia="方正仿宋简体" w:cs="方正仿宋简体"/>
          <w:sz w:val="32"/>
          <w:szCs w:val="32"/>
          <w:highlight w:val="none"/>
        </w:rPr>
      </w:pPr>
    </w:p>
    <w:p w14:paraId="054A7428">
      <w:pPr>
        <w:keepNext w:val="0"/>
        <w:keepLines w:val="0"/>
        <w:pageBreakBefore w:val="0"/>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sz w:val="32"/>
          <w:szCs w:val="32"/>
          <w:highlight w:val="none"/>
        </w:rPr>
      </w:pPr>
    </w:p>
    <w:p w14:paraId="1456D629">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br w:type="page"/>
      </w:r>
    </w:p>
    <w:p w14:paraId="490D8438">
      <w:pPr>
        <w:keepNext w:val="0"/>
        <w:keepLines w:val="0"/>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highlight w:val="none"/>
        </w:rPr>
      </w:pPr>
      <w:bookmarkStart w:id="3" w:name="_Toc32467"/>
      <w:r>
        <w:rPr>
          <w:rFonts w:hint="eastAsia" w:ascii="方正小标宋简体" w:hAnsi="方正小标宋简体" w:eastAsia="方正小标宋简体" w:cs="方正小标宋简体"/>
          <w:sz w:val="44"/>
          <w:szCs w:val="44"/>
          <w:highlight w:val="none"/>
        </w:rPr>
        <w:t>泸定县林业和草原局</w:t>
      </w:r>
    </w:p>
    <w:bookmarkEnd w:id="3"/>
    <w:p w14:paraId="708A349E">
      <w:pPr>
        <w:keepNext w:val="0"/>
        <w:keepLines w:val="0"/>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highlight w:val="none"/>
        </w:rPr>
      </w:pPr>
      <w:bookmarkStart w:id="4" w:name="_Hlk143087873"/>
      <w:bookmarkStart w:id="5" w:name="_Toc27398"/>
      <w:r>
        <w:rPr>
          <w:rFonts w:hint="eastAsia" w:ascii="方正小标宋简体" w:hAnsi="方正小标宋简体" w:eastAsia="方正小标宋简体" w:cs="方正小标宋简体"/>
          <w:sz w:val="44"/>
          <w:szCs w:val="44"/>
          <w:highlight w:val="none"/>
        </w:rPr>
        <w:t>森林应急灭火大队工作经费项目</w:t>
      </w:r>
      <w:bookmarkEnd w:id="4"/>
      <w:r>
        <w:rPr>
          <w:rFonts w:hint="eastAsia" w:ascii="方正小标宋简体" w:hAnsi="方正小标宋简体" w:eastAsia="方正小标宋简体" w:cs="方正小标宋简体"/>
          <w:sz w:val="44"/>
          <w:szCs w:val="44"/>
          <w:highlight w:val="none"/>
        </w:rPr>
        <w:t>绩效评价报告</w:t>
      </w:r>
      <w:bookmarkEnd w:id="0"/>
      <w:bookmarkEnd w:id="1"/>
      <w:bookmarkEnd w:id="5"/>
    </w:p>
    <w:p w14:paraId="195C3AA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center"/>
        <w:rPr>
          <w:rFonts w:hint="eastAsia" w:ascii="方正仿宋简体" w:hAnsi="方正仿宋简体" w:eastAsia="方正仿宋简体" w:cs="方正仿宋简体"/>
          <w:sz w:val="32"/>
          <w:szCs w:val="32"/>
          <w:highlight w:val="none"/>
        </w:rPr>
      </w:pPr>
    </w:p>
    <w:p w14:paraId="57AB8925">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lang w:val="fr-FR"/>
        </w:rPr>
      </w:pPr>
      <w:bookmarkStart w:id="6" w:name="_Toc6252"/>
      <w:bookmarkStart w:id="7" w:name="_Toc26210"/>
      <w:bookmarkStart w:id="8" w:name="_Toc8938"/>
    </w:p>
    <w:p w14:paraId="62912685">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rPr>
        <w:t>泸定县林业和草原局“森林应急灭火大队工作经费项目”进行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rPr>
        <w:t>泸定县林业和草原局</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rPr>
        <w:t>泸定县林业和草原局“森林应急灭火大队工作经费项目</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6"/>
    <w:bookmarkEnd w:id="7"/>
    <w:bookmarkEnd w:id="8"/>
    <w:p w14:paraId="757FAE7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9" w:name="_Toc8555"/>
      <w:bookmarkStart w:id="10" w:name="_Toc10380"/>
      <w:bookmarkStart w:id="11" w:name="_Toc839625728"/>
      <w:bookmarkStart w:id="12" w:name="_Toc21764"/>
      <w:bookmarkStart w:id="13" w:name="_Toc1399960540"/>
      <w:bookmarkStart w:id="14" w:name="_Toc12185"/>
      <w:bookmarkStart w:id="15" w:name="_Toc1220804308"/>
      <w:r>
        <w:rPr>
          <w:rFonts w:hint="eastAsia" w:ascii="方正黑体简体" w:hAnsi="方正黑体简体" w:eastAsia="方正黑体简体" w:cs="方正黑体简体"/>
          <w:color w:val="000000"/>
          <w:kern w:val="0"/>
          <w:sz w:val="32"/>
          <w:szCs w:val="32"/>
          <w:highlight w:val="none"/>
          <w:shd w:val="clear" w:color="auto" w:fill="FFFFFF"/>
        </w:rPr>
        <w:t>一、</w:t>
      </w:r>
      <w:bookmarkEnd w:id="9"/>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10"/>
      <w:bookmarkEnd w:id="11"/>
      <w:bookmarkEnd w:id="12"/>
      <w:bookmarkEnd w:id="13"/>
      <w:bookmarkEnd w:id="14"/>
      <w:bookmarkEnd w:id="15"/>
    </w:p>
    <w:p w14:paraId="3E552B34">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sz w:val="32"/>
          <w:szCs w:val="32"/>
          <w:highlight w:val="none"/>
          <w:shd w:val="clear" w:color="auto" w:fill="FFFFFF"/>
        </w:rPr>
      </w:pPr>
      <w:bookmarkStart w:id="16" w:name="_Toc16549"/>
      <w:bookmarkStart w:id="17" w:name="_Toc2076172284"/>
      <w:bookmarkStart w:id="18" w:name="_Toc28085"/>
      <w:bookmarkStart w:id="19" w:name="_Toc30550"/>
      <w:bookmarkStart w:id="20" w:name="_Toc102061818"/>
      <w:bookmarkStart w:id="21" w:name="_Toc19926"/>
      <w:bookmarkStart w:id="22" w:name="_Toc431776514"/>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16"/>
      <w:r>
        <w:rPr>
          <w:rFonts w:hint="eastAsia" w:ascii="方正楷体简体" w:hAnsi="方正楷体简体" w:eastAsia="方正楷体简体" w:cs="方正楷体简体"/>
          <w:color w:val="000000"/>
          <w:kern w:val="0"/>
          <w:sz w:val="32"/>
          <w:szCs w:val="32"/>
          <w:highlight w:val="none"/>
          <w:shd w:val="clear" w:color="auto" w:fill="FFFFFF"/>
        </w:rPr>
        <w:t>项目概况</w:t>
      </w:r>
      <w:bookmarkEnd w:id="17"/>
      <w:bookmarkEnd w:id="18"/>
      <w:bookmarkEnd w:id="19"/>
      <w:bookmarkEnd w:id="20"/>
      <w:bookmarkEnd w:id="21"/>
      <w:bookmarkEnd w:id="22"/>
    </w:p>
    <w:p w14:paraId="64673C3C">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rPr>
      </w:pPr>
      <w:bookmarkStart w:id="23"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677EBB89">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lang w:val="fr-FR"/>
        </w:rPr>
      </w:pPr>
      <w:r>
        <w:rPr>
          <w:rFonts w:hint="eastAsia" w:ascii="方正仿宋简体" w:hAnsi="方正仿宋简体" w:eastAsia="方正仿宋简体" w:cs="方正仿宋简体"/>
          <w:sz w:val="32"/>
          <w:szCs w:val="32"/>
          <w:highlight w:val="none"/>
        </w:rPr>
        <w:t>泸定县林业和草原局，机构性质：机关；统一社会信用代码：</w:t>
      </w:r>
      <w:r>
        <w:rPr>
          <w:rFonts w:hint="default" w:ascii="Times New Roman" w:hAnsi="Times New Roman" w:eastAsia="方正仿宋简体" w:cs="Times New Roman"/>
          <w:sz w:val="32"/>
          <w:szCs w:val="32"/>
          <w:highlight w:val="none"/>
        </w:rPr>
        <w:t>11513322008978396P</w:t>
      </w:r>
      <w:r>
        <w:rPr>
          <w:rFonts w:hint="eastAsia" w:ascii="方正仿宋简体" w:hAnsi="方正仿宋简体" w:eastAsia="方正仿宋简体" w:cs="方正仿宋简体"/>
          <w:sz w:val="32"/>
          <w:szCs w:val="32"/>
          <w:highlight w:val="none"/>
        </w:rPr>
        <w:t>；单位负责人：补云峰；机构地址：泸定县泸桥镇成武路</w:t>
      </w:r>
      <w:r>
        <w:rPr>
          <w:rFonts w:hint="default" w:ascii="Times New Roman" w:hAnsi="Times New Roman" w:eastAsia="方正仿宋简体" w:cs="Times New Roman"/>
          <w:sz w:val="32"/>
          <w:szCs w:val="32"/>
          <w:highlight w:val="none"/>
        </w:rPr>
        <w:t>175</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w:t>
      </w:r>
    </w:p>
    <w:p w14:paraId="03ED6CA3">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3"/>
    </w:p>
    <w:p w14:paraId="466D51F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4" w:name="_Hlk143095508"/>
      <w:r>
        <w:rPr>
          <w:rFonts w:hint="eastAsia" w:ascii="方正仿宋简体" w:hAnsi="方正仿宋简体" w:eastAsia="方正仿宋简体" w:cs="方正仿宋简体"/>
          <w:sz w:val="32"/>
          <w:szCs w:val="32"/>
          <w:highlight w:val="none"/>
        </w:rPr>
        <w:t>在农村劳动力外移，林权产权制度改革深入，国有林场从计划采伐向以封山育林为主转变，私有林发展迅速等背景下，森林防火任务加大、人员缺乏，尤其是有扑火经验的人员更少。为贯彻“以人为本，科学扑救”的思想，坚持“专群结合，以专为主”的原则，进一步加强森林防火队伍建设和管理，推动森林防火队伍规范化建设，提高扑救森林火灾的能力，确保安全、高效、快速地扑灭森林火灾，保护人民生命财产和国家森林资源安全，组建以保护森林资源安全、扑救森林火灾为主要任务，经过严格的扑火技战术、安全避险培训和体能训练，配备安全防护装备和必备扑火机的有组织的队伍是泸定县森林防火的职责之一。</w:t>
      </w:r>
    </w:p>
    <w:bookmarkEnd w:id="24"/>
    <w:p w14:paraId="6AEEB67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31872E0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bookmarkStart w:id="25" w:name="_Toc1137465073"/>
      <w:r>
        <w:rPr>
          <w:rFonts w:hint="eastAsia" w:ascii="方正仿宋简体" w:hAnsi="方正仿宋简体" w:eastAsia="方正仿宋简体" w:cs="方正仿宋简体"/>
          <w:sz w:val="32"/>
          <w:szCs w:val="32"/>
          <w:highlight w:val="none"/>
        </w:rPr>
        <w:t>依据（甘委办发电〔</w:t>
      </w:r>
      <w:r>
        <w:rPr>
          <w:rFonts w:hint="default" w:ascii="Times New Roman" w:hAnsi="Times New Roman" w:eastAsia="方正仿宋简体" w:cs="Times New Roman"/>
          <w:sz w:val="32"/>
          <w:szCs w:val="32"/>
          <w:highlight w:val="none"/>
        </w:rPr>
        <w:t>2021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40</w:t>
      </w:r>
      <w:r>
        <w:rPr>
          <w:rFonts w:hint="eastAsia" w:ascii="方正仿宋简体" w:hAnsi="方正仿宋简体" w:eastAsia="方正仿宋简体" w:cs="方正仿宋简体"/>
          <w:sz w:val="32"/>
          <w:szCs w:val="32"/>
          <w:highlight w:val="none"/>
        </w:rPr>
        <w:t>号）文件，为保证泸定县森林应急灭火大队运行，需组建</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人编制的泸定县森林应急灭火队，并保障灭火队员工资、社保、人头包干经费、岗位津贴、人身意外保险、车辆运行经费和工资增资调标。</w:t>
      </w:r>
    </w:p>
    <w:p w14:paraId="00FC8637">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26" w:name="_Toc11275"/>
      <w:bookmarkStart w:id="27" w:name="_Toc1872624354"/>
      <w:bookmarkStart w:id="28" w:name="_Toc4726"/>
      <w:bookmarkStart w:id="29" w:name="_Toc373335861"/>
      <w:r>
        <w:rPr>
          <w:rFonts w:hint="eastAsia" w:ascii="方正楷体简体" w:hAnsi="方正楷体简体" w:eastAsia="方正楷体简体" w:cs="方正楷体简体"/>
          <w:color w:val="000000"/>
          <w:kern w:val="0"/>
          <w:sz w:val="32"/>
          <w:szCs w:val="32"/>
          <w:highlight w:val="none"/>
          <w:shd w:val="clear" w:color="auto" w:fill="FFFFFF"/>
          <w:lang w:val="zh-CN"/>
        </w:rPr>
        <w:t>（二）资金投入及使用情况</w:t>
      </w:r>
      <w:bookmarkEnd w:id="25"/>
      <w:bookmarkEnd w:id="26"/>
      <w:bookmarkEnd w:id="27"/>
      <w:bookmarkEnd w:id="28"/>
      <w:bookmarkEnd w:id="29"/>
    </w:p>
    <w:p w14:paraId="72B5A42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0" w:name="_Toc92"/>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森林应急灭火大队工作经费项目</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年申请预算资金</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802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万元，实际下达</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802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万元，当年共支出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793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万元，均用于</w:t>
      </w:r>
      <w:r>
        <w:rPr>
          <w:rFonts w:hint="eastAsia" w:ascii="方正仿宋简体" w:hAnsi="方正仿宋简体" w:eastAsia="方正仿宋简体" w:cs="方正仿宋简体"/>
          <w:sz w:val="32"/>
          <w:szCs w:val="32"/>
          <w:highlight w:val="none"/>
        </w:rPr>
        <w:t>森林应急灭火队的工资和社保等</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w:t>
      </w:r>
    </w:p>
    <w:p w14:paraId="3D68350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1" w:name="_Toc1475229012"/>
      <w:bookmarkStart w:id="32" w:name="_Toc16650"/>
      <w:bookmarkStart w:id="33" w:name="_Toc2013461402"/>
      <w:bookmarkStart w:id="34" w:name="_Toc823786307"/>
      <w:bookmarkStart w:id="35" w:name="_Toc21314"/>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30"/>
      <w:bookmarkEnd w:id="31"/>
      <w:bookmarkEnd w:id="32"/>
      <w:bookmarkEnd w:id="33"/>
      <w:bookmarkEnd w:id="34"/>
      <w:bookmarkEnd w:id="35"/>
    </w:p>
    <w:p w14:paraId="61C73B76">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36" w:name="_Toc3977"/>
      <w:bookmarkStart w:id="37" w:name="_Toc374873874"/>
      <w:bookmarkStart w:id="38" w:name="_Toc26040"/>
      <w:bookmarkStart w:id="39" w:name="_Toc552897559"/>
      <w:bookmarkStart w:id="40" w:name="_Toc20741"/>
      <w:bookmarkStart w:id="41" w:name="_Toc1526787527"/>
      <w:r>
        <w:rPr>
          <w:rFonts w:hint="eastAsia" w:ascii="方正楷体简体" w:hAnsi="方正楷体简体" w:eastAsia="方正楷体简体" w:cs="方正楷体简体"/>
          <w:color w:val="000000"/>
          <w:kern w:val="0"/>
          <w:sz w:val="32"/>
          <w:szCs w:val="32"/>
          <w:highlight w:val="none"/>
          <w:shd w:val="clear" w:color="auto" w:fill="FFFFFF"/>
          <w:lang w:val="zh-CN"/>
        </w:rPr>
        <w:t>（一）评价范围</w:t>
      </w:r>
      <w:bookmarkEnd w:id="36"/>
      <w:bookmarkEnd w:id="37"/>
      <w:bookmarkEnd w:id="38"/>
      <w:bookmarkEnd w:id="39"/>
      <w:bookmarkEnd w:id="40"/>
      <w:bookmarkEnd w:id="41"/>
    </w:p>
    <w:p w14:paraId="3341099D">
      <w:pPr>
        <w:pStyle w:val="2"/>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kern w:val="2"/>
          <w:sz w:val="32"/>
          <w:szCs w:val="32"/>
          <w:highlight w:val="none"/>
          <w:shd w:val="clear" w:color="auto" w:fill="FFFFFF"/>
        </w:rPr>
      </w:pPr>
      <w:r>
        <w:rPr>
          <w:rFonts w:hint="eastAsia" w:ascii="方正仿宋简体" w:hAnsi="方正仿宋简体" w:eastAsia="方正仿宋简体" w:cs="方正仿宋简体"/>
          <w:color w:val="000000"/>
          <w:kern w:val="2"/>
          <w:sz w:val="32"/>
          <w:szCs w:val="32"/>
          <w:highlight w:val="none"/>
          <w:shd w:val="clear" w:color="auto" w:fill="FFFFFF"/>
        </w:rPr>
        <w:t>对泸定县林业和草原局森林应急灭火大队工作经费项目进行绩效评价。</w:t>
      </w:r>
    </w:p>
    <w:p w14:paraId="611AAD84">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42" w:name="_Toc4788"/>
      <w:r>
        <w:rPr>
          <w:rFonts w:hint="eastAsia" w:ascii="方正楷体简体" w:hAnsi="方正楷体简体" w:eastAsia="方正楷体简体" w:cs="方正楷体简体"/>
          <w:color w:val="000000"/>
          <w:kern w:val="0"/>
          <w:sz w:val="32"/>
          <w:szCs w:val="32"/>
          <w:highlight w:val="none"/>
          <w:shd w:val="clear" w:color="auto" w:fill="FFFFFF"/>
          <w:lang w:val="zh-CN"/>
        </w:rPr>
        <w:t>（二）评价目的</w:t>
      </w:r>
      <w:bookmarkEnd w:id="42"/>
    </w:p>
    <w:p w14:paraId="577F86DB">
      <w:pPr>
        <w:pStyle w:val="2"/>
        <w:keepNext w:val="0"/>
        <w:keepLines w:val="0"/>
        <w:pageBreakBefore w:val="0"/>
        <w:kinsoku/>
        <w:wordWrap/>
        <w:overflowPunct/>
        <w:topLinePunct w:val="0"/>
        <w:autoSpaceDE/>
        <w:autoSpaceDN/>
        <w:bidi w:val="0"/>
        <w:spacing w:line="600" w:lineRule="exact"/>
        <w:ind w:left="0" w:leftChars="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森林应急灭火大队工作经费项目进行绩效评价，发现项目实施过程存在的问题，并督促被评价单位及时整改。同时对森林应急灭火大队工作经费项目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3" w:name="_Toc25044"/>
    </w:p>
    <w:p w14:paraId="52655A9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44" w:name="_Toc256358140"/>
      <w:bookmarkStart w:id="45" w:name="_Toc4506"/>
      <w:bookmarkStart w:id="46" w:name="_Toc69892372"/>
      <w:bookmarkStart w:id="47" w:name="_Toc695837166"/>
      <w:bookmarkStart w:id="48" w:name="_Toc27250"/>
      <w:r>
        <w:rPr>
          <w:rFonts w:hint="eastAsia" w:ascii="方正楷体简体" w:hAnsi="方正楷体简体" w:eastAsia="方正楷体简体" w:cs="方正楷体简体"/>
          <w:color w:val="000000"/>
          <w:kern w:val="0"/>
          <w:sz w:val="32"/>
          <w:szCs w:val="32"/>
          <w:highlight w:val="none"/>
          <w:shd w:val="clear" w:color="auto" w:fill="FFFFFF"/>
          <w:lang w:val="zh-CN"/>
        </w:rPr>
        <w:t>（三）</w:t>
      </w:r>
      <w:bookmarkEnd w:id="43"/>
      <w:bookmarkEnd w:id="44"/>
      <w:bookmarkEnd w:id="45"/>
      <w:bookmarkEnd w:id="46"/>
      <w:bookmarkEnd w:id="47"/>
      <w:r>
        <w:rPr>
          <w:rFonts w:hint="eastAsia" w:ascii="方正楷体简体" w:hAnsi="方正楷体简体" w:eastAsia="方正楷体简体" w:cs="方正楷体简体"/>
          <w:color w:val="000000"/>
          <w:kern w:val="0"/>
          <w:sz w:val="32"/>
          <w:szCs w:val="32"/>
          <w:highlight w:val="none"/>
          <w:shd w:val="clear" w:color="auto" w:fill="FFFFFF"/>
          <w:lang w:val="zh-CN"/>
        </w:rPr>
        <w:t>评价依据</w:t>
      </w:r>
      <w:bookmarkEnd w:id="48"/>
    </w:p>
    <w:p w14:paraId="15516DA9">
      <w:pPr>
        <w:pStyle w:val="2"/>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sz w:val="32"/>
          <w:szCs w:val="32"/>
          <w:highlight w:val="none"/>
        </w:rPr>
      </w:pPr>
      <w:bookmarkStart w:id="49" w:name="_Toc2131644227"/>
      <w:bookmarkStart w:id="50" w:name="_Toc1283387961"/>
      <w:bookmarkStart w:id="51" w:name="_Toc12644"/>
      <w:bookmarkStart w:id="52" w:name="_Toc24122"/>
      <w:bookmarkStart w:id="53" w:name="_Toc1431999818"/>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6FE8AA35">
      <w:pPr>
        <w:pStyle w:val="2"/>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BD6ADD6">
      <w:pPr>
        <w:pStyle w:val="2"/>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05D7CAE1">
      <w:pPr>
        <w:pStyle w:val="2"/>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号）；</w:t>
      </w:r>
    </w:p>
    <w:p w14:paraId="428ECEF0">
      <w:pPr>
        <w:pStyle w:val="2"/>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号）；</w:t>
      </w:r>
    </w:p>
    <w:p w14:paraId="377A6A57">
      <w:pPr>
        <w:pStyle w:val="2"/>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p>
    <w:p w14:paraId="6E4E5316">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 其他相关法规及操作规范。</w:t>
      </w:r>
    </w:p>
    <w:p w14:paraId="4DD657C5">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54" w:name="_Toc25548"/>
      <w:r>
        <w:rPr>
          <w:rFonts w:hint="eastAsia" w:ascii="方正楷体简体" w:hAnsi="方正楷体简体" w:eastAsia="方正楷体简体" w:cs="方正楷体简体"/>
          <w:color w:val="000000"/>
          <w:kern w:val="0"/>
          <w:sz w:val="32"/>
          <w:szCs w:val="32"/>
          <w:highlight w:val="none"/>
          <w:shd w:val="clear" w:color="auto" w:fill="FFFFFF"/>
          <w:lang w:val="zh-CN"/>
        </w:rPr>
        <w:t>（四）绩效评价指标体系</w:t>
      </w:r>
      <w:bookmarkEnd w:id="54"/>
    </w:p>
    <w:p w14:paraId="32F2063F">
      <w:pPr>
        <w:pStyle w:val="2"/>
        <w:keepNext w:val="0"/>
        <w:keepLines w:val="0"/>
        <w:pageBreakBefore w:val="0"/>
        <w:kinsoku/>
        <w:wordWrap/>
        <w:overflowPunct/>
        <w:topLinePunct w:val="0"/>
        <w:autoSpaceDE/>
        <w:autoSpaceDN/>
        <w:bidi w:val="0"/>
        <w:spacing w:line="600" w:lineRule="exact"/>
        <w:ind w:left="0" w:leftChars="0"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等相关规定的评价指标体系和该项目的实际情况，评价组将绩效评价指标体系中共性指标设定为：区域均衡性和对象公平性，特性指标设定为：审核把关、资金使用率和社会满意度，个性指标设定为：生活保障率。设定评价指标及权重如下：</w:t>
      </w:r>
    </w:p>
    <w:p w14:paraId="09E66506">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55" w:name="_Hlk142489161"/>
      <w:r>
        <w:rPr>
          <w:rFonts w:hint="eastAsia" w:ascii="方正仿宋简体" w:hAnsi="方正仿宋简体" w:eastAsia="方正仿宋简体" w:cs="方正仿宋简体"/>
          <w:sz w:val="32"/>
          <w:szCs w:val="32"/>
          <w:highlight w:val="none"/>
        </w:rPr>
        <w:t>程序严密、规划合理、制度完备</w:t>
      </w:r>
      <w:bookmarkEnd w:id="55"/>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6BE4B41">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D59DFAC">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BE681E7">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.项目效果：含区域均衡性、对象公平性两个二级指标，权重合计为</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5127282">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.基础管理：含审核把关一个二级指标，权重合计为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BF94CF">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.社会效益：含资金使用率、社会满意度两个二级指标，权重合计为</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71D447D">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 可持续性效益：含生活保障率一个二级指标，权重合计为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2FED3E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56" w:name="_Toc12590"/>
      <w:r>
        <w:rPr>
          <w:rFonts w:hint="eastAsia" w:ascii="方正黑体简体" w:hAnsi="方正黑体简体" w:eastAsia="方正黑体简体" w:cs="方正黑体简体"/>
          <w:color w:val="000000"/>
          <w:kern w:val="0"/>
          <w:sz w:val="32"/>
          <w:szCs w:val="32"/>
          <w:highlight w:val="none"/>
          <w:shd w:val="clear" w:color="auto" w:fill="FFFFFF"/>
        </w:rPr>
        <w:t>三、评价情况及结论</w:t>
      </w:r>
      <w:bookmarkEnd w:id="49"/>
      <w:bookmarkEnd w:id="50"/>
      <w:bookmarkEnd w:id="51"/>
      <w:bookmarkEnd w:id="52"/>
      <w:bookmarkEnd w:id="53"/>
      <w:bookmarkEnd w:id="56"/>
    </w:p>
    <w:p w14:paraId="15138C93">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该项目实施后，通过组建森林应急灭火队，加强了泸定县森林应急灭火队伍规范化建设，提升了队伍应对处置森林草原防灭火能力，保护了人民群众生命财产安全和切身利益，有效地保护了森林草原资源。</w:t>
      </w:r>
    </w:p>
    <w:p w14:paraId="2A04A67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综上所述，按照设定的评价指标体系，通过对森林应急灭火大队工作经费项目在项目决策、项目实施、完成结果、项目效果、基础管理、社会效益和可持续性效益进行综合评价，“森林应急灭火大队工作经费项目”绩效评价得分为</w:t>
      </w:r>
      <w:r>
        <w:rPr>
          <w:rFonts w:hint="default" w:ascii="Times New Roman" w:hAnsi="Times New Roman" w:eastAsia="方正仿宋简体" w:cs="Times New Roman"/>
          <w:sz w:val="32"/>
          <w:szCs w:val="32"/>
          <w:highlight w:val="none"/>
        </w:rPr>
        <w:t>92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77</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59"/>
        <w:gridCol w:w="2266"/>
        <w:gridCol w:w="2266"/>
      </w:tblGrid>
      <w:tr w14:paraId="236D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F72EC83">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247" w:type="pct"/>
            <w:vAlign w:val="center"/>
          </w:tcPr>
          <w:p w14:paraId="46E829C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1" w:type="pct"/>
            <w:vAlign w:val="center"/>
          </w:tcPr>
          <w:p w14:paraId="5398202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1" w:type="pct"/>
            <w:vAlign w:val="center"/>
          </w:tcPr>
          <w:p w14:paraId="0E170025">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3A0D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09DB459">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项目决策</w:t>
            </w:r>
          </w:p>
        </w:tc>
        <w:tc>
          <w:tcPr>
            <w:tcW w:w="1247" w:type="pct"/>
            <w:vAlign w:val="center"/>
          </w:tcPr>
          <w:p w14:paraId="2D1C7CDF">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38EF35E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4BF2BB6D">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83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33%</w:t>
            </w:r>
          </w:p>
        </w:tc>
      </w:tr>
      <w:tr w14:paraId="2879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26156DD">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项目实施</w:t>
            </w:r>
          </w:p>
        </w:tc>
        <w:tc>
          <w:tcPr>
            <w:tcW w:w="1247" w:type="pct"/>
            <w:vAlign w:val="center"/>
          </w:tcPr>
          <w:p w14:paraId="0B4E29D7">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50A7D08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50F6D5E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r>
      <w:tr w14:paraId="1D82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67EB664E">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完成结果</w:t>
            </w:r>
          </w:p>
        </w:tc>
        <w:tc>
          <w:tcPr>
            <w:tcW w:w="1247" w:type="pct"/>
            <w:vAlign w:val="center"/>
          </w:tcPr>
          <w:p w14:paraId="4CC0B3F9">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17C5380B">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0403B6A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r>
      <w:tr w14:paraId="5CD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602C45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项目效果</w:t>
            </w:r>
          </w:p>
        </w:tc>
        <w:tc>
          <w:tcPr>
            <w:tcW w:w="1247" w:type="pct"/>
            <w:vAlign w:val="center"/>
          </w:tcPr>
          <w:p w14:paraId="2332D8F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70B9EDF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27EA2692">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r>
      <w:tr w14:paraId="43B3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70CC5EF">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基础管理</w:t>
            </w:r>
          </w:p>
        </w:tc>
        <w:tc>
          <w:tcPr>
            <w:tcW w:w="1247" w:type="pct"/>
            <w:vAlign w:val="center"/>
          </w:tcPr>
          <w:p w14:paraId="00122A6F">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53F2982C">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1CC4C480">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r>
      <w:tr w14:paraId="0B58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ABE8EE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社会效益</w:t>
            </w:r>
          </w:p>
        </w:tc>
        <w:tc>
          <w:tcPr>
            <w:tcW w:w="1247" w:type="pct"/>
            <w:vAlign w:val="center"/>
          </w:tcPr>
          <w:p w14:paraId="6B7CD376">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2EC941C4">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86</w:t>
            </w:r>
          </w:p>
        </w:tc>
        <w:tc>
          <w:tcPr>
            <w:tcW w:w="1251" w:type="pct"/>
            <w:vAlign w:val="center"/>
          </w:tcPr>
          <w:p w14:paraId="79ECC54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84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30%</w:t>
            </w:r>
          </w:p>
        </w:tc>
      </w:tr>
      <w:tr w14:paraId="54AD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6671327">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可持续性效益</w:t>
            </w:r>
          </w:p>
        </w:tc>
        <w:tc>
          <w:tcPr>
            <w:tcW w:w="1247" w:type="pct"/>
            <w:vAlign w:val="center"/>
          </w:tcPr>
          <w:p w14:paraId="4B569423">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537DDBC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91</w:t>
            </w:r>
          </w:p>
        </w:tc>
        <w:tc>
          <w:tcPr>
            <w:tcW w:w="1251" w:type="pct"/>
            <w:vAlign w:val="center"/>
          </w:tcPr>
          <w:p w14:paraId="1E66468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79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p>
        </w:tc>
      </w:tr>
      <w:tr w14:paraId="6A68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E074FC1">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合计</w:t>
            </w:r>
          </w:p>
        </w:tc>
        <w:tc>
          <w:tcPr>
            <w:tcW w:w="1247" w:type="pct"/>
            <w:vAlign w:val="center"/>
          </w:tcPr>
          <w:p w14:paraId="498B5942">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1" w:type="pct"/>
            <w:vAlign w:val="center"/>
          </w:tcPr>
          <w:p w14:paraId="01EC110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92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77</w:t>
            </w:r>
            <w:r>
              <w:rPr>
                <w:rFonts w:hint="eastAsia" w:ascii="方正仿宋简体" w:hAnsi="方正仿宋简体" w:eastAsia="方正仿宋简体" w:cs="方正仿宋简体"/>
                <w:sz w:val="32"/>
                <w:szCs w:val="32"/>
                <w:highlight w:val="none"/>
              </w:rPr>
              <w:t xml:space="preserve"> </w:t>
            </w:r>
          </w:p>
        </w:tc>
        <w:tc>
          <w:tcPr>
            <w:tcW w:w="1251" w:type="pct"/>
            <w:vAlign w:val="center"/>
          </w:tcPr>
          <w:p w14:paraId="5855B0B3">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92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77%</w:t>
            </w:r>
            <w:r>
              <w:rPr>
                <w:rFonts w:hint="eastAsia" w:ascii="方正仿宋简体" w:hAnsi="方正仿宋简体" w:eastAsia="方正仿宋简体" w:cs="方正仿宋简体"/>
                <w:sz w:val="32"/>
                <w:szCs w:val="32"/>
                <w:highlight w:val="none"/>
              </w:rPr>
              <w:t xml:space="preserve"> </w:t>
            </w:r>
          </w:p>
        </w:tc>
      </w:tr>
    </w:tbl>
    <w:p w14:paraId="4D9873D1">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57" w:name="_Toc11047"/>
      <w:bookmarkStart w:id="58" w:name="_Toc2038909009"/>
      <w:bookmarkStart w:id="59" w:name="_Toc21540"/>
      <w:bookmarkStart w:id="60" w:name="_Toc121121045"/>
      <w:bookmarkStart w:id="61" w:name="_Toc488092938"/>
      <w:bookmarkStart w:id="62" w:name="_Toc13308"/>
      <w:r>
        <w:rPr>
          <w:rFonts w:hint="eastAsia" w:ascii="方正黑体简体" w:hAnsi="方正黑体简体" w:eastAsia="方正黑体简体" w:cs="方正黑体简体"/>
          <w:color w:val="000000"/>
          <w:kern w:val="0"/>
          <w:sz w:val="32"/>
          <w:szCs w:val="32"/>
          <w:highlight w:val="none"/>
          <w:shd w:val="clear" w:color="auto" w:fill="FFFFFF"/>
        </w:rPr>
        <w:t>四、绩效结果应用</w:t>
      </w:r>
      <w:bookmarkEnd w:id="57"/>
    </w:p>
    <w:p w14:paraId="6CA009C4">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项目的实施有效控制火灾损失、保护生态环境、促进林区可持续发展、提高林区经济效益以及推动林区社会和谐发展，通过建立社区参与机制，提高社区居民对森林火灾的认识，培养他们的防火意识和能力。经评价组事后评价，该项目实施较好，效益发挥良好，绩效等级为“优”。秉承科学公正、统筹兼顾、激励约束和公开透明财政绩效原则，</w:t>
      </w:r>
      <w:r>
        <w:rPr>
          <w:rFonts w:hint="eastAsia" w:ascii="方正仿宋简体" w:hAnsi="方正仿宋简体" w:eastAsia="方正仿宋简体" w:cs="方正仿宋简体"/>
          <w:sz w:val="32"/>
          <w:szCs w:val="32"/>
          <w:highlight w:val="none"/>
          <w:lang w:eastAsia="zh-CN"/>
        </w:rPr>
        <w:t>我单位</w:t>
      </w:r>
      <w:r>
        <w:rPr>
          <w:rFonts w:hint="eastAsia" w:ascii="方正仿宋简体" w:hAnsi="方正仿宋简体" w:eastAsia="方正仿宋简体" w:cs="方正仿宋简体"/>
          <w:sz w:val="32"/>
          <w:szCs w:val="32"/>
          <w:highlight w:val="none"/>
        </w:rPr>
        <w:t>建议泸定县财政局针对该类管理，进一步要求泸定县林业和草原局完善项目制度管理，提升项目实施效益。</w:t>
      </w:r>
    </w:p>
    <w:p w14:paraId="52A3932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3" w:name="_Toc11154"/>
      <w:r>
        <w:rPr>
          <w:rFonts w:hint="eastAsia" w:ascii="方正黑体简体" w:hAnsi="方正黑体简体" w:eastAsia="方正黑体简体" w:cs="方正黑体简体"/>
          <w:color w:val="000000"/>
          <w:kern w:val="0"/>
          <w:sz w:val="32"/>
          <w:szCs w:val="32"/>
          <w:highlight w:val="none"/>
          <w:shd w:val="clear" w:color="auto" w:fill="FFFFFF"/>
        </w:rPr>
        <w:t>五、绩效评价指标分析</w:t>
      </w:r>
      <w:bookmarkEnd w:id="58"/>
      <w:bookmarkEnd w:id="59"/>
      <w:bookmarkEnd w:id="60"/>
      <w:bookmarkEnd w:id="61"/>
      <w:bookmarkEnd w:id="62"/>
      <w:bookmarkEnd w:id="63"/>
    </w:p>
    <w:bookmarkEnd w:id="2"/>
    <w:p w14:paraId="6851D945">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64" w:name="_Toc1889406865"/>
      <w:bookmarkStart w:id="65" w:name="_Toc12635"/>
      <w:bookmarkStart w:id="66" w:name="_Toc314064335"/>
      <w:bookmarkStart w:id="67" w:name="_Toc31799"/>
      <w:bookmarkStart w:id="68" w:name="_Toc24892"/>
      <w:bookmarkStart w:id="69" w:name="_Toc142913852"/>
      <w:bookmarkStart w:id="70" w:name="_Toc1409505349"/>
      <w:bookmarkStart w:id="71" w:name="_Toc1228970844"/>
      <w:bookmarkStart w:id="72" w:name="_Toc30800"/>
      <w:bookmarkStart w:id="73" w:name="_Toc1568235950"/>
      <w:r>
        <w:rPr>
          <w:rFonts w:hint="eastAsia" w:ascii="方正楷体简体" w:hAnsi="方正楷体简体" w:eastAsia="方正楷体简体" w:cs="方正楷体简体"/>
          <w:color w:val="000000"/>
          <w:kern w:val="0"/>
          <w:sz w:val="32"/>
          <w:szCs w:val="32"/>
          <w:highlight w:val="none"/>
          <w:shd w:val="clear" w:color="auto" w:fill="FFFFFF"/>
          <w:lang w:val="zh-CN"/>
        </w:rPr>
        <w:t>（一）项目</w:t>
      </w:r>
      <w:bookmarkEnd w:id="64"/>
      <w:bookmarkEnd w:id="65"/>
      <w:bookmarkEnd w:id="66"/>
      <w:bookmarkEnd w:id="67"/>
      <w:bookmarkStart w:id="74" w:name="_Toc23796"/>
      <w:r>
        <w:rPr>
          <w:rFonts w:hint="eastAsia" w:ascii="方正楷体简体" w:hAnsi="方正楷体简体" w:eastAsia="方正楷体简体" w:cs="方正楷体简体"/>
          <w:color w:val="000000"/>
          <w:kern w:val="0"/>
          <w:sz w:val="32"/>
          <w:szCs w:val="32"/>
          <w:highlight w:val="none"/>
          <w:shd w:val="clear" w:color="auto" w:fill="FFFFFF"/>
          <w:lang w:val="zh-CN"/>
        </w:rPr>
        <w:t>决策</w:t>
      </w:r>
      <w:bookmarkEnd w:id="68"/>
      <w:bookmarkEnd w:id="69"/>
    </w:p>
    <w:p w14:paraId="2709278D">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指标“项目决策”下设三个三级指标分别为：</w:t>
      </w:r>
      <w:bookmarkEnd w:id="74"/>
      <w:r>
        <w:rPr>
          <w:rFonts w:hint="eastAsia" w:ascii="方正仿宋简体" w:hAnsi="方正仿宋简体" w:eastAsia="方正仿宋简体" w:cs="方正仿宋简体"/>
          <w:sz w:val="32"/>
          <w:szCs w:val="32"/>
          <w:highlight w:val="none"/>
        </w:rPr>
        <w:t>立项程序严密性、规划合理性、管理制度完备性。</w:t>
      </w:r>
    </w:p>
    <w:p w14:paraId="253F0CE3">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75" w:name="_Toc18487"/>
    </w:p>
    <w:p w14:paraId="7EDE30EF">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林业和草原局针对泸定县森林应急灭火大队经费项目进行了事前评估，通过对项目实施必要性、投入经济性、目标科学性、方案可行性、预算合理性进行了评估，本项目的实施符合专项设立的基本规范和程序要求</w:t>
      </w:r>
      <w:r>
        <w:rPr>
          <w:rFonts w:hint="eastAsia" w:ascii="方正仿宋简体" w:hAnsi="方正仿宋简体" w:eastAsia="方正仿宋简体" w:cs="方正仿宋简体"/>
          <w:sz w:val="32"/>
          <w:szCs w:val="32"/>
          <w:highlight w:val="none"/>
          <w:lang w:eastAsia="zh-CN"/>
        </w:rPr>
        <w:t>；与</w:t>
      </w:r>
      <w:r>
        <w:rPr>
          <w:rFonts w:hint="eastAsia" w:ascii="方正仿宋简体" w:hAnsi="方正仿宋简体" w:eastAsia="方正仿宋简体" w:cs="方正仿宋简体"/>
          <w:sz w:val="32"/>
          <w:szCs w:val="32"/>
          <w:highlight w:val="none"/>
        </w:rPr>
        <w:t>项目设立部门职责相符，属于公共财政支持范围，符合地方事权支出责任划分原则，与相关部门同类项目或部门内部相关项目无重复。</w:t>
      </w:r>
    </w:p>
    <w:bookmarkEnd w:id="75"/>
    <w:p w14:paraId="2D08442D">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bookmarkStart w:id="76"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76"/>
    </w:p>
    <w:p w14:paraId="312C35DC">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081B05A7">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泸定县林业和草原局</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年度泸定县森林草原专业防灭火大队工作经费项目根据《关于进一步加强森林草原地方专业防灭火队伍建设的指导意见》的通知（甘委办发电〔</w:t>
      </w:r>
      <w:r>
        <w:rPr>
          <w:rFonts w:hint="default" w:ascii="Times New Roman" w:hAnsi="Times New Roman" w:eastAsia="方正仿宋简体" w:cs="Times New Roman"/>
          <w:sz w:val="32"/>
          <w:szCs w:val="32"/>
          <w:highlight w:val="none"/>
        </w:rPr>
        <w:t>2021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40</w:t>
      </w:r>
      <w:r>
        <w:rPr>
          <w:rFonts w:hint="eastAsia" w:ascii="方正仿宋简体" w:hAnsi="方正仿宋简体" w:eastAsia="方正仿宋简体" w:cs="方正仿宋简体"/>
          <w:sz w:val="32"/>
          <w:szCs w:val="32"/>
          <w:highlight w:val="none"/>
        </w:rPr>
        <w:t>号文件）、《关于进一步加强泸定县森林草原专业防灭火大队队伍建设方案的请示》（泸林草〔</w:t>
      </w:r>
      <w:r>
        <w:rPr>
          <w:rFonts w:hint="default" w:ascii="Times New Roman" w:hAnsi="Times New Roman" w:eastAsia="方正仿宋简体" w:cs="Times New Roman"/>
          <w:sz w:val="32"/>
          <w:szCs w:val="32"/>
          <w:highlight w:val="none"/>
        </w:rPr>
        <w:t>2021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131</w:t>
      </w:r>
      <w:r>
        <w:rPr>
          <w:rFonts w:hint="eastAsia" w:ascii="方正仿宋简体" w:hAnsi="方正仿宋简体" w:eastAsia="方正仿宋简体" w:cs="方正仿宋简体"/>
          <w:sz w:val="32"/>
          <w:szCs w:val="32"/>
          <w:highlight w:val="none"/>
        </w:rPr>
        <w:t>文件）相关要求及规定，专业防灭火大队建制</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人足额招录并全力保障队伍建设所需资金，保障实施与总体目标一致；指标设置覆盖人数</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人，实际覆盖人数</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人，设置人员工资社保标准，按照计划实施项目。</w:t>
      </w:r>
    </w:p>
    <w:p w14:paraId="0FB48B26">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C4ADC1E">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7EEB1DEC">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该项目作为长期实施的项目，泸定县林业和草原局未制定森林应急灭火大队经费指导意见、实施细则</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管理办法、申报指南</w:t>
      </w:r>
      <w:r>
        <w:rPr>
          <w:rFonts w:hint="eastAsia" w:ascii="方正仿宋简体" w:hAnsi="方正仿宋简体" w:eastAsia="方正仿宋简体" w:cs="方正仿宋简体"/>
          <w:sz w:val="32"/>
          <w:szCs w:val="32"/>
          <w:highlight w:val="none"/>
        </w:rPr>
        <w:t>等管理制度。</w:t>
      </w:r>
    </w:p>
    <w:p w14:paraId="1CE7DB53">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5D5CAE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77" w:name="_Toc32636"/>
      <w:bookmarkStart w:id="78" w:name="_Toc31125"/>
      <w:bookmarkStart w:id="79" w:name="_Toc1541608668"/>
      <w:bookmarkStart w:id="80" w:name="_Toc14016"/>
      <w:bookmarkStart w:id="81" w:name="_Toc88957765"/>
      <w:bookmarkStart w:id="82" w:name="_Toc32247"/>
      <w:bookmarkStart w:id="83" w:name="_Toc21939"/>
      <w:bookmarkStart w:id="84" w:name="_Toc142913853"/>
      <w:bookmarkStart w:id="85" w:name="_Toc319507675_WPSOffice_Level3"/>
      <w:r>
        <w:rPr>
          <w:rFonts w:hint="eastAsia" w:ascii="方正楷体简体" w:hAnsi="方正楷体简体" w:eastAsia="方正楷体简体" w:cs="方正楷体简体"/>
          <w:color w:val="000000"/>
          <w:kern w:val="0"/>
          <w:sz w:val="32"/>
          <w:szCs w:val="32"/>
          <w:highlight w:val="none"/>
          <w:shd w:val="clear" w:color="auto" w:fill="FFFFFF"/>
          <w:lang w:val="zh-CN"/>
        </w:rPr>
        <w:t>（二）</w:t>
      </w:r>
      <w:bookmarkEnd w:id="77"/>
      <w:bookmarkEnd w:id="78"/>
      <w:bookmarkEnd w:id="79"/>
      <w:bookmarkEnd w:id="80"/>
      <w:bookmarkEnd w:id="81"/>
      <w:bookmarkEnd w:id="82"/>
      <w:r>
        <w:rPr>
          <w:rFonts w:hint="eastAsia" w:ascii="方正楷体简体" w:hAnsi="方正楷体简体" w:eastAsia="方正楷体简体" w:cs="方正楷体简体"/>
          <w:color w:val="000000"/>
          <w:kern w:val="0"/>
          <w:sz w:val="32"/>
          <w:szCs w:val="32"/>
          <w:highlight w:val="none"/>
          <w:shd w:val="clear" w:color="auto" w:fill="FFFFFF"/>
          <w:lang w:val="zh-CN"/>
        </w:rPr>
        <w:t>项目实施</w:t>
      </w:r>
      <w:bookmarkEnd w:id="83"/>
      <w:bookmarkEnd w:id="84"/>
    </w:p>
    <w:p w14:paraId="75D5F241">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bookmarkStart w:id="86" w:name="_Toc4448"/>
      <w:r>
        <w:rPr>
          <w:rFonts w:hint="eastAsia" w:ascii="方正仿宋简体" w:hAnsi="方正仿宋简体" w:eastAsia="方正仿宋简体" w:cs="方正仿宋简体"/>
          <w:sz w:val="32"/>
          <w:szCs w:val="32"/>
          <w:highlight w:val="none"/>
        </w:rPr>
        <w:t>指标“项目实施”下设三个三级指标分别为：资金分配合理性、资金使用合规性、项目执行有效性。</w:t>
      </w:r>
      <w:bookmarkEnd w:id="86"/>
    </w:p>
    <w:p w14:paraId="2BBBAEDC">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5A300284">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森林应急灭火大队工作经费项目申请财政资金</w:t>
      </w:r>
      <w:r>
        <w:rPr>
          <w:rFonts w:hint="default" w:ascii="Times New Roman" w:hAnsi="Times New Roman" w:eastAsia="方正仿宋简体" w:cs="Times New Roman"/>
          <w:sz w:val="32"/>
          <w:szCs w:val="32"/>
          <w:highlight w:val="none"/>
        </w:rPr>
        <w:t>802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73</w:t>
      </w:r>
      <w:r>
        <w:rPr>
          <w:rFonts w:hint="eastAsia" w:ascii="方正仿宋简体" w:hAnsi="方正仿宋简体" w:eastAsia="方正仿宋简体" w:cs="方正仿宋简体"/>
          <w:sz w:val="32"/>
          <w:szCs w:val="32"/>
          <w:highlight w:val="none"/>
        </w:rPr>
        <w:t>万元，实际分配资金</w:t>
      </w:r>
      <w:r>
        <w:rPr>
          <w:rFonts w:hint="default" w:ascii="Times New Roman" w:hAnsi="Times New Roman" w:eastAsia="方正仿宋简体" w:cs="Times New Roman"/>
          <w:sz w:val="32"/>
          <w:szCs w:val="32"/>
          <w:highlight w:val="none"/>
        </w:rPr>
        <w:t>802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73</w:t>
      </w:r>
      <w:r>
        <w:rPr>
          <w:rFonts w:hint="eastAsia" w:ascii="方正仿宋简体" w:hAnsi="方正仿宋简体" w:eastAsia="方正仿宋简体" w:cs="方正仿宋简体"/>
          <w:sz w:val="32"/>
          <w:szCs w:val="32"/>
          <w:highlight w:val="none"/>
        </w:rPr>
        <w:t>万元，预算资金全部及时到位，分配与计划保持一致。</w:t>
      </w:r>
    </w:p>
    <w:p w14:paraId="7EDD5E9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D81A7A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4208CC4A">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林业和草原局对项目资金的使用符合国家财经法规和财务管理制度及有关专项资金管理办法规定；资金拨付有完整的审批程序和手续；符合项目预算批复或合同规定用途；不存在截留、挤占、挪用、虚列支出等情况。</w:t>
      </w:r>
    </w:p>
    <w:p w14:paraId="669215F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D6076F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48C0FFAE">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bookmarkStart w:id="87" w:name="_Toc1369"/>
      <w:r>
        <w:rPr>
          <w:rFonts w:hint="eastAsia" w:ascii="方正仿宋简体" w:hAnsi="方正仿宋简体" w:eastAsia="方正仿宋简体" w:cs="方正仿宋简体"/>
          <w:sz w:val="32"/>
          <w:szCs w:val="32"/>
          <w:highlight w:val="none"/>
        </w:rPr>
        <w:t>本项目实施严格遵守相关法律法规；项目调整手续完备；资金支付报销等资料基本齐全；项目实施的人员条件、场地设备、信息支撑等均落实到位。</w:t>
      </w:r>
    </w:p>
    <w:p w14:paraId="2F1D8C28">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87"/>
    </w:p>
    <w:p w14:paraId="1B969B1F">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88" w:name="_Toc16444"/>
      <w:bookmarkStart w:id="89" w:name="_Toc32069"/>
      <w:bookmarkStart w:id="90" w:name="_Toc1142577582"/>
      <w:bookmarkStart w:id="91" w:name="_Toc2043726100"/>
      <w:bookmarkStart w:id="92" w:name="_Toc142913854"/>
      <w:bookmarkStart w:id="93" w:name="_Toc18781"/>
      <w:r>
        <w:rPr>
          <w:rFonts w:hint="eastAsia" w:ascii="方正楷体简体" w:hAnsi="方正楷体简体" w:eastAsia="方正楷体简体" w:cs="方正楷体简体"/>
          <w:color w:val="000000"/>
          <w:kern w:val="0"/>
          <w:sz w:val="32"/>
          <w:szCs w:val="32"/>
          <w:highlight w:val="none"/>
          <w:shd w:val="clear" w:color="auto" w:fill="FFFFFF"/>
          <w:lang w:val="zh-CN"/>
        </w:rPr>
        <w:t>（三）</w:t>
      </w:r>
      <w:bookmarkEnd w:id="88"/>
      <w:bookmarkEnd w:id="89"/>
      <w:bookmarkEnd w:id="90"/>
      <w:bookmarkEnd w:id="91"/>
      <w:r>
        <w:rPr>
          <w:rFonts w:hint="eastAsia" w:ascii="方正楷体简体" w:hAnsi="方正楷体简体" w:eastAsia="方正楷体简体" w:cs="方正楷体简体"/>
          <w:color w:val="000000"/>
          <w:kern w:val="0"/>
          <w:sz w:val="32"/>
          <w:szCs w:val="32"/>
          <w:highlight w:val="none"/>
          <w:shd w:val="clear" w:color="auto" w:fill="FFFFFF"/>
          <w:lang w:val="zh-CN"/>
        </w:rPr>
        <w:t>完成结果</w:t>
      </w:r>
      <w:bookmarkEnd w:id="92"/>
      <w:bookmarkEnd w:id="93"/>
    </w:p>
    <w:p w14:paraId="7BC9BDC3">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bookmarkStart w:id="94" w:name="_Toc1661"/>
      <w:r>
        <w:rPr>
          <w:rFonts w:hint="eastAsia" w:ascii="方正仿宋简体" w:hAnsi="方正仿宋简体" w:eastAsia="方正仿宋简体" w:cs="方正仿宋简体"/>
          <w:sz w:val="32"/>
          <w:szCs w:val="32"/>
          <w:highlight w:val="none"/>
        </w:rPr>
        <w:t>指标“完成结果”下设四个三级指标分别为：预算完成率、目标完成率、</w:t>
      </w:r>
      <w:bookmarkStart w:id="95" w:name="_Hlk142494591"/>
      <w:r>
        <w:rPr>
          <w:rFonts w:hint="eastAsia" w:ascii="方正仿宋简体" w:hAnsi="方正仿宋简体" w:eastAsia="方正仿宋简体" w:cs="方正仿宋简体"/>
          <w:sz w:val="32"/>
          <w:szCs w:val="32"/>
          <w:highlight w:val="none"/>
        </w:rPr>
        <w:t>完成</w:t>
      </w:r>
      <w:bookmarkEnd w:id="95"/>
      <w:r>
        <w:rPr>
          <w:rFonts w:hint="eastAsia" w:ascii="方正仿宋简体" w:hAnsi="方正仿宋简体" w:eastAsia="方正仿宋简体" w:cs="方正仿宋简体"/>
          <w:sz w:val="32"/>
          <w:szCs w:val="32"/>
          <w:highlight w:val="none"/>
        </w:rPr>
        <w:t>及时率、违规记录。</w:t>
      </w:r>
      <w:bookmarkEnd w:id="94"/>
    </w:p>
    <w:p w14:paraId="0581E95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.预算完成率</w:t>
      </w:r>
    </w:p>
    <w:p w14:paraId="63E0651F">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本项目预算</w:t>
      </w:r>
      <w:r>
        <w:rPr>
          <w:rFonts w:hint="default" w:ascii="Times New Roman" w:hAnsi="Times New Roman" w:eastAsia="方正仿宋简体" w:cs="Times New Roman"/>
          <w:sz w:val="32"/>
          <w:szCs w:val="32"/>
          <w:highlight w:val="none"/>
        </w:rPr>
        <w:t>802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73</w:t>
      </w:r>
      <w:r>
        <w:rPr>
          <w:rFonts w:hint="eastAsia" w:ascii="方正仿宋简体" w:hAnsi="方正仿宋简体" w:eastAsia="方正仿宋简体" w:cs="方正仿宋简体"/>
          <w:sz w:val="32"/>
          <w:szCs w:val="32"/>
          <w:highlight w:val="none"/>
        </w:rPr>
        <w:t>万元，实际到位可使用资金</w:t>
      </w:r>
      <w:r>
        <w:rPr>
          <w:rFonts w:hint="default" w:ascii="Times New Roman" w:hAnsi="Times New Roman" w:eastAsia="方正仿宋简体" w:cs="Times New Roman"/>
          <w:sz w:val="32"/>
          <w:szCs w:val="32"/>
          <w:highlight w:val="none"/>
        </w:rPr>
        <w:t>802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73</w:t>
      </w:r>
      <w:r>
        <w:rPr>
          <w:rFonts w:hint="eastAsia" w:ascii="方正仿宋简体" w:hAnsi="方正仿宋简体" w:eastAsia="方正仿宋简体" w:cs="方正仿宋简体"/>
          <w:sz w:val="32"/>
          <w:szCs w:val="32"/>
          <w:highlight w:val="none"/>
        </w:rPr>
        <w:t>万元，资金到位率</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年度内完成支出</w:t>
      </w:r>
      <w:r>
        <w:rPr>
          <w:rFonts w:hint="default" w:ascii="Times New Roman" w:hAnsi="Times New Roman" w:eastAsia="方正仿宋简体" w:cs="Times New Roman"/>
          <w:sz w:val="32"/>
          <w:szCs w:val="32"/>
          <w:highlight w:val="none"/>
        </w:rPr>
        <w:t>793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02</w:t>
      </w:r>
      <w:r>
        <w:rPr>
          <w:rFonts w:hint="eastAsia" w:ascii="方正仿宋简体" w:hAnsi="方正仿宋简体" w:eastAsia="方正仿宋简体" w:cs="方正仿宋简体"/>
          <w:sz w:val="32"/>
          <w:szCs w:val="32"/>
          <w:highlight w:val="none"/>
        </w:rPr>
        <w:t>万元，</w:t>
      </w:r>
      <w:r>
        <w:rPr>
          <w:rFonts w:hint="eastAsia" w:ascii="方正仿宋简体" w:hAnsi="方正仿宋简体" w:eastAsia="方正仿宋简体" w:cs="方正仿宋简体"/>
          <w:sz w:val="32"/>
          <w:szCs w:val="32"/>
          <w:highlight w:val="none"/>
          <w:lang w:val="en-US" w:eastAsia="zh-CN"/>
        </w:rPr>
        <w:t>因项目已完成，且</w:t>
      </w:r>
      <w:r>
        <w:rPr>
          <w:rFonts w:hint="eastAsia" w:ascii="方正仿宋简体" w:hAnsi="方正仿宋简体" w:eastAsia="方正仿宋简体" w:cs="方正仿宋简体"/>
          <w:sz w:val="32"/>
          <w:szCs w:val="32"/>
          <w:highlight w:val="none"/>
        </w:rPr>
        <w:t>结余资金均已被财政收回，预算完成率按</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计算。</w:t>
      </w:r>
    </w:p>
    <w:p w14:paraId="329445E8">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D4AA17B">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.目标完成率</w:t>
      </w:r>
    </w:p>
    <w:p w14:paraId="3321E179">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该项目</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年计划保障</w:t>
      </w:r>
      <w:r>
        <w:rPr>
          <w:rFonts w:hint="default" w:ascii="Times New Roman" w:hAnsi="Times New Roman" w:eastAsia="方正仿宋简体" w:cs="Times New Roman"/>
          <w:sz w:val="32"/>
          <w:szCs w:val="32"/>
          <w:highlight w:val="none"/>
        </w:rPr>
        <w:t>94</w:t>
      </w:r>
      <w:r>
        <w:rPr>
          <w:rFonts w:hint="eastAsia" w:ascii="方正仿宋简体" w:hAnsi="方正仿宋简体" w:eastAsia="方正仿宋简体" w:cs="方正仿宋简体"/>
          <w:sz w:val="32"/>
          <w:szCs w:val="32"/>
          <w:highlight w:val="none"/>
        </w:rPr>
        <w:t>名队员和</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名驾驶员工资、社保、医保、人身意外保险、出勤补助、伙食费、车辆运行、办公、水电网费支出，通过查证</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年度工资表以及相关凭证，完成率</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年度项目目标已完成。</w:t>
      </w:r>
    </w:p>
    <w:p w14:paraId="35D3A71D">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3BEDA4E">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.完成及时率</w:t>
      </w:r>
    </w:p>
    <w:p w14:paraId="1BC9A2DA">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月全部完成兑现支付，期间无遗漏发放，无超时发放情况。</w:t>
      </w:r>
    </w:p>
    <w:p w14:paraId="217947BC">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4C1B629">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6762BF1">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根据现场情况了解，该项目由县级资金执行，</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年纳入一体化预算平台进行监管，现场无违规记录存在，未出现违背财经法规、国家相关法律法规的情况。</w:t>
      </w:r>
    </w:p>
    <w:p w14:paraId="0E80AFB8">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9E1E04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96" w:name="_Toc1057408103"/>
      <w:bookmarkStart w:id="97" w:name="_Toc1234034413"/>
      <w:bookmarkStart w:id="98" w:name="_Toc142913855"/>
      <w:bookmarkStart w:id="99" w:name="_Toc1759"/>
      <w:r>
        <w:rPr>
          <w:rFonts w:hint="eastAsia" w:ascii="方正楷体简体" w:hAnsi="方正楷体简体" w:eastAsia="方正楷体简体" w:cs="方正楷体简体"/>
          <w:color w:val="000000"/>
          <w:kern w:val="0"/>
          <w:sz w:val="32"/>
          <w:szCs w:val="32"/>
          <w:highlight w:val="none"/>
          <w:shd w:val="clear" w:color="auto" w:fill="FFFFFF"/>
          <w:lang w:val="zh-CN"/>
        </w:rPr>
        <w:t>（四）</w:t>
      </w:r>
      <w:bookmarkEnd w:id="96"/>
      <w:bookmarkEnd w:id="97"/>
      <w:r>
        <w:rPr>
          <w:rFonts w:hint="eastAsia" w:ascii="方正楷体简体" w:hAnsi="方正楷体简体" w:eastAsia="方正楷体简体" w:cs="方正楷体简体"/>
          <w:color w:val="000000"/>
          <w:kern w:val="0"/>
          <w:sz w:val="32"/>
          <w:szCs w:val="32"/>
          <w:highlight w:val="none"/>
          <w:shd w:val="clear" w:color="auto" w:fill="FFFFFF"/>
          <w:lang w:val="zh-CN"/>
        </w:rPr>
        <w:t>项目效果</w:t>
      </w:r>
      <w:bookmarkEnd w:id="98"/>
      <w:bookmarkEnd w:id="99"/>
    </w:p>
    <w:p w14:paraId="6966446E">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bookmarkStart w:id="100" w:name="_Toc16730"/>
      <w:r>
        <w:rPr>
          <w:rFonts w:hint="eastAsia" w:ascii="方正仿宋简体" w:hAnsi="方正仿宋简体" w:eastAsia="方正仿宋简体" w:cs="方正仿宋简体"/>
          <w:sz w:val="32"/>
          <w:szCs w:val="32"/>
          <w:highlight w:val="none"/>
        </w:rPr>
        <w:t>指标“项目效果”下设两个二级指标分别为：</w:t>
      </w:r>
      <w:bookmarkEnd w:id="100"/>
      <w:r>
        <w:rPr>
          <w:rFonts w:hint="eastAsia" w:ascii="方正仿宋简体" w:hAnsi="方正仿宋简体" w:eastAsia="方正仿宋简体" w:cs="方正仿宋简体"/>
          <w:sz w:val="32"/>
          <w:szCs w:val="32"/>
          <w:highlight w:val="none"/>
        </w:rPr>
        <w:t>区域均衡性、对象公平性。</w:t>
      </w:r>
    </w:p>
    <w:p w14:paraId="135C302B">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 区域均衡性</w:t>
      </w:r>
    </w:p>
    <w:p w14:paraId="52B08CEE">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泸定县林业和草原局根据相关政策文件具体实施本项目并发放补助，按实际分配结果选择客观因素测算验证资金分配方法制定、分配要素设定、基础数据应用、测算依据选取等科学合理。</w:t>
      </w:r>
    </w:p>
    <w:p w14:paraId="5A1B5FD9">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738FC6B">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 对象公平性</w:t>
      </w:r>
    </w:p>
    <w:p w14:paraId="103886FD">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泸定县林业和草原局实施本项目时，资金分配和实施结果体现了公平公正性，在支持范围、标准、程序上不存在明显的排他性和歧视性规定，做到大多数和少数的协调统一，统筹兼顾。</w:t>
      </w:r>
    </w:p>
    <w:p w14:paraId="639F63E3">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85"/>
    <w:p w14:paraId="4DE93D9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01" w:name="_Toc1710821527"/>
      <w:bookmarkStart w:id="102" w:name="_Toc142913856"/>
      <w:bookmarkStart w:id="103" w:name="_Toc2072298162"/>
      <w:bookmarkStart w:id="104" w:name="_Toc8642"/>
      <w:r>
        <w:rPr>
          <w:rFonts w:hint="eastAsia" w:ascii="方正楷体简体" w:hAnsi="方正楷体简体" w:eastAsia="方正楷体简体" w:cs="方正楷体简体"/>
          <w:color w:val="000000"/>
          <w:kern w:val="0"/>
          <w:sz w:val="32"/>
          <w:szCs w:val="32"/>
          <w:highlight w:val="none"/>
          <w:shd w:val="clear" w:color="auto" w:fill="FFFFFF"/>
          <w:lang w:val="zh-CN"/>
        </w:rPr>
        <w:t>（五）</w:t>
      </w:r>
      <w:bookmarkEnd w:id="101"/>
      <w:bookmarkEnd w:id="102"/>
      <w:bookmarkEnd w:id="103"/>
      <w:r>
        <w:rPr>
          <w:rFonts w:hint="eastAsia" w:ascii="方正楷体简体" w:hAnsi="方正楷体简体" w:eastAsia="方正楷体简体" w:cs="方正楷体简体"/>
          <w:color w:val="000000"/>
          <w:kern w:val="0"/>
          <w:sz w:val="32"/>
          <w:szCs w:val="32"/>
          <w:highlight w:val="none"/>
          <w:shd w:val="clear" w:color="auto" w:fill="FFFFFF"/>
          <w:lang w:val="zh-CN"/>
        </w:rPr>
        <w:t>基础管理</w:t>
      </w:r>
      <w:bookmarkEnd w:id="104"/>
    </w:p>
    <w:p w14:paraId="07EC1B7B">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指标“基础管理”下设一个二级指标：审核把关。</w:t>
      </w:r>
    </w:p>
    <w:p w14:paraId="07E6E074">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经查看项目受益人群的精准性和客观性，不存在因制度机制缺陷或管理疏漏导致审核把关不严的情况。</w:t>
      </w:r>
    </w:p>
    <w:p w14:paraId="3F3D8068">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3573ED7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05" w:name="_Toc1403589335"/>
      <w:bookmarkStart w:id="106" w:name="_Toc1036307307"/>
      <w:bookmarkStart w:id="107" w:name="_Toc142913857"/>
      <w:bookmarkStart w:id="108" w:name="_Toc16399"/>
      <w:bookmarkStart w:id="109" w:name="_Toc1256376225_WPSOffice_Level3"/>
      <w:r>
        <w:rPr>
          <w:rFonts w:hint="eastAsia" w:ascii="方正楷体简体" w:hAnsi="方正楷体简体" w:eastAsia="方正楷体简体" w:cs="方正楷体简体"/>
          <w:color w:val="000000"/>
          <w:kern w:val="0"/>
          <w:sz w:val="32"/>
          <w:szCs w:val="32"/>
          <w:highlight w:val="none"/>
          <w:shd w:val="clear" w:color="auto" w:fill="FFFFFF"/>
          <w:lang w:val="zh-CN"/>
        </w:rPr>
        <w:t>（六）</w:t>
      </w:r>
      <w:bookmarkEnd w:id="105"/>
      <w:bookmarkEnd w:id="106"/>
      <w:bookmarkStart w:id="110" w:name="_Hlk176555953"/>
      <w:r>
        <w:rPr>
          <w:rFonts w:hint="eastAsia" w:ascii="方正楷体简体" w:hAnsi="方正楷体简体" w:eastAsia="方正楷体简体" w:cs="方正楷体简体"/>
          <w:color w:val="000000"/>
          <w:kern w:val="0"/>
          <w:sz w:val="32"/>
          <w:szCs w:val="32"/>
          <w:highlight w:val="none"/>
          <w:shd w:val="clear" w:color="auto" w:fill="FFFFFF"/>
          <w:lang w:val="zh-CN"/>
        </w:rPr>
        <w:t>社会效益</w:t>
      </w:r>
      <w:bookmarkEnd w:id="107"/>
      <w:bookmarkEnd w:id="108"/>
      <w:bookmarkEnd w:id="110"/>
    </w:p>
    <w:p w14:paraId="3B691C2F">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指标“社会效益”下设两个二级指标：资金使用率和社会满意度。</w:t>
      </w:r>
    </w:p>
    <w:bookmarkEnd w:id="109"/>
    <w:p w14:paraId="4FB287E1">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.资金使用率</w:t>
      </w:r>
    </w:p>
    <w:p w14:paraId="4A6B14E2">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该项目下达资金</w:t>
      </w:r>
      <w:r>
        <w:rPr>
          <w:rFonts w:hint="default" w:ascii="Times New Roman" w:hAnsi="Times New Roman" w:eastAsia="方正仿宋简体" w:cs="Times New Roman"/>
          <w:sz w:val="32"/>
          <w:szCs w:val="32"/>
          <w:highlight w:val="none"/>
        </w:rPr>
        <w:t>802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73</w:t>
      </w:r>
      <w:r>
        <w:rPr>
          <w:rFonts w:hint="eastAsia" w:ascii="方正仿宋简体" w:hAnsi="方正仿宋简体" w:eastAsia="方正仿宋简体" w:cs="方正仿宋简体"/>
          <w:sz w:val="32"/>
          <w:szCs w:val="32"/>
          <w:highlight w:val="none"/>
        </w:rPr>
        <w:t>万元，实际使用</w:t>
      </w:r>
      <w:r>
        <w:rPr>
          <w:rFonts w:hint="default" w:ascii="Times New Roman" w:hAnsi="Times New Roman" w:eastAsia="方正仿宋简体" w:cs="Times New Roman"/>
          <w:sz w:val="32"/>
          <w:szCs w:val="32"/>
          <w:highlight w:val="none"/>
        </w:rPr>
        <w:t>793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03</w:t>
      </w:r>
      <w:r>
        <w:rPr>
          <w:rFonts w:hint="eastAsia" w:ascii="方正仿宋简体" w:hAnsi="方正仿宋简体" w:eastAsia="方正仿宋简体" w:cs="方正仿宋简体"/>
          <w:sz w:val="32"/>
          <w:szCs w:val="32"/>
          <w:highlight w:val="none"/>
        </w:rPr>
        <w:t>万元，资金使用率为</w:t>
      </w:r>
      <w:r>
        <w:rPr>
          <w:rFonts w:hint="default" w:ascii="Times New Roman" w:hAnsi="Times New Roman" w:eastAsia="方正仿宋简体" w:cs="Times New Roman"/>
          <w:sz w:val="32"/>
          <w:szCs w:val="32"/>
          <w:highlight w:val="none"/>
        </w:rPr>
        <w:t>98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79%</w:t>
      </w:r>
      <w:r>
        <w:rPr>
          <w:rFonts w:hint="eastAsia" w:ascii="方正仿宋简体" w:hAnsi="方正仿宋简体" w:eastAsia="方正仿宋简体" w:cs="方正仿宋简体"/>
          <w:sz w:val="32"/>
          <w:szCs w:val="32"/>
          <w:highlight w:val="none"/>
        </w:rPr>
        <w:t>，结余资金</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70</w:t>
      </w:r>
      <w:r>
        <w:rPr>
          <w:rFonts w:hint="eastAsia" w:ascii="方正仿宋简体" w:hAnsi="方正仿宋简体" w:eastAsia="方正仿宋简体" w:cs="方正仿宋简体"/>
          <w:sz w:val="32"/>
          <w:szCs w:val="32"/>
          <w:highlight w:val="none"/>
        </w:rPr>
        <w:t>万元财政已收回，不存在因制度机制、操作流程、管理疏漏、数据缺失等导致的资金结余，闲置浪费的情况。</w:t>
      </w:r>
    </w:p>
    <w:p w14:paraId="4CB312A1">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88</w:t>
      </w:r>
      <w:r>
        <w:rPr>
          <w:rFonts w:hint="eastAsia" w:ascii="方正仿宋简体" w:hAnsi="方正仿宋简体" w:eastAsia="方正仿宋简体" w:cs="方正仿宋简体"/>
          <w:sz w:val="32"/>
          <w:szCs w:val="32"/>
          <w:highlight w:val="none"/>
        </w:rPr>
        <w:t>分。</w:t>
      </w:r>
    </w:p>
    <w:p w14:paraId="413BCFD3">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.社会满意度</w:t>
      </w:r>
    </w:p>
    <w:p w14:paraId="1F6A5E66">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通过问卷调查，收回的满意度调查表</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份。调查结果显示该项目基本保障防火大队生活与车辆运行，综合满意度为</w:t>
      </w:r>
      <w:r>
        <w:rPr>
          <w:rFonts w:hint="default" w:ascii="Times New Roman" w:hAnsi="Times New Roman" w:eastAsia="方正仿宋简体" w:cs="Times New Roman"/>
          <w:sz w:val="32"/>
          <w:szCs w:val="32"/>
          <w:highlight w:val="none"/>
        </w:rPr>
        <w:t>69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77%</w:t>
      </w:r>
      <w:r>
        <w:rPr>
          <w:rFonts w:hint="eastAsia" w:ascii="方正仿宋简体" w:hAnsi="方正仿宋简体" w:eastAsia="方正仿宋简体" w:cs="方正仿宋简体"/>
          <w:sz w:val="32"/>
          <w:szCs w:val="32"/>
          <w:highlight w:val="none"/>
        </w:rPr>
        <w:t>。</w:t>
      </w:r>
    </w:p>
    <w:p w14:paraId="0D4CDA9B">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02</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98</w:t>
      </w:r>
      <w:r>
        <w:rPr>
          <w:rFonts w:hint="eastAsia" w:ascii="方正仿宋简体" w:hAnsi="方正仿宋简体" w:eastAsia="方正仿宋简体" w:cs="方正仿宋简体"/>
          <w:sz w:val="32"/>
          <w:szCs w:val="32"/>
          <w:highlight w:val="none"/>
        </w:rPr>
        <w:t>分。</w:t>
      </w:r>
    </w:p>
    <w:p w14:paraId="548B82CE">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111" w:name="_Toc7350"/>
      <w:r>
        <w:rPr>
          <w:rFonts w:hint="eastAsia" w:ascii="方正楷体简体" w:hAnsi="方正楷体简体" w:eastAsia="方正楷体简体" w:cs="方正楷体简体"/>
          <w:color w:val="000000"/>
          <w:kern w:val="0"/>
          <w:sz w:val="32"/>
          <w:szCs w:val="32"/>
          <w:highlight w:val="none"/>
          <w:shd w:val="clear" w:color="auto" w:fill="FFFFFF"/>
          <w:lang w:val="zh-CN"/>
        </w:rPr>
        <w:t>（七）可持续性效益</w:t>
      </w:r>
      <w:bookmarkEnd w:id="111"/>
    </w:p>
    <w:p w14:paraId="0725FAEC">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指标“可持续性效益”下设一个二级指标：生活保障率。</w:t>
      </w:r>
    </w:p>
    <w:p w14:paraId="5717DA4B">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评价组通过审视本项目实际情况并下发问卷进行调查，收回问卷</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份，回答结果表示能保障生活的人数占比为</w:t>
      </w:r>
      <w:r>
        <w:rPr>
          <w:rFonts w:hint="default" w:ascii="Times New Roman" w:hAnsi="Times New Roman" w:eastAsia="方正仿宋简体" w:cs="Times New Roman"/>
          <w:sz w:val="32"/>
          <w:szCs w:val="32"/>
          <w:highlight w:val="none"/>
        </w:rPr>
        <w:t>79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09%</w:t>
      </w:r>
      <w:r>
        <w:rPr>
          <w:rFonts w:hint="eastAsia" w:ascii="方正仿宋简体" w:hAnsi="方正仿宋简体" w:eastAsia="方正仿宋简体" w:cs="方正仿宋简体"/>
          <w:sz w:val="32"/>
          <w:szCs w:val="32"/>
          <w:highlight w:val="none"/>
        </w:rPr>
        <w:t>。</w:t>
      </w:r>
    </w:p>
    <w:p w14:paraId="491E4FAE">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09</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91</w:t>
      </w:r>
      <w:r>
        <w:rPr>
          <w:rFonts w:hint="eastAsia" w:ascii="方正仿宋简体" w:hAnsi="方正仿宋简体" w:eastAsia="方正仿宋简体" w:cs="方正仿宋简体"/>
          <w:sz w:val="32"/>
          <w:szCs w:val="32"/>
          <w:highlight w:val="none"/>
        </w:rPr>
        <w:t>分。</w:t>
      </w:r>
    </w:p>
    <w:p w14:paraId="2AE3974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2" w:name="_Toc4811"/>
      <w:r>
        <w:rPr>
          <w:rFonts w:hint="eastAsia" w:ascii="方正黑体简体" w:hAnsi="方正黑体简体" w:eastAsia="方正黑体简体" w:cs="方正黑体简体"/>
          <w:color w:val="000000"/>
          <w:kern w:val="0"/>
          <w:sz w:val="32"/>
          <w:szCs w:val="32"/>
          <w:highlight w:val="none"/>
          <w:shd w:val="clear" w:color="auto" w:fill="FFFFFF"/>
        </w:rPr>
        <w:t>六、存在的主要问题</w:t>
      </w:r>
      <w:bookmarkEnd w:id="70"/>
      <w:bookmarkEnd w:id="71"/>
      <w:bookmarkEnd w:id="72"/>
      <w:bookmarkEnd w:id="73"/>
      <w:bookmarkEnd w:id="112"/>
    </w:p>
    <w:p w14:paraId="378244A8">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b w:val="0"/>
          <w:bCs w:val="0"/>
          <w:sz w:val="32"/>
          <w:szCs w:val="32"/>
          <w:highlight w:val="none"/>
        </w:rPr>
      </w:pPr>
      <w:bookmarkStart w:id="113" w:name="_Toc1665834229"/>
      <w:bookmarkStart w:id="114" w:name="_Toc209175539"/>
      <w:bookmarkStart w:id="115" w:name="_Toc2061369965"/>
      <w:r>
        <w:rPr>
          <w:rFonts w:hint="eastAsia" w:ascii="方正仿宋简体" w:hAnsi="方正仿宋简体" w:eastAsia="方正仿宋简体" w:cs="方正仿宋简体"/>
          <w:b w:val="0"/>
          <w:bCs w:val="0"/>
          <w:sz w:val="32"/>
          <w:szCs w:val="32"/>
          <w:highlight w:val="none"/>
        </w:rPr>
        <w:t>绩效管理资料混乱</w:t>
      </w:r>
    </w:p>
    <w:p w14:paraId="5C79078B">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pPr>
      <w:r>
        <w:rPr>
          <w:rFonts w:hint="eastAsia" w:ascii="方正仿宋简体" w:hAnsi="方正仿宋简体" w:eastAsia="方正仿宋简体" w:cs="方正仿宋简体"/>
          <w:sz w:val="32"/>
          <w:szCs w:val="32"/>
          <w:highlight w:val="none"/>
        </w:rPr>
        <w:t>泸定县林业和草原局提供了</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年的绩效目标申报表</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份，绩效自评表</w:t>
      </w: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份，</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份文件绩效指标设置均存在不一致的情况，将导致难以开展绩效考核。如一体化系统中绩效申报表无可持续影响指标和经济效益指标，绩效自评表中又存在可持续影响指标</w:t>
      </w:r>
    </w:p>
    <w:p w14:paraId="26D7444B">
      <w:pPr>
        <w:pStyle w:val="2"/>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和经济效益指标，另一份绩效目标申报表中又只有经济效益指标、无可持续影响指标。</w:t>
      </w:r>
    </w:p>
    <w:p w14:paraId="35720F9B">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6" w:name="_Toc7211"/>
      <w:bookmarkStart w:id="117" w:name="_Toc13407"/>
      <w:r>
        <w:rPr>
          <w:rFonts w:hint="eastAsia" w:ascii="方正黑体简体" w:hAnsi="方正黑体简体" w:eastAsia="方正黑体简体" w:cs="方正黑体简体"/>
          <w:color w:val="000000"/>
          <w:kern w:val="0"/>
          <w:sz w:val="32"/>
          <w:szCs w:val="32"/>
          <w:highlight w:val="none"/>
          <w:shd w:val="clear" w:color="auto" w:fill="FFFFFF"/>
        </w:rPr>
        <w:t>七、相关措施建议</w:t>
      </w:r>
      <w:bookmarkEnd w:id="113"/>
      <w:bookmarkEnd w:id="114"/>
      <w:bookmarkEnd w:id="115"/>
      <w:bookmarkEnd w:id="116"/>
      <w:bookmarkEnd w:id="117"/>
    </w:p>
    <w:p w14:paraId="4969D4B8">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bookmarkStart w:id="118" w:name="_Toc2099841636"/>
      <w:bookmarkStart w:id="119" w:name="_Toc1343332924"/>
      <w:bookmarkStart w:id="120" w:name="_Toc24934"/>
      <w:bookmarkStart w:id="121" w:name="_Toc885755508"/>
      <w:r>
        <w:rPr>
          <w:rFonts w:hint="eastAsia" w:ascii="方正仿宋简体" w:hAnsi="方正仿宋简体" w:eastAsia="方正仿宋简体" w:cs="方正仿宋简体"/>
          <w:b w:val="0"/>
          <w:bCs w:val="0"/>
          <w:kern w:val="0"/>
          <w:sz w:val="32"/>
          <w:szCs w:val="32"/>
          <w:highlight w:val="none"/>
          <w:lang w:val="en-US" w:eastAsia="zh-CN" w:bidi="ar-SA"/>
        </w:rPr>
        <w:t>针对“绩效管理资料混乱”的建议</w:t>
      </w:r>
    </w:p>
    <w:p w14:paraId="4E66C8E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泸定县林业和草原局应制定一套统一的绩效指标定义和标准，确保所有文件在评估时使用相同的指标体系</w:t>
      </w:r>
      <w:bookmarkEnd w:id="118"/>
      <w:bookmarkEnd w:id="119"/>
      <w:bookmarkEnd w:id="120"/>
      <w:bookmarkEnd w:id="121"/>
      <w:bookmarkStart w:id="122" w:name="_Toc23585"/>
      <w:r>
        <w:rPr>
          <w:rFonts w:hint="eastAsia" w:ascii="方正仿宋简体" w:hAnsi="方正仿宋简体" w:eastAsia="方正仿宋简体" w:cs="方正仿宋简体"/>
          <w:sz w:val="32"/>
          <w:szCs w:val="32"/>
          <w:highlight w:val="none"/>
        </w:rPr>
        <w:t>，在提交绩效相关的文件前，设立严格的审核流程，由专门的人员进行核查，以减少错误和不一致。</w:t>
      </w:r>
    </w:p>
    <w:p w14:paraId="583688E1">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p>
    <w:p w14:paraId="02D4CF5C">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附件</w:t>
      </w:r>
      <w:bookmarkEnd w:id="122"/>
      <w:bookmarkStart w:id="123" w:name="_Toc8336"/>
      <w:bookmarkStart w:id="124" w:name="_Toc5975"/>
      <w:r>
        <w:rPr>
          <w:rFonts w:hint="eastAsia" w:ascii="方正仿宋简体" w:hAnsi="方正仿宋简体" w:eastAsia="方正仿宋简体" w:cs="方正仿宋简体"/>
          <w:sz w:val="32"/>
          <w:szCs w:val="32"/>
          <w:highlight w:val="none"/>
        </w:rPr>
        <w:t>：</w:t>
      </w:r>
      <w:bookmarkEnd w:id="123"/>
      <w:bookmarkEnd w:id="124"/>
      <w:r>
        <w:rPr>
          <w:rFonts w:hint="eastAsia" w:ascii="方正仿宋简体" w:hAnsi="方正仿宋简体" w:eastAsia="方正仿宋简体" w:cs="方正仿宋简体"/>
          <w:sz w:val="32"/>
          <w:szCs w:val="32"/>
          <w:highlight w:val="none"/>
        </w:rPr>
        <w:t>森林应急灭火大队工作经费绩效评价指标体系（评分表）</w:t>
      </w:r>
    </w:p>
    <w:p w14:paraId="68BA5A6F">
      <w:pPr>
        <w:pStyle w:val="2"/>
        <w:rPr>
          <w:rFonts w:hint="eastAsia" w:ascii="方正仿宋简体" w:hAnsi="方正仿宋简体" w:eastAsia="方正仿宋简体" w:cs="方正仿宋简体"/>
          <w:sz w:val="32"/>
          <w:szCs w:val="32"/>
          <w:highlight w:val="none"/>
        </w:rPr>
      </w:pPr>
    </w:p>
    <w:p w14:paraId="0B5456E9">
      <w:pPr>
        <w:rPr>
          <w:rFonts w:hint="eastAsia" w:ascii="方正仿宋简体" w:hAnsi="方正仿宋简体" w:eastAsia="方正仿宋简体" w:cs="方正仿宋简体"/>
          <w:sz w:val="32"/>
          <w:szCs w:val="32"/>
          <w:highlight w:val="none"/>
        </w:rPr>
      </w:pPr>
    </w:p>
    <w:p w14:paraId="5AFBEFC9">
      <w:pPr>
        <w:pStyle w:val="2"/>
        <w:rPr>
          <w:rFonts w:hint="eastAsia"/>
          <w:highlight w:val="none"/>
        </w:rPr>
      </w:pPr>
    </w:p>
    <w:p w14:paraId="36AD17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25" w:name="_GoBack"/>
      <w:bookmarkEnd w:id="125"/>
    </w:p>
    <w:p w14:paraId="6138B1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45D55DED">
      <w:pPr>
        <w:keepNext w:val="0"/>
        <w:keepLines w:val="0"/>
        <w:pageBreakBefore w:val="0"/>
        <w:kinsoku/>
        <w:wordWrap/>
        <w:overflowPunct/>
        <w:topLinePunct w:val="0"/>
        <w:autoSpaceDE/>
        <w:autoSpaceDN/>
        <w:bidi w:val="0"/>
        <w:spacing w:line="600" w:lineRule="exact"/>
        <w:ind w:left="0" w:leftChars="0"/>
        <w:rPr>
          <w:rFonts w:hint="eastAsia" w:ascii="方正仿宋简体" w:hAnsi="方正仿宋简体" w:eastAsia="方正仿宋简体" w:cs="方正仿宋简体"/>
          <w:color w:val="000000"/>
          <w:sz w:val="32"/>
          <w:szCs w:val="32"/>
          <w:highlight w:val="none"/>
        </w:rPr>
      </w:pPr>
    </w:p>
    <w:sectPr>
      <w:footerReference r:id="rId6" w:type="default"/>
      <w:pgSz w:w="11906" w:h="16838"/>
      <w:pgMar w:top="2098" w:right="1531" w:bottom="1871" w:left="1531" w:header="850" w:footer="992" w:gutter="0"/>
      <w:pgNumType w:fmt="decimal" w:start="13"/>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9F992255-AF8D-4867-AE55-B81A1D875309}"/>
  </w:font>
  <w:font w:name="方正黑体简体">
    <w:panose1 w:val="03000509000000000000"/>
    <w:charset w:val="86"/>
    <w:family w:val="auto"/>
    <w:pitch w:val="default"/>
    <w:sig w:usb0="00000001" w:usb1="080E0000" w:usb2="00000000" w:usb3="00000000" w:csb0="00040000" w:csb1="00000000"/>
    <w:embedRegular r:id="rId2" w:fontKey="{0BE82535-C841-4FBF-81E7-6E133710780D}"/>
  </w:font>
  <w:font w:name="方正小标宋简体">
    <w:panose1 w:val="03000509000000000000"/>
    <w:charset w:val="86"/>
    <w:family w:val="auto"/>
    <w:pitch w:val="default"/>
    <w:sig w:usb0="00000001" w:usb1="080E0000" w:usb2="00000000" w:usb3="00000000" w:csb0="00040000" w:csb1="00000000"/>
    <w:embedRegular r:id="rId3" w:fontKey="{E9F7324C-0935-442A-9816-CB9C04AAE0AF}"/>
  </w:font>
  <w:font w:name="方正楷体简体">
    <w:panose1 w:val="02000000000000000000"/>
    <w:charset w:val="86"/>
    <w:family w:val="auto"/>
    <w:pitch w:val="default"/>
    <w:sig w:usb0="00000001" w:usb1="080E0000" w:usb2="00000000" w:usb3="00000000" w:csb0="00040000" w:csb1="00000000"/>
    <w:embedRegular r:id="rId4" w:fontKey="{F19FCC7F-1250-4BF0-9A6C-7EB1A54E9B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1611A">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51D6DCBD">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D99F">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40AC9">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FE40AC9">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A84D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ACA84D6"/>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FBD64">
    <w:pPr>
      <w:pStyle w:val="8"/>
      <w:jc w:val="cente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2B34D3">
                          <w:pPr>
                            <w:pStyle w:val="8"/>
                          </w:pPr>
                          <w:r>
                            <w:rPr>
                              <w:rFonts w:hint="default" w:ascii="Times New Roman" w:hAnsi="Times New Roman" w:cs="Times New Roman"/>
                              <w:sz w:val="32"/>
                              <w:szCs w:val="32"/>
                            </w:rPr>
                            <w:t>—</w:t>
                          </w:r>
                          <w: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B2B34D3">
                    <w:pPr>
                      <w:pStyle w:val="8"/>
                    </w:pPr>
                    <w:r>
                      <w:rPr>
                        <w:rFonts w:hint="default" w:ascii="Times New Roman" w:hAnsi="Times New Roman" w:cs="Times New Roman"/>
                        <w:sz w:val="32"/>
                        <w:szCs w:val="32"/>
                      </w:rPr>
                      <w:t>—</w:t>
                    </w:r>
                    <w: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0A6A1BB1">
    <w:pPr>
      <w:pStyle w:val="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A0EC4">
    <w:pPr>
      <w:pStyle w:val="9"/>
      <w:pBdr>
        <w:bottom w:val="none" w:color="auto" w:sz="0" w:space="1"/>
      </w:pBdr>
      <w:tabs>
        <w:tab w:val="left" w:pos="868"/>
        <w:tab w:val="clear" w:pos="4153"/>
      </w:tabs>
      <w:ind w:firstLine="0"/>
      <w:jc w:val="both"/>
      <w:rPr>
        <w:rFonts w:hint="eastAsia" w:eastAsia="宋体"/>
        <w:sz w:val="21"/>
        <w:szCs w:val="21"/>
        <w:lang w:eastAsia="zh-CN"/>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98787663" name="文本框 5987876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37C25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GB+kcg2AgAAZQQAAA4AAAAAAAAAAQAgAAAAHwEAAGRycy9lMm9Eb2MueG1s&#10;UEsFBgAAAAAGAAYAWQEAAMcFAAAAAA==&#10;">
              <v:fill on="f" focussize="0,0"/>
              <v:stroke on="f" weight="0.5pt"/>
              <v:imagedata o:title=""/>
              <o:lock v:ext="edit" aspectratio="f"/>
              <v:textbox inset="0mm,0mm,0mm,0mm" style="mso-fit-shape-to-text:t;">
                <w:txbxContent>
                  <w:p w14:paraId="0E37C25B"/>
                </w:txbxContent>
              </v:textbox>
            </v:shape>
          </w:pict>
        </mc:Fallback>
      </mc:AlternateContent>
    </w:r>
    <w:r>
      <w:rPr>
        <w:rFonts w:hint="eastAsia" w:eastAsia="宋体"/>
      </w:rPr>
      <w:t xml:space="preserve">  </w:t>
    </w:r>
    <w:r>
      <w:rPr>
        <w:rFonts w:hint="eastAsia" w:eastAsia="宋体"/>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325970"/>
    <w:multiLevelType w:val="multilevel"/>
    <w:tmpl w:val="AC325970"/>
    <w:lvl w:ilvl="0" w:tentative="0">
      <w:start w:val="1"/>
      <w:numFmt w:val="decimal"/>
      <w:suff w:val="nothing"/>
      <w:lvlText w:val="%1."/>
      <w:lvlJc w:val="left"/>
      <w:pPr>
        <w:ind w:left="0" w:leftChars="0" w:firstLine="567" w:firstLineChars="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40"/>
  <w:drawingGridVerticalSpacing w:val="381"/>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13131"/>
    <w:rsid w:val="0001396A"/>
    <w:rsid w:val="00022C4D"/>
    <w:rsid w:val="00027CF7"/>
    <w:rsid w:val="000343B9"/>
    <w:rsid w:val="00040F42"/>
    <w:rsid w:val="00065343"/>
    <w:rsid w:val="00065AD5"/>
    <w:rsid w:val="00087FA5"/>
    <w:rsid w:val="00095EF1"/>
    <w:rsid w:val="000A1D8C"/>
    <w:rsid w:val="000A1E17"/>
    <w:rsid w:val="000B02F2"/>
    <w:rsid w:val="000B3476"/>
    <w:rsid w:val="000C1FDB"/>
    <w:rsid w:val="000C33E5"/>
    <w:rsid w:val="000C39A9"/>
    <w:rsid w:val="000C640E"/>
    <w:rsid w:val="000D3132"/>
    <w:rsid w:val="000D4071"/>
    <w:rsid w:val="000D4AF5"/>
    <w:rsid w:val="000E0BB6"/>
    <w:rsid w:val="001148D3"/>
    <w:rsid w:val="00120F9A"/>
    <w:rsid w:val="00127F9D"/>
    <w:rsid w:val="0013065B"/>
    <w:rsid w:val="001344B2"/>
    <w:rsid w:val="00134855"/>
    <w:rsid w:val="001353A8"/>
    <w:rsid w:val="00145CA9"/>
    <w:rsid w:val="00145DD7"/>
    <w:rsid w:val="0014777D"/>
    <w:rsid w:val="0016045D"/>
    <w:rsid w:val="00162341"/>
    <w:rsid w:val="001708DE"/>
    <w:rsid w:val="00170905"/>
    <w:rsid w:val="001724D3"/>
    <w:rsid w:val="00172A27"/>
    <w:rsid w:val="00176C04"/>
    <w:rsid w:val="001775C7"/>
    <w:rsid w:val="00180637"/>
    <w:rsid w:val="00185CA6"/>
    <w:rsid w:val="001A7A5A"/>
    <w:rsid w:val="001B4FA4"/>
    <w:rsid w:val="001C1AA1"/>
    <w:rsid w:val="001D1FC2"/>
    <w:rsid w:val="001E19C9"/>
    <w:rsid w:val="001E4348"/>
    <w:rsid w:val="001E5796"/>
    <w:rsid w:val="001F11FF"/>
    <w:rsid w:val="001F5C32"/>
    <w:rsid w:val="001F63D6"/>
    <w:rsid w:val="00222568"/>
    <w:rsid w:val="00231CFD"/>
    <w:rsid w:val="00243F87"/>
    <w:rsid w:val="00247BA8"/>
    <w:rsid w:val="002539F8"/>
    <w:rsid w:val="002543A3"/>
    <w:rsid w:val="002570D0"/>
    <w:rsid w:val="00260600"/>
    <w:rsid w:val="00266BA5"/>
    <w:rsid w:val="002734D5"/>
    <w:rsid w:val="00275588"/>
    <w:rsid w:val="00287756"/>
    <w:rsid w:val="00293F77"/>
    <w:rsid w:val="002A212C"/>
    <w:rsid w:val="002D6E49"/>
    <w:rsid w:val="002F2409"/>
    <w:rsid w:val="002F7B42"/>
    <w:rsid w:val="00302BCD"/>
    <w:rsid w:val="003133F3"/>
    <w:rsid w:val="00317DCF"/>
    <w:rsid w:val="00320D39"/>
    <w:rsid w:val="0032304E"/>
    <w:rsid w:val="00332C7B"/>
    <w:rsid w:val="00336234"/>
    <w:rsid w:val="003401A3"/>
    <w:rsid w:val="0034032B"/>
    <w:rsid w:val="00344B6A"/>
    <w:rsid w:val="00350333"/>
    <w:rsid w:val="003560D3"/>
    <w:rsid w:val="00380FC9"/>
    <w:rsid w:val="00384CF2"/>
    <w:rsid w:val="00385028"/>
    <w:rsid w:val="003942E4"/>
    <w:rsid w:val="003951E0"/>
    <w:rsid w:val="003B4758"/>
    <w:rsid w:val="003B50E7"/>
    <w:rsid w:val="003B74AB"/>
    <w:rsid w:val="003C0388"/>
    <w:rsid w:val="003D464B"/>
    <w:rsid w:val="003D5286"/>
    <w:rsid w:val="003E2D83"/>
    <w:rsid w:val="003E30D4"/>
    <w:rsid w:val="003F0E80"/>
    <w:rsid w:val="003F24EA"/>
    <w:rsid w:val="003F4549"/>
    <w:rsid w:val="003F55D0"/>
    <w:rsid w:val="00415B00"/>
    <w:rsid w:val="004255E8"/>
    <w:rsid w:val="00427415"/>
    <w:rsid w:val="004279E2"/>
    <w:rsid w:val="0044122C"/>
    <w:rsid w:val="00443DB6"/>
    <w:rsid w:val="0044580E"/>
    <w:rsid w:val="004549BF"/>
    <w:rsid w:val="00456726"/>
    <w:rsid w:val="004646A3"/>
    <w:rsid w:val="00465D4B"/>
    <w:rsid w:val="00482A0B"/>
    <w:rsid w:val="00485878"/>
    <w:rsid w:val="00490688"/>
    <w:rsid w:val="004920F8"/>
    <w:rsid w:val="00495308"/>
    <w:rsid w:val="004A4773"/>
    <w:rsid w:val="004B1E39"/>
    <w:rsid w:val="004B284C"/>
    <w:rsid w:val="004B4E71"/>
    <w:rsid w:val="004C75AF"/>
    <w:rsid w:val="004D42D3"/>
    <w:rsid w:val="004E08E6"/>
    <w:rsid w:val="004F3BA9"/>
    <w:rsid w:val="0053054F"/>
    <w:rsid w:val="00532DED"/>
    <w:rsid w:val="005512A0"/>
    <w:rsid w:val="00551BFB"/>
    <w:rsid w:val="005570A7"/>
    <w:rsid w:val="00564CE7"/>
    <w:rsid w:val="00570817"/>
    <w:rsid w:val="00585F86"/>
    <w:rsid w:val="005A23F0"/>
    <w:rsid w:val="005A47DD"/>
    <w:rsid w:val="005A7BF4"/>
    <w:rsid w:val="005C6A21"/>
    <w:rsid w:val="005C7878"/>
    <w:rsid w:val="005E33C9"/>
    <w:rsid w:val="005E6F67"/>
    <w:rsid w:val="005E7CEF"/>
    <w:rsid w:val="005F18EA"/>
    <w:rsid w:val="005F30FB"/>
    <w:rsid w:val="00601A94"/>
    <w:rsid w:val="00604A9B"/>
    <w:rsid w:val="00625E84"/>
    <w:rsid w:val="00646411"/>
    <w:rsid w:val="00656D62"/>
    <w:rsid w:val="00656DB3"/>
    <w:rsid w:val="0066553B"/>
    <w:rsid w:val="0069157A"/>
    <w:rsid w:val="00692C43"/>
    <w:rsid w:val="006965A8"/>
    <w:rsid w:val="006C308B"/>
    <w:rsid w:val="006C5F54"/>
    <w:rsid w:val="006F13C3"/>
    <w:rsid w:val="006F2143"/>
    <w:rsid w:val="006F31BB"/>
    <w:rsid w:val="00701769"/>
    <w:rsid w:val="0070573C"/>
    <w:rsid w:val="007118F7"/>
    <w:rsid w:val="007141F1"/>
    <w:rsid w:val="00715D85"/>
    <w:rsid w:val="007178A9"/>
    <w:rsid w:val="007221E5"/>
    <w:rsid w:val="00724CC2"/>
    <w:rsid w:val="007304E9"/>
    <w:rsid w:val="0074590D"/>
    <w:rsid w:val="00747EF1"/>
    <w:rsid w:val="007510A0"/>
    <w:rsid w:val="00764566"/>
    <w:rsid w:val="007712C2"/>
    <w:rsid w:val="00772B64"/>
    <w:rsid w:val="007765A5"/>
    <w:rsid w:val="0078177C"/>
    <w:rsid w:val="007A23C2"/>
    <w:rsid w:val="007A714B"/>
    <w:rsid w:val="007B0D55"/>
    <w:rsid w:val="007B5F3A"/>
    <w:rsid w:val="007B6521"/>
    <w:rsid w:val="007C12F8"/>
    <w:rsid w:val="007D13A4"/>
    <w:rsid w:val="007E2E45"/>
    <w:rsid w:val="007E5CD9"/>
    <w:rsid w:val="00804DDE"/>
    <w:rsid w:val="0081090D"/>
    <w:rsid w:val="008142C0"/>
    <w:rsid w:val="00814850"/>
    <w:rsid w:val="00816D76"/>
    <w:rsid w:val="00844453"/>
    <w:rsid w:val="00844FFA"/>
    <w:rsid w:val="0085646D"/>
    <w:rsid w:val="008608C4"/>
    <w:rsid w:val="008700E1"/>
    <w:rsid w:val="00870DA1"/>
    <w:rsid w:val="00874752"/>
    <w:rsid w:val="00891D33"/>
    <w:rsid w:val="008B2190"/>
    <w:rsid w:val="008B3C2A"/>
    <w:rsid w:val="008C7942"/>
    <w:rsid w:val="008D1222"/>
    <w:rsid w:val="008F709E"/>
    <w:rsid w:val="0091079A"/>
    <w:rsid w:val="00913AAB"/>
    <w:rsid w:val="00915BF4"/>
    <w:rsid w:val="00916CC3"/>
    <w:rsid w:val="00927412"/>
    <w:rsid w:val="00934B72"/>
    <w:rsid w:val="00936B62"/>
    <w:rsid w:val="009469D8"/>
    <w:rsid w:val="00947CAA"/>
    <w:rsid w:val="00950AD3"/>
    <w:rsid w:val="009519DD"/>
    <w:rsid w:val="00970916"/>
    <w:rsid w:val="00977F0D"/>
    <w:rsid w:val="009806E1"/>
    <w:rsid w:val="00982A1F"/>
    <w:rsid w:val="00984364"/>
    <w:rsid w:val="00990626"/>
    <w:rsid w:val="009A14D8"/>
    <w:rsid w:val="009A4E40"/>
    <w:rsid w:val="009B3C14"/>
    <w:rsid w:val="009C6064"/>
    <w:rsid w:val="009E5470"/>
    <w:rsid w:val="009F4589"/>
    <w:rsid w:val="00A04271"/>
    <w:rsid w:val="00A150C1"/>
    <w:rsid w:val="00A21DA0"/>
    <w:rsid w:val="00A234C6"/>
    <w:rsid w:val="00A3511F"/>
    <w:rsid w:val="00A40427"/>
    <w:rsid w:val="00A415DF"/>
    <w:rsid w:val="00A42485"/>
    <w:rsid w:val="00A6426B"/>
    <w:rsid w:val="00A649CB"/>
    <w:rsid w:val="00A7593B"/>
    <w:rsid w:val="00A80327"/>
    <w:rsid w:val="00A83D99"/>
    <w:rsid w:val="00A8572E"/>
    <w:rsid w:val="00A97621"/>
    <w:rsid w:val="00AA4146"/>
    <w:rsid w:val="00AB5C77"/>
    <w:rsid w:val="00AC4CCA"/>
    <w:rsid w:val="00AD1C0E"/>
    <w:rsid w:val="00AD64C4"/>
    <w:rsid w:val="00AE0EA5"/>
    <w:rsid w:val="00AE243D"/>
    <w:rsid w:val="00B0025A"/>
    <w:rsid w:val="00B01FE3"/>
    <w:rsid w:val="00B07D55"/>
    <w:rsid w:val="00B10F18"/>
    <w:rsid w:val="00B238E5"/>
    <w:rsid w:val="00B357F0"/>
    <w:rsid w:val="00B428CC"/>
    <w:rsid w:val="00B4657F"/>
    <w:rsid w:val="00B54DD1"/>
    <w:rsid w:val="00B60694"/>
    <w:rsid w:val="00B61B81"/>
    <w:rsid w:val="00B86407"/>
    <w:rsid w:val="00B91EA7"/>
    <w:rsid w:val="00B9416F"/>
    <w:rsid w:val="00BA2106"/>
    <w:rsid w:val="00BA4573"/>
    <w:rsid w:val="00BB0157"/>
    <w:rsid w:val="00BB6364"/>
    <w:rsid w:val="00BC1E79"/>
    <w:rsid w:val="00BC3771"/>
    <w:rsid w:val="00BC49DC"/>
    <w:rsid w:val="00BC4DEE"/>
    <w:rsid w:val="00BD73FD"/>
    <w:rsid w:val="00BF1745"/>
    <w:rsid w:val="00BF729A"/>
    <w:rsid w:val="00C0068C"/>
    <w:rsid w:val="00C010DC"/>
    <w:rsid w:val="00C10A63"/>
    <w:rsid w:val="00C15E2B"/>
    <w:rsid w:val="00C2036B"/>
    <w:rsid w:val="00C26C5E"/>
    <w:rsid w:val="00C27DBC"/>
    <w:rsid w:val="00C30AEA"/>
    <w:rsid w:val="00C367CE"/>
    <w:rsid w:val="00C4082F"/>
    <w:rsid w:val="00C42AC9"/>
    <w:rsid w:val="00C46DF1"/>
    <w:rsid w:val="00C473DE"/>
    <w:rsid w:val="00C57E48"/>
    <w:rsid w:val="00C60C5F"/>
    <w:rsid w:val="00C834BB"/>
    <w:rsid w:val="00C90FAA"/>
    <w:rsid w:val="00C95EE1"/>
    <w:rsid w:val="00C97B24"/>
    <w:rsid w:val="00CB3663"/>
    <w:rsid w:val="00CC48A9"/>
    <w:rsid w:val="00CD1115"/>
    <w:rsid w:val="00CE47F8"/>
    <w:rsid w:val="00CF1087"/>
    <w:rsid w:val="00CF395F"/>
    <w:rsid w:val="00D0292A"/>
    <w:rsid w:val="00D03F28"/>
    <w:rsid w:val="00D040D8"/>
    <w:rsid w:val="00D10437"/>
    <w:rsid w:val="00D17FF2"/>
    <w:rsid w:val="00D21234"/>
    <w:rsid w:val="00D32F3D"/>
    <w:rsid w:val="00D40684"/>
    <w:rsid w:val="00D674C9"/>
    <w:rsid w:val="00D73605"/>
    <w:rsid w:val="00DA0182"/>
    <w:rsid w:val="00DA2CFE"/>
    <w:rsid w:val="00DB0266"/>
    <w:rsid w:val="00DB4299"/>
    <w:rsid w:val="00DC02EE"/>
    <w:rsid w:val="00DD6F63"/>
    <w:rsid w:val="00DD7DFB"/>
    <w:rsid w:val="00DE26C8"/>
    <w:rsid w:val="00DF4201"/>
    <w:rsid w:val="00E12623"/>
    <w:rsid w:val="00E21D9A"/>
    <w:rsid w:val="00E23A50"/>
    <w:rsid w:val="00E26327"/>
    <w:rsid w:val="00E302B2"/>
    <w:rsid w:val="00E31F42"/>
    <w:rsid w:val="00E47630"/>
    <w:rsid w:val="00E54124"/>
    <w:rsid w:val="00E57013"/>
    <w:rsid w:val="00E81810"/>
    <w:rsid w:val="00E84349"/>
    <w:rsid w:val="00E87083"/>
    <w:rsid w:val="00EA5C64"/>
    <w:rsid w:val="00EB16FE"/>
    <w:rsid w:val="00EB7419"/>
    <w:rsid w:val="00EB7CC9"/>
    <w:rsid w:val="00EC36B4"/>
    <w:rsid w:val="00EC4E9D"/>
    <w:rsid w:val="00EE02EB"/>
    <w:rsid w:val="00EE1A30"/>
    <w:rsid w:val="00EE3529"/>
    <w:rsid w:val="00EE48FB"/>
    <w:rsid w:val="00EE6953"/>
    <w:rsid w:val="00EE7FC6"/>
    <w:rsid w:val="00EF19CA"/>
    <w:rsid w:val="00F16737"/>
    <w:rsid w:val="00F23DAE"/>
    <w:rsid w:val="00F274AA"/>
    <w:rsid w:val="00F30D9C"/>
    <w:rsid w:val="00F32602"/>
    <w:rsid w:val="00F3509C"/>
    <w:rsid w:val="00F447DD"/>
    <w:rsid w:val="00F46E00"/>
    <w:rsid w:val="00F50B3A"/>
    <w:rsid w:val="00F534D0"/>
    <w:rsid w:val="00F553F5"/>
    <w:rsid w:val="00F755C2"/>
    <w:rsid w:val="00F80E20"/>
    <w:rsid w:val="00F849B9"/>
    <w:rsid w:val="00FB3728"/>
    <w:rsid w:val="00FC3561"/>
    <w:rsid w:val="00FE2A97"/>
    <w:rsid w:val="00FE38B2"/>
    <w:rsid w:val="00FF3147"/>
    <w:rsid w:val="01056705"/>
    <w:rsid w:val="01AE1362"/>
    <w:rsid w:val="028212C5"/>
    <w:rsid w:val="0295277A"/>
    <w:rsid w:val="030550DE"/>
    <w:rsid w:val="0307791A"/>
    <w:rsid w:val="03810B86"/>
    <w:rsid w:val="0385027D"/>
    <w:rsid w:val="03895C68"/>
    <w:rsid w:val="039D1411"/>
    <w:rsid w:val="03C46413"/>
    <w:rsid w:val="041F4DBF"/>
    <w:rsid w:val="04B51984"/>
    <w:rsid w:val="05370DC3"/>
    <w:rsid w:val="05704583"/>
    <w:rsid w:val="06F515E9"/>
    <w:rsid w:val="074574B7"/>
    <w:rsid w:val="076743EF"/>
    <w:rsid w:val="07B50534"/>
    <w:rsid w:val="0815093A"/>
    <w:rsid w:val="08CA0DBA"/>
    <w:rsid w:val="08DA47AD"/>
    <w:rsid w:val="0AA10A64"/>
    <w:rsid w:val="0AF44EAD"/>
    <w:rsid w:val="0B386398"/>
    <w:rsid w:val="0CC90B55"/>
    <w:rsid w:val="0D7C008D"/>
    <w:rsid w:val="0DA06897"/>
    <w:rsid w:val="0DF462ED"/>
    <w:rsid w:val="0E19564B"/>
    <w:rsid w:val="0E22759B"/>
    <w:rsid w:val="0E5E23AA"/>
    <w:rsid w:val="0E7F3C56"/>
    <w:rsid w:val="0EF610D2"/>
    <w:rsid w:val="0FCEE19E"/>
    <w:rsid w:val="0FEDD33C"/>
    <w:rsid w:val="10C177C0"/>
    <w:rsid w:val="10FB12CE"/>
    <w:rsid w:val="11A54F88"/>
    <w:rsid w:val="12F71BB3"/>
    <w:rsid w:val="134E407D"/>
    <w:rsid w:val="144B4CE8"/>
    <w:rsid w:val="14F52C04"/>
    <w:rsid w:val="155B04E5"/>
    <w:rsid w:val="15762967"/>
    <w:rsid w:val="15FF6AB8"/>
    <w:rsid w:val="16983AAC"/>
    <w:rsid w:val="16B348F3"/>
    <w:rsid w:val="16BA737C"/>
    <w:rsid w:val="17404D18"/>
    <w:rsid w:val="179E79D9"/>
    <w:rsid w:val="186A5A33"/>
    <w:rsid w:val="18A93AFC"/>
    <w:rsid w:val="18C55A5F"/>
    <w:rsid w:val="18DD5A8A"/>
    <w:rsid w:val="19430B61"/>
    <w:rsid w:val="196B6F54"/>
    <w:rsid w:val="19CD71FA"/>
    <w:rsid w:val="1A94413A"/>
    <w:rsid w:val="1AC82436"/>
    <w:rsid w:val="1BAA0BEC"/>
    <w:rsid w:val="1BDF6BC8"/>
    <w:rsid w:val="1C535707"/>
    <w:rsid w:val="1D4F18C5"/>
    <w:rsid w:val="1D5C6857"/>
    <w:rsid w:val="1D9444AE"/>
    <w:rsid w:val="1D9A1CE4"/>
    <w:rsid w:val="1EBF8E91"/>
    <w:rsid w:val="1ED35C04"/>
    <w:rsid w:val="1F406C39"/>
    <w:rsid w:val="1F5275D0"/>
    <w:rsid w:val="1FC11915"/>
    <w:rsid w:val="1FE92B41"/>
    <w:rsid w:val="20CB7E98"/>
    <w:rsid w:val="222D5CA1"/>
    <w:rsid w:val="235D6114"/>
    <w:rsid w:val="23F46FD7"/>
    <w:rsid w:val="24101808"/>
    <w:rsid w:val="24283899"/>
    <w:rsid w:val="248C4080"/>
    <w:rsid w:val="257C14F2"/>
    <w:rsid w:val="26015D7F"/>
    <w:rsid w:val="262D6E6F"/>
    <w:rsid w:val="26331263"/>
    <w:rsid w:val="265058AE"/>
    <w:rsid w:val="273B0505"/>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324D1A"/>
    <w:rsid w:val="2D525A3B"/>
    <w:rsid w:val="2D6319D3"/>
    <w:rsid w:val="2DF126AA"/>
    <w:rsid w:val="2DF91330"/>
    <w:rsid w:val="2EAB4317"/>
    <w:rsid w:val="2EBDC04F"/>
    <w:rsid w:val="2F3274A5"/>
    <w:rsid w:val="2F552ED6"/>
    <w:rsid w:val="2F70357F"/>
    <w:rsid w:val="2FF755DD"/>
    <w:rsid w:val="3052247A"/>
    <w:rsid w:val="3090670D"/>
    <w:rsid w:val="30D4086C"/>
    <w:rsid w:val="312B48AF"/>
    <w:rsid w:val="32A47AB4"/>
    <w:rsid w:val="32AC5D7B"/>
    <w:rsid w:val="32CB27BC"/>
    <w:rsid w:val="32FC75D4"/>
    <w:rsid w:val="33D34794"/>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425911"/>
    <w:rsid w:val="3A5F4A38"/>
    <w:rsid w:val="3AE5274E"/>
    <w:rsid w:val="3B3522AA"/>
    <w:rsid w:val="3B3D6F96"/>
    <w:rsid w:val="3B626037"/>
    <w:rsid w:val="3B6A3F8A"/>
    <w:rsid w:val="3BA9E31C"/>
    <w:rsid w:val="3CB14257"/>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FE2B7A"/>
    <w:rsid w:val="452477C4"/>
    <w:rsid w:val="455812EC"/>
    <w:rsid w:val="455851CB"/>
    <w:rsid w:val="45761D23"/>
    <w:rsid w:val="459B16D3"/>
    <w:rsid w:val="462654C2"/>
    <w:rsid w:val="462A15BD"/>
    <w:rsid w:val="477AA038"/>
    <w:rsid w:val="481D51B8"/>
    <w:rsid w:val="48B40588"/>
    <w:rsid w:val="48D56225"/>
    <w:rsid w:val="49605DAC"/>
    <w:rsid w:val="49FFC2D1"/>
    <w:rsid w:val="4A3F0AC3"/>
    <w:rsid w:val="4AEA0545"/>
    <w:rsid w:val="4AFA2C7B"/>
    <w:rsid w:val="4B404837"/>
    <w:rsid w:val="4B6B11A9"/>
    <w:rsid w:val="4B863FDA"/>
    <w:rsid w:val="4BC23D1C"/>
    <w:rsid w:val="4BDE4024"/>
    <w:rsid w:val="4C907F6D"/>
    <w:rsid w:val="4CAE35BE"/>
    <w:rsid w:val="4D6E449B"/>
    <w:rsid w:val="4E7F4CED"/>
    <w:rsid w:val="4F7241B1"/>
    <w:rsid w:val="4FFFCD54"/>
    <w:rsid w:val="507D0BBC"/>
    <w:rsid w:val="507E6B2A"/>
    <w:rsid w:val="51146E3E"/>
    <w:rsid w:val="51290B58"/>
    <w:rsid w:val="51381763"/>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CA26BF"/>
    <w:rsid w:val="58DD00EA"/>
    <w:rsid w:val="58FB0D91"/>
    <w:rsid w:val="5901172B"/>
    <w:rsid w:val="59065CB4"/>
    <w:rsid w:val="596C2DB0"/>
    <w:rsid w:val="59821BED"/>
    <w:rsid w:val="5AB4383C"/>
    <w:rsid w:val="5ABB2895"/>
    <w:rsid w:val="5B3C271A"/>
    <w:rsid w:val="5B9952E7"/>
    <w:rsid w:val="5C5537BA"/>
    <w:rsid w:val="5C694A22"/>
    <w:rsid w:val="5D07484F"/>
    <w:rsid w:val="5D3C5456"/>
    <w:rsid w:val="5D5BF516"/>
    <w:rsid w:val="5FE31B11"/>
    <w:rsid w:val="5FF4FC2B"/>
    <w:rsid w:val="5FFBCD3B"/>
    <w:rsid w:val="5FFD34BB"/>
    <w:rsid w:val="5FFE5558"/>
    <w:rsid w:val="6020741B"/>
    <w:rsid w:val="608914CC"/>
    <w:rsid w:val="60C364F2"/>
    <w:rsid w:val="615C16D6"/>
    <w:rsid w:val="61876B95"/>
    <w:rsid w:val="618A3DC3"/>
    <w:rsid w:val="627C5614"/>
    <w:rsid w:val="62B74F26"/>
    <w:rsid w:val="62BA758E"/>
    <w:rsid w:val="62BB6119"/>
    <w:rsid w:val="62DB2B6C"/>
    <w:rsid w:val="634E45C9"/>
    <w:rsid w:val="63A71F74"/>
    <w:rsid w:val="63AF6478"/>
    <w:rsid w:val="63DDBBBB"/>
    <w:rsid w:val="65863A9A"/>
    <w:rsid w:val="65A32AFE"/>
    <w:rsid w:val="65C7404D"/>
    <w:rsid w:val="65F17436"/>
    <w:rsid w:val="66B18282"/>
    <w:rsid w:val="66EE54A9"/>
    <w:rsid w:val="67551304"/>
    <w:rsid w:val="675C7C9C"/>
    <w:rsid w:val="67AB4C59"/>
    <w:rsid w:val="67BDF9D3"/>
    <w:rsid w:val="67C647C0"/>
    <w:rsid w:val="684306E9"/>
    <w:rsid w:val="68566201"/>
    <w:rsid w:val="68723580"/>
    <w:rsid w:val="68994500"/>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F2CBB9"/>
    <w:rsid w:val="6FF658FB"/>
    <w:rsid w:val="70066BB1"/>
    <w:rsid w:val="711A3103"/>
    <w:rsid w:val="711F09A7"/>
    <w:rsid w:val="71D4087A"/>
    <w:rsid w:val="71DDC9F2"/>
    <w:rsid w:val="71E34413"/>
    <w:rsid w:val="71FFC0C1"/>
    <w:rsid w:val="722B42F1"/>
    <w:rsid w:val="727D4F24"/>
    <w:rsid w:val="72A70FAA"/>
    <w:rsid w:val="73113F43"/>
    <w:rsid w:val="734944D8"/>
    <w:rsid w:val="73B7ADB8"/>
    <w:rsid w:val="740A1865"/>
    <w:rsid w:val="747FFD7A"/>
    <w:rsid w:val="74B54142"/>
    <w:rsid w:val="74E42203"/>
    <w:rsid w:val="75101AA2"/>
    <w:rsid w:val="758650B4"/>
    <w:rsid w:val="75A97E24"/>
    <w:rsid w:val="75DD4904"/>
    <w:rsid w:val="75F270BA"/>
    <w:rsid w:val="75FA3F3B"/>
    <w:rsid w:val="76778448"/>
    <w:rsid w:val="77245415"/>
    <w:rsid w:val="7771949D"/>
    <w:rsid w:val="77BF2551"/>
    <w:rsid w:val="77BFD273"/>
    <w:rsid w:val="77EDB0D9"/>
    <w:rsid w:val="782E0A91"/>
    <w:rsid w:val="788D4C3C"/>
    <w:rsid w:val="78EDD24C"/>
    <w:rsid w:val="7922343B"/>
    <w:rsid w:val="7926388B"/>
    <w:rsid w:val="79521C10"/>
    <w:rsid w:val="795E17F1"/>
    <w:rsid w:val="79D42C0A"/>
    <w:rsid w:val="7A727261"/>
    <w:rsid w:val="7A83401C"/>
    <w:rsid w:val="7B204EC5"/>
    <w:rsid w:val="7B7EBDF0"/>
    <w:rsid w:val="7B8E17E2"/>
    <w:rsid w:val="7B93031C"/>
    <w:rsid w:val="7B9FD11C"/>
    <w:rsid w:val="7BBFBDE8"/>
    <w:rsid w:val="7BCC39B7"/>
    <w:rsid w:val="7BEB4051"/>
    <w:rsid w:val="7CDE1835"/>
    <w:rsid w:val="7CFC4664"/>
    <w:rsid w:val="7D4E5235"/>
    <w:rsid w:val="7D7B5896"/>
    <w:rsid w:val="7D7BD595"/>
    <w:rsid w:val="7E6B12CB"/>
    <w:rsid w:val="7E7273D9"/>
    <w:rsid w:val="7E77D99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qFormat/>
    <w:uiPriority w:val="9"/>
    <w:rPr>
      <w:rFonts w:asciiTheme="majorHAnsi" w:hAnsiTheme="majorHAnsi" w:eastAsiaTheme="majorEastAsia" w:cstheme="majorBidi"/>
      <w:b/>
      <w:bCs/>
      <w:kern w:val="2"/>
      <w:sz w:val="32"/>
      <w:szCs w:val="32"/>
    </w:rPr>
  </w:style>
  <w:style w:type="paragraph" w:customStyle="1" w:styleId="33">
    <w:name w:val="修订3"/>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2088</Words>
  <Characters>2247</Characters>
  <Lines>48</Lines>
  <Paragraphs>13</Paragraphs>
  <TotalTime>0</TotalTime>
  <ScaleCrop>false</ScaleCrop>
  <LinksUpToDate>false</LinksUpToDate>
  <CharactersWithSpaces>2255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2024-11-07T02:19:00Z</cp:lastPrinted>
  <dcterms:modified xsi:type="dcterms:W3CDTF">2025-01-08T02:29:04Z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