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0358D3">
      <w:pPr>
        <w:keepNext w:val="0"/>
        <w:keepLines w:val="0"/>
        <w:pageBreakBefore w:val="0"/>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方正仿宋简体" w:cs="Times New Roman"/>
          <w:sz w:val="32"/>
          <w:szCs w:val="32"/>
          <w:highlight w:val="none"/>
        </w:rPr>
      </w:pPr>
      <w:bookmarkStart w:id="0" w:name="_Toc32467"/>
      <w:bookmarkStart w:id="1" w:name="_Toc29524"/>
      <w:bookmarkStart w:id="2" w:name="_Toc22314"/>
      <w:bookmarkStart w:id="3" w:name="_Toc14462_WPSOffice_Level1"/>
    </w:p>
    <w:p w14:paraId="527361BB">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方正仿宋简体" w:cs="Times New Roman"/>
          <w:color w:val="333333"/>
          <w:kern w:val="0"/>
          <w:sz w:val="32"/>
          <w:szCs w:val="32"/>
          <w:highlight w:val="none"/>
        </w:rPr>
      </w:pPr>
    </w:p>
    <w:p w14:paraId="2F791CEC">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方正仿宋简体" w:cs="Times New Roman"/>
          <w:color w:val="333333"/>
          <w:kern w:val="0"/>
          <w:sz w:val="32"/>
          <w:szCs w:val="32"/>
          <w:highlight w:val="none"/>
        </w:rPr>
      </w:pPr>
    </w:p>
    <w:p w14:paraId="54576958">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方正仿宋简体" w:cs="Times New Roman"/>
          <w:color w:val="333333"/>
          <w:kern w:val="0"/>
          <w:sz w:val="32"/>
          <w:szCs w:val="32"/>
          <w:highlight w:val="none"/>
        </w:rPr>
      </w:pPr>
    </w:p>
    <w:p w14:paraId="3871261E">
      <w:pPr>
        <w:keepNext w:val="0"/>
        <w:keepLines w:val="0"/>
        <w:pageBreakBefore w:val="0"/>
        <w:widowControl/>
        <w:kinsoku/>
        <w:wordWrap/>
        <w:overflowPunct/>
        <w:topLinePunct w:val="0"/>
        <w:autoSpaceDE/>
        <w:autoSpaceDN/>
        <w:bidi w:val="0"/>
        <w:adjustRightInd/>
        <w:snapToGrid/>
        <w:spacing w:line="600" w:lineRule="exact"/>
        <w:ind w:left="0" w:leftChars="0"/>
        <w:jc w:val="center"/>
        <w:textAlignment w:val="auto"/>
        <w:rPr>
          <w:rFonts w:hint="eastAsia" w:ascii="方正黑体简体" w:hAnsi="方正黑体简体" w:eastAsia="方正黑体简体" w:cs="方正黑体简体"/>
          <w:color w:val="333333"/>
          <w:kern w:val="0"/>
          <w:sz w:val="44"/>
          <w:szCs w:val="44"/>
          <w:highlight w:val="none"/>
        </w:rPr>
      </w:pPr>
      <w:r>
        <w:rPr>
          <w:rFonts w:hint="eastAsia" w:ascii="方正黑体简体" w:hAnsi="方正黑体简体" w:eastAsia="方正黑体简体" w:cs="方正黑体简体"/>
          <w:color w:val="333333"/>
          <w:kern w:val="0"/>
          <w:sz w:val="44"/>
          <w:szCs w:val="44"/>
          <w:highlight w:val="none"/>
        </w:rPr>
        <w:t>绩效评价报告</w:t>
      </w:r>
    </w:p>
    <w:p w14:paraId="67D01BDF">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default" w:ascii="Times New Roman" w:hAnsi="Times New Roman" w:eastAsia="方正仿宋简体" w:cs="Times New Roman"/>
          <w:color w:val="333333"/>
          <w:kern w:val="0"/>
          <w:sz w:val="32"/>
          <w:szCs w:val="32"/>
          <w:highlight w:val="none"/>
        </w:rPr>
      </w:pPr>
    </w:p>
    <w:p w14:paraId="35CA2516">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default" w:ascii="Times New Roman" w:hAnsi="Times New Roman" w:eastAsia="方正仿宋简体" w:cs="Times New Roman"/>
          <w:color w:val="333333"/>
          <w:kern w:val="0"/>
          <w:sz w:val="32"/>
          <w:szCs w:val="32"/>
          <w:highlight w:val="none"/>
        </w:rPr>
      </w:pPr>
    </w:p>
    <w:p w14:paraId="26FD862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default" w:ascii="Times New Roman" w:hAnsi="Times New Roman" w:eastAsia="方正仿宋简体" w:cs="Times New Roman"/>
          <w:color w:val="333333"/>
          <w:kern w:val="0"/>
          <w:sz w:val="32"/>
          <w:szCs w:val="32"/>
          <w:highlight w:val="none"/>
        </w:rPr>
      </w:pPr>
    </w:p>
    <w:p w14:paraId="670F37E3">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default" w:ascii="Times New Roman" w:hAnsi="Times New Roman" w:eastAsia="方正仿宋简体" w:cs="Times New Roman"/>
          <w:color w:val="333333"/>
          <w:kern w:val="0"/>
          <w:sz w:val="32"/>
          <w:szCs w:val="32"/>
          <w:highlight w:val="none"/>
        </w:rPr>
      </w:pPr>
    </w:p>
    <w:p w14:paraId="3695D7FF">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lang w:val="en-US" w:eastAsia="zh-CN"/>
        </w:rPr>
        <w:t>评价单位</w:t>
      </w:r>
      <w:r>
        <w:rPr>
          <w:rFonts w:hint="eastAsia" w:ascii="方正仿宋简体" w:hAnsi="方正仿宋简体" w:eastAsia="方正仿宋简体" w:cs="方正仿宋简体"/>
          <w:color w:val="333333"/>
          <w:kern w:val="0"/>
          <w:sz w:val="32"/>
          <w:szCs w:val="32"/>
          <w:highlight w:val="none"/>
        </w:rPr>
        <w:t>名称：泸定县财政局</w:t>
      </w:r>
    </w:p>
    <w:p w14:paraId="250CB88C">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default" w:ascii="Times New Roman" w:hAnsi="Times New Roman" w:eastAsia="方正仿宋简体" w:cs="Times New Roman"/>
          <w:color w:val="333333"/>
          <w:kern w:val="0"/>
          <w:sz w:val="32"/>
          <w:szCs w:val="32"/>
          <w:highlight w:val="none"/>
          <w:lang w:eastAsia="zh-CN"/>
        </w:rPr>
      </w:pPr>
      <w:r>
        <w:rPr>
          <w:rFonts w:hint="default" w:ascii="Times New Roman" w:hAnsi="Times New Roman" w:eastAsia="方正仿宋简体" w:cs="Times New Roman"/>
          <w:color w:val="333333"/>
          <w:kern w:val="0"/>
          <w:sz w:val="32"/>
          <w:szCs w:val="32"/>
          <w:highlight w:val="none"/>
        </w:rPr>
        <w:t>被评价单位名称：</w:t>
      </w:r>
      <w:r>
        <w:rPr>
          <w:rFonts w:hint="default" w:ascii="Times New Roman" w:hAnsi="Times New Roman" w:eastAsia="方正仿宋简体" w:cs="Times New Roman"/>
          <w:color w:val="333333"/>
          <w:kern w:val="0"/>
          <w:sz w:val="32"/>
          <w:szCs w:val="32"/>
          <w:highlight w:val="none"/>
          <w:lang w:eastAsia="zh-CN"/>
        </w:rPr>
        <w:t>泸定县泸桥镇人民政府</w:t>
      </w:r>
    </w:p>
    <w:p w14:paraId="74108A4E">
      <w:pPr>
        <w:keepNext w:val="0"/>
        <w:keepLines w:val="0"/>
        <w:pageBreakBefore w:val="0"/>
        <w:widowControl/>
        <w:kinsoku/>
        <w:wordWrap/>
        <w:overflowPunct/>
        <w:topLinePunct w:val="0"/>
        <w:autoSpaceDE/>
        <w:autoSpaceDN/>
        <w:bidi w:val="0"/>
        <w:adjustRightInd/>
        <w:snapToGrid/>
        <w:spacing w:line="600" w:lineRule="exact"/>
        <w:ind w:left="1600" w:leftChars="0" w:hanging="1600" w:hangingChars="500"/>
        <w:jc w:val="left"/>
        <w:textAlignment w:val="auto"/>
        <w:rPr>
          <w:rFonts w:hint="default" w:ascii="Times New Roman" w:hAnsi="Times New Roman" w:eastAsia="方正仿宋简体" w:cs="Times New Roman"/>
          <w:color w:val="333333"/>
          <w:kern w:val="0"/>
          <w:sz w:val="32"/>
          <w:szCs w:val="32"/>
          <w:highlight w:val="none"/>
        </w:rPr>
      </w:pPr>
      <w:r>
        <w:rPr>
          <w:rFonts w:hint="default" w:ascii="Times New Roman" w:hAnsi="Times New Roman" w:eastAsia="方正仿宋简体" w:cs="Times New Roman"/>
          <w:color w:val="333333"/>
          <w:kern w:val="0"/>
          <w:sz w:val="32"/>
          <w:szCs w:val="32"/>
          <w:highlight w:val="none"/>
        </w:rPr>
        <w:t>评价项目：</w:t>
      </w:r>
      <w:r>
        <w:rPr>
          <w:rFonts w:hint="default" w:ascii="Times New Roman" w:hAnsi="Times New Roman" w:eastAsia="方正仿宋简体" w:cs="Times New Roman"/>
          <w:color w:val="333333"/>
          <w:kern w:val="0"/>
          <w:sz w:val="32"/>
          <w:szCs w:val="32"/>
          <w:highlight w:val="none"/>
          <w:lang w:val="en-US" w:eastAsia="zh-CN"/>
        </w:rPr>
        <w:t>新城临时过渡安置租房补助</w:t>
      </w:r>
    </w:p>
    <w:p w14:paraId="732485E5">
      <w:pPr>
        <w:keepNext w:val="0"/>
        <w:keepLines w:val="0"/>
        <w:pageBreakBefore w:val="0"/>
        <w:kinsoku/>
        <w:wordWrap/>
        <w:overflowPunct/>
        <w:topLinePunct w:val="0"/>
        <w:autoSpaceDE/>
        <w:autoSpaceDN/>
        <w:bidi w:val="0"/>
        <w:adjustRightInd/>
        <w:snapToGrid/>
        <w:spacing w:line="600" w:lineRule="exact"/>
        <w:ind w:left="0" w:leftChars="0" w:firstLine="320" w:firstLineChars="100"/>
        <w:textAlignment w:val="auto"/>
        <w:rPr>
          <w:rFonts w:hint="default" w:ascii="Times New Roman" w:hAnsi="Times New Roman" w:eastAsia="方正仿宋简体" w:cs="Times New Roman"/>
          <w:sz w:val="32"/>
          <w:szCs w:val="32"/>
          <w:highlight w:val="none"/>
        </w:rPr>
      </w:pPr>
    </w:p>
    <w:p w14:paraId="5B31955B">
      <w:pPr>
        <w:pStyle w:val="2"/>
        <w:keepNext w:val="0"/>
        <w:keepLines w:val="0"/>
        <w:pageBreakBefore w:val="0"/>
        <w:kinsoku/>
        <w:wordWrap/>
        <w:overflowPunct/>
        <w:topLinePunct w:val="0"/>
        <w:autoSpaceDE/>
        <w:autoSpaceDN/>
        <w:bidi w:val="0"/>
        <w:adjustRightInd/>
        <w:snapToGrid/>
        <w:spacing w:after="0" w:line="600" w:lineRule="exact"/>
        <w:ind w:left="0" w:leftChars="0" w:firstLine="320" w:firstLineChars="100"/>
        <w:textAlignment w:val="auto"/>
        <w:rPr>
          <w:rFonts w:hint="default" w:ascii="Times New Roman" w:hAnsi="Times New Roman" w:eastAsia="方正仿宋简体" w:cs="Times New Roman"/>
          <w:sz w:val="32"/>
          <w:szCs w:val="32"/>
          <w:highlight w:val="none"/>
        </w:rPr>
      </w:pPr>
    </w:p>
    <w:p w14:paraId="054A7428">
      <w:pPr>
        <w:keepNext w:val="0"/>
        <w:keepLines w:val="0"/>
        <w:pageBreakBefore w:val="0"/>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方正仿宋简体" w:cs="Times New Roman"/>
          <w:sz w:val="32"/>
          <w:szCs w:val="32"/>
          <w:highlight w:val="none"/>
        </w:rPr>
      </w:pPr>
    </w:p>
    <w:p w14:paraId="1456D629">
      <w:pPr>
        <w:keepNext w:val="0"/>
        <w:keepLines w:val="0"/>
        <w:pageBreakBefore w:val="0"/>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方正仿宋简体" w:cs="Times New Roman"/>
          <w:sz w:val="32"/>
          <w:szCs w:val="32"/>
          <w:highlight w:val="none"/>
        </w:rPr>
      </w:pPr>
      <w:r>
        <w:rPr>
          <w:rFonts w:hint="default" w:ascii="Times New Roman" w:hAnsi="Times New Roman" w:eastAsia="方正仿宋简体" w:cs="Times New Roman"/>
          <w:sz w:val="32"/>
          <w:szCs w:val="32"/>
          <w:highlight w:val="none"/>
        </w:rPr>
        <w:br w:type="page"/>
      </w:r>
    </w:p>
    <w:p w14:paraId="490D8438">
      <w:pPr>
        <w:keepNext w:val="0"/>
        <w:keepLines w:val="0"/>
        <w:pageBreakBefore w:val="0"/>
        <w:kinsoku/>
        <w:wordWrap/>
        <w:overflowPunct/>
        <w:topLinePunct w:val="0"/>
        <w:autoSpaceDE/>
        <w:autoSpaceDN/>
        <w:bidi w:val="0"/>
        <w:spacing w:line="600" w:lineRule="exact"/>
        <w:jc w:val="center"/>
        <w:rPr>
          <w:rFonts w:hint="eastAsia" w:ascii="方正小标宋简体" w:hAnsi="方正小标宋简体" w:eastAsia="方正小标宋简体" w:cs="方正小标宋简体"/>
          <w:sz w:val="44"/>
          <w:szCs w:val="44"/>
          <w:highlight w:val="none"/>
          <w:lang w:eastAsia="zh-CN"/>
        </w:rPr>
      </w:pPr>
      <w:r>
        <w:rPr>
          <w:rFonts w:hint="eastAsia" w:ascii="方正小标宋简体" w:hAnsi="方正小标宋简体" w:eastAsia="方正小标宋简体" w:cs="方正小标宋简体"/>
          <w:sz w:val="44"/>
          <w:szCs w:val="44"/>
          <w:highlight w:val="none"/>
          <w:lang w:eastAsia="zh-CN"/>
        </w:rPr>
        <w:t>泸定县泸桥镇人民政府</w:t>
      </w:r>
    </w:p>
    <w:bookmarkEnd w:id="0"/>
    <w:p w14:paraId="708A349E">
      <w:pPr>
        <w:keepNext w:val="0"/>
        <w:keepLines w:val="0"/>
        <w:pageBreakBefore w:val="0"/>
        <w:kinsoku/>
        <w:wordWrap/>
        <w:overflowPunct/>
        <w:topLinePunct w:val="0"/>
        <w:autoSpaceDE/>
        <w:autoSpaceDN/>
        <w:bidi w:val="0"/>
        <w:spacing w:line="600" w:lineRule="exact"/>
        <w:jc w:val="center"/>
        <w:rPr>
          <w:rFonts w:hint="eastAsia" w:ascii="方正小标宋简体" w:hAnsi="方正小标宋简体" w:eastAsia="方正小标宋简体" w:cs="方正小标宋简体"/>
          <w:sz w:val="44"/>
          <w:szCs w:val="44"/>
          <w:highlight w:val="none"/>
        </w:rPr>
      </w:pPr>
      <w:bookmarkStart w:id="4" w:name="_Toc27398"/>
      <w:r>
        <w:rPr>
          <w:rFonts w:hint="eastAsia" w:ascii="方正小标宋简体" w:hAnsi="方正小标宋简体" w:eastAsia="方正小标宋简体" w:cs="方正小标宋简体"/>
          <w:sz w:val="44"/>
          <w:szCs w:val="44"/>
          <w:highlight w:val="none"/>
        </w:rPr>
        <w:t>新城临时过渡安置租房补助绩效评价报告</w:t>
      </w:r>
      <w:bookmarkEnd w:id="1"/>
      <w:bookmarkEnd w:id="2"/>
      <w:bookmarkEnd w:id="4"/>
    </w:p>
    <w:p w14:paraId="195C3AA9">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jc w:val="center"/>
        <w:rPr>
          <w:rFonts w:hint="eastAsia" w:ascii="方正仿宋简体" w:hAnsi="方正仿宋简体" w:eastAsia="方正仿宋简体" w:cs="方正仿宋简体"/>
          <w:sz w:val="32"/>
          <w:szCs w:val="32"/>
          <w:highlight w:val="none"/>
        </w:rPr>
      </w:pPr>
    </w:p>
    <w:p w14:paraId="794C3DE7">
      <w:pPr>
        <w:keepNext w:val="0"/>
        <w:keepLines w:val="0"/>
        <w:pageBreakBefore w:val="0"/>
        <w:kinsoku/>
        <w:wordWrap/>
        <w:overflowPunct/>
        <w:topLinePunct w:val="0"/>
        <w:autoSpaceDE/>
        <w:autoSpaceDN/>
        <w:bidi w:val="0"/>
        <w:adjustRightInd w:val="0"/>
        <w:snapToGrid w:val="0"/>
        <w:spacing w:line="600" w:lineRule="exact"/>
        <w:ind w:firstLine="640" w:firstLineChars="200"/>
        <w:rPr>
          <w:rFonts w:hint="eastAsia" w:ascii="方正仿宋简体" w:hAnsi="方正仿宋简体" w:eastAsia="方正仿宋简体" w:cs="方正仿宋简体"/>
          <w:sz w:val="32"/>
          <w:szCs w:val="32"/>
          <w:highlight w:val="none"/>
          <w:lang w:val="fr-FR"/>
        </w:rPr>
      </w:pPr>
      <w:bookmarkStart w:id="5" w:name="_Toc26210"/>
      <w:bookmarkStart w:id="6" w:name="_Toc8938"/>
      <w:bookmarkStart w:id="7" w:name="_Toc6252"/>
    </w:p>
    <w:p w14:paraId="62912685">
      <w:pPr>
        <w:keepNext w:val="0"/>
        <w:keepLines w:val="0"/>
        <w:pageBreakBefore w:val="0"/>
        <w:kinsoku/>
        <w:wordWrap/>
        <w:overflowPunct/>
        <w:topLinePunct w:val="0"/>
        <w:autoSpaceDE/>
        <w:autoSpaceDN/>
        <w:bidi w:val="0"/>
        <w:adjustRightInd w:val="0"/>
        <w:snapToGrid w:val="0"/>
        <w:spacing w:line="600" w:lineRule="exact"/>
        <w:ind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val="en-US" w:eastAsia="zh-CN"/>
        </w:rPr>
        <w:t>依据</w:t>
      </w:r>
      <w:r>
        <w:rPr>
          <w:rFonts w:hint="default" w:ascii="Times New Roman" w:hAnsi="Times New Roman" w:eastAsia="方正仿宋简体" w:cs="Times New Roman"/>
          <w:sz w:val="32"/>
          <w:szCs w:val="32"/>
          <w:highlight w:val="none"/>
        </w:rPr>
        <w:t>《泸定县财政局关于开展2024年政府性基金预算绩效评价工作</w:t>
      </w:r>
      <w:r>
        <w:rPr>
          <w:rFonts w:hint="eastAsia" w:ascii="方正仿宋简体" w:hAnsi="方正仿宋简体" w:eastAsia="方正仿宋简体" w:cs="方正仿宋简体"/>
          <w:sz w:val="32"/>
          <w:szCs w:val="32"/>
          <w:highlight w:val="none"/>
        </w:rPr>
        <w:t>的通知》（泸财〔</w:t>
      </w:r>
      <w:r>
        <w:rPr>
          <w:rFonts w:hint="default" w:ascii="Times New Roman" w:hAnsi="Times New Roman" w:eastAsia="方正仿宋简体" w:cs="Times New Roman"/>
          <w:sz w:val="32"/>
          <w:szCs w:val="32"/>
          <w:highlight w:val="none"/>
        </w:rPr>
        <w:t>2024〕39</w:t>
      </w:r>
      <w:r>
        <w:rPr>
          <w:rFonts w:hint="eastAsia" w:ascii="方正仿宋简体" w:hAnsi="方正仿宋简体" w:eastAsia="方正仿宋简体" w:cs="方正仿宋简体"/>
          <w:sz w:val="32"/>
          <w:szCs w:val="32"/>
          <w:highlight w:val="none"/>
        </w:rPr>
        <w:t>号）</w:t>
      </w:r>
      <w:r>
        <w:rPr>
          <w:rFonts w:hint="eastAsia" w:ascii="方正仿宋简体" w:hAnsi="方正仿宋简体" w:eastAsia="方正仿宋简体" w:cs="方正仿宋简体"/>
          <w:sz w:val="32"/>
          <w:szCs w:val="32"/>
          <w:highlight w:val="none"/>
          <w:lang w:val="fr-FR"/>
        </w:rPr>
        <w:t>文件要求，</w:t>
      </w:r>
      <w:r>
        <w:rPr>
          <w:rFonts w:hint="eastAsia" w:ascii="方正仿宋简体" w:hAnsi="方正仿宋简体" w:eastAsia="方正仿宋简体" w:cs="方正仿宋简体"/>
          <w:sz w:val="32"/>
          <w:szCs w:val="32"/>
          <w:highlight w:val="none"/>
          <w:lang w:val="en-US" w:eastAsia="zh-CN"/>
        </w:rPr>
        <w:t>我单位</w:t>
      </w:r>
      <w:r>
        <w:rPr>
          <w:rFonts w:hint="eastAsia" w:ascii="方正仿宋简体" w:hAnsi="方正仿宋简体" w:eastAsia="方正仿宋简体" w:cs="方正仿宋简体"/>
          <w:sz w:val="32"/>
          <w:szCs w:val="32"/>
          <w:highlight w:val="none"/>
          <w:lang w:val="fr-FR"/>
        </w:rPr>
        <w:t>对</w:t>
      </w:r>
      <w:r>
        <w:rPr>
          <w:rFonts w:hint="eastAsia" w:ascii="方正仿宋简体" w:hAnsi="方正仿宋简体" w:eastAsia="方正仿宋简体" w:cs="方正仿宋简体"/>
          <w:sz w:val="32"/>
          <w:szCs w:val="32"/>
          <w:highlight w:val="none"/>
          <w:lang w:eastAsia="zh-CN"/>
        </w:rPr>
        <w:t>泸定县泸桥镇人民政府</w:t>
      </w:r>
      <w:r>
        <w:rPr>
          <w:rFonts w:hint="eastAsia" w:ascii="方正仿宋简体" w:hAnsi="方正仿宋简体" w:eastAsia="方正仿宋简体" w:cs="方正仿宋简体"/>
          <w:sz w:val="32"/>
          <w:szCs w:val="32"/>
          <w:highlight w:val="none"/>
        </w:rPr>
        <w:t>“新城临时过渡安置租房补助”进行</w:t>
      </w:r>
      <w:r>
        <w:rPr>
          <w:rFonts w:hint="eastAsia" w:ascii="方正仿宋简体" w:hAnsi="方正仿宋简体" w:eastAsia="方正仿宋简体" w:cs="方正仿宋简体"/>
          <w:sz w:val="32"/>
          <w:szCs w:val="32"/>
          <w:highlight w:val="none"/>
          <w:lang w:val="fr-FR"/>
        </w:rPr>
        <w:t>绩效评价。</w:t>
      </w:r>
      <w:r>
        <w:rPr>
          <w:rFonts w:hint="eastAsia" w:ascii="方正仿宋简体" w:hAnsi="方正仿宋简体" w:eastAsia="方正仿宋简体" w:cs="方正仿宋简体"/>
          <w:sz w:val="32"/>
          <w:szCs w:val="32"/>
          <w:highlight w:val="none"/>
          <w:lang w:eastAsia="zh-CN"/>
        </w:rPr>
        <w:t>泸定县泸桥镇人民政府</w:t>
      </w:r>
      <w:r>
        <w:rPr>
          <w:rFonts w:hint="eastAsia" w:ascii="方正仿宋简体" w:hAnsi="方正仿宋简体" w:eastAsia="方正仿宋简体" w:cs="方正仿宋简体"/>
          <w:sz w:val="32"/>
          <w:szCs w:val="32"/>
          <w:highlight w:val="none"/>
          <w:lang w:val="fr-FR"/>
        </w:rPr>
        <w:t>对其提供的绩效评价相关资料的真实性、合法性和完整性负责；我们的责任是依据《中共中央</w:t>
      </w:r>
      <w:r>
        <w:rPr>
          <w:rFonts w:hint="eastAsia" w:ascii="方正仿宋简体" w:hAnsi="方正仿宋简体" w:eastAsia="方正仿宋简体" w:cs="方正仿宋简体"/>
          <w:sz w:val="32"/>
          <w:szCs w:val="32"/>
          <w:highlight w:val="none"/>
        </w:rPr>
        <w:t xml:space="preserve"> </w:t>
      </w:r>
      <w:r>
        <w:rPr>
          <w:rFonts w:hint="eastAsia" w:ascii="方正仿宋简体" w:hAnsi="方正仿宋简体" w:eastAsia="方正仿宋简体" w:cs="方正仿宋简体"/>
          <w:sz w:val="32"/>
          <w:szCs w:val="32"/>
          <w:highlight w:val="none"/>
          <w:lang w:val="fr-FR"/>
        </w:rPr>
        <w:t>国务院关于全面实施预算绩效管理的意见》（中发〔</w:t>
      </w:r>
      <w:r>
        <w:rPr>
          <w:rFonts w:hint="default" w:ascii="Times New Roman" w:hAnsi="Times New Roman" w:eastAsia="方正仿宋简体" w:cs="Times New Roman"/>
          <w:sz w:val="32"/>
          <w:szCs w:val="32"/>
          <w:highlight w:val="none"/>
          <w:lang w:val="fr-FR"/>
        </w:rPr>
        <w:t>2018</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34</w:t>
      </w:r>
      <w:r>
        <w:rPr>
          <w:rFonts w:hint="eastAsia" w:ascii="方正仿宋简体" w:hAnsi="方正仿宋简体" w:eastAsia="方正仿宋简体" w:cs="方正仿宋简体"/>
          <w:sz w:val="32"/>
          <w:szCs w:val="32"/>
          <w:highlight w:val="none"/>
          <w:lang w:val="fr-FR"/>
        </w:rPr>
        <w:t>号）、《中共四川省委 四川省人民政府关于全面实施预算绩效管理的实施意见》（川委发〔</w:t>
      </w:r>
      <w:r>
        <w:rPr>
          <w:rFonts w:hint="default" w:ascii="Times New Roman" w:hAnsi="Times New Roman" w:eastAsia="方正仿宋简体" w:cs="Times New Roman"/>
          <w:sz w:val="32"/>
          <w:szCs w:val="32"/>
          <w:highlight w:val="none"/>
          <w:lang w:val="fr-FR"/>
        </w:rPr>
        <w:t>201</w:t>
      </w:r>
      <w:r>
        <w:rPr>
          <w:rFonts w:hint="default" w:ascii="Times New Roman" w:hAnsi="Times New Roman" w:eastAsia="方正仿宋简体" w:cs="Times New Roman"/>
          <w:sz w:val="32"/>
          <w:szCs w:val="32"/>
          <w:highlight w:val="none"/>
        </w:rPr>
        <w:t>9</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8</w:t>
      </w:r>
      <w:r>
        <w:rPr>
          <w:rFonts w:hint="eastAsia" w:ascii="方正仿宋简体" w:hAnsi="方正仿宋简体" w:eastAsia="方正仿宋简体" w:cs="方正仿宋简体"/>
          <w:sz w:val="32"/>
          <w:szCs w:val="32"/>
          <w:highlight w:val="none"/>
          <w:lang w:val="fr-FR"/>
        </w:rPr>
        <w:t>号）、《中共甘孜州委办公室 甘孜州人民政府办公室关于印发</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fr-FR"/>
        </w:rPr>
        <w:t>甘孜州全面实施预算绩效管理工作实施方案</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fr-FR"/>
        </w:rPr>
        <w:t>的通知》（甘委办〔</w:t>
      </w:r>
      <w:r>
        <w:rPr>
          <w:rFonts w:hint="default" w:ascii="Times New Roman" w:hAnsi="Times New Roman" w:eastAsia="方正仿宋简体" w:cs="Times New Roman"/>
          <w:sz w:val="32"/>
          <w:szCs w:val="32"/>
          <w:highlight w:val="none"/>
          <w:lang w:val="fr-FR"/>
        </w:rPr>
        <w:t>201</w:t>
      </w:r>
      <w:r>
        <w:rPr>
          <w:rFonts w:hint="default" w:ascii="Times New Roman" w:hAnsi="Times New Roman" w:eastAsia="方正仿宋简体" w:cs="Times New Roman"/>
          <w:sz w:val="32"/>
          <w:szCs w:val="32"/>
          <w:highlight w:val="none"/>
        </w:rPr>
        <w:t>9</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120</w:t>
      </w:r>
      <w:r>
        <w:rPr>
          <w:rFonts w:hint="eastAsia" w:ascii="方正仿宋简体" w:hAnsi="方正仿宋简体" w:eastAsia="方正仿宋简体" w:cs="方正仿宋简体"/>
          <w:sz w:val="32"/>
          <w:szCs w:val="32"/>
          <w:highlight w:val="none"/>
          <w:lang w:val="fr-FR"/>
        </w:rPr>
        <w:t>号）</w:t>
      </w:r>
      <w:r>
        <w:rPr>
          <w:rFonts w:hint="eastAsia" w:ascii="方正仿宋简体" w:hAnsi="方正仿宋简体" w:eastAsia="方正仿宋简体" w:cs="方正仿宋简体"/>
          <w:sz w:val="32"/>
          <w:szCs w:val="32"/>
          <w:highlight w:val="none"/>
        </w:rPr>
        <w:t>和《泸定县财政局关于开展</w:t>
      </w:r>
      <w:r>
        <w:rPr>
          <w:rFonts w:hint="default" w:ascii="Times New Roman" w:hAnsi="Times New Roman" w:eastAsia="方正仿宋简体" w:cs="Times New Roman"/>
          <w:sz w:val="32"/>
          <w:szCs w:val="32"/>
          <w:highlight w:val="none"/>
        </w:rPr>
        <w:t>2024</w:t>
      </w:r>
      <w:r>
        <w:rPr>
          <w:rFonts w:hint="eastAsia" w:ascii="方正仿宋简体" w:hAnsi="方正仿宋简体" w:eastAsia="方正仿宋简体" w:cs="方正仿宋简体"/>
          <w:sz w:val="32"/>
          <w:szCs w:val="32"/>
          <w:highlight w:val="none"/>
        </w:rPr>
        <w:t>年县本级财政支出项目绩效评价工作的通知》（泸财〔</w:t>
      </w:r>
      <w:r>
        <w:rPr>
          <w:rFonts w:hint="default" w:ascii="Times New Roman" w:hAnsi="Times New Roman" w:eastAsia="方正仿宋简体" w:cs="Times New Roman"/>
          <w:sz w:val="32"/>
          <w:szCs w:val="32"/>
          <w:highlight w:val="none"/>
        </w:rPr>
        <w:t>2024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41</w:t>
      </w:r>
      <w:r>
        <w:rPr>
          <w:rFonts w:hint="eastAsia" w:ascii="方正仿宋简体" w:hAnsi="方正仿宋简体" w:eastAsia="方正仿宋简体" w:cs="方正仿宋简体"/>
          <w:sz w:val="32"/>
          <w:szCs w:val="32"/>
          <w:highlight w:val="none"/>
        </w:rPr>
        <w:t>号）</w:t>
      </w:r>
      <w:r>
        <w:rPr>
          <w:rFonts w:hint="eastAsia" w:ascii="方正仿宋简体" w:hAnsi="方正仿宋简体" w:eastAsia="方正仿宋简体" w:cs="方正仿宋简体"/>
          <w:sz w:val="32"/>
          <w:szCs w:val="32"/>
          <w:highlight w:val="none"/>
          <w:lang w:val="fr-FR"/>
        </w:rPr>
        <w:t>文件要求，结合</w:t>
      </w:r>
      <w:r>
        <w:rPr>
          <w:rFonts w:hint="eastAsia" w:ascii="方正仿宋简体" w:hAnsi="方正仿宋简体" w:eastAsia="方正仿宋简体" w:cs="方正仿宋简体"/>
          <w:sz w:val="32"/>
          <w:szCs w:val="32"/>
          <w:highlight w:val="none"/>
          <w:lang w:eastAsia="zh-CN"/>
        </w:rPr>
        <w:t>泸定县泸桥镇人民政府</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新城临时过渡安置租房补助</w:t>
      </w:r>
      <w:r>
        <w:rPr>
          <w:rFonts w:hint="eastAsia" w:ascii="方正仿宋简体" w:hAnsi="方正仿宋简体" w:eastAsia="方正仿宋简体" w:cs="方正仿宋简体"/>
          <w:sz w:val="32"/>
          <w:szCs w:val="32"/>
          <w:highlight w:val="none"/>
          <w:lang w:val="fr-FR"/>
        </w:rPr>
        <w:t>”的实际情况，对该项目进行绩效评价，并出具绩效评价报告，现将相关情况报告如下：</w:t>
      </w:r>
    </w:p>
    <w:bookmarkEnd w:id="5"/>
    <w:bookmarkEnd w:id="6"/>
    <w:bookmarkEnd w:id="7"/>
    <w:p w14:paraId="757FAE78">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8" w:name="_Toc8555"/>
      <w:bookmarkStart w:id="9" w:name="_Toc12185"/>
      <w:bookmarkStart w:id="10" w:name="_Toc839625728"/>
      <w:bookmarkStart w:id="11" w:name="_Toc1220804308"/>
      <w:bookmarkStart w:id="12" w:name="_Toc10380"/>
      <w:bookmarkStart w:id="13" w:name="_Toc1901"/>
      <w:bookmarkStart w:id="14" w:name="_Toc1399960540"/>
      <w:r>
        <w:rPr>
          <w:rFonts w:hint="eastAsia" w:ascii="方正黑体简体" w:hAnsi="方正黑体简体" w:eastAsia="方正黑体简体" w:cs="方正黑体简体"/>
          <w:color w:val="000000"/>
          <w:kern w:val="0"/>
          <w:sz w:val="32"/>
          <w:szCs w:val="32"/>
          <w:highlight w:val="none"/>
          <w:shd w:val="clear" w:color="auto" w:fill="FFFFFF"/>
        </w:rPr>
        <w:t>一、</w:t>
      </w:r>
      <w:bookmarkEnd w:id="8"/>
      <w:r>
        <w:rPr>
          <w:rFonts w:hint="eastAsia" w:ascii="方正黑体简体" w:hAnsi="方正黑体简体" w:eastAsia="方正黑体简体" w:cs="方正黑体简体"/>
          <w:color w:val="000000"/>
          <w:kern w:val="0"/>
          <w:sz w:val="32"/>
          <w:szCs w:val="32"/>
          <w:highlight w:val="none"/>
          <w:shd w:val="clear" w:color="auto" w:fill="FFFFFF"/>
        </w:rPr>
        <w:t>项目基本情况</w:t>
      </w:r>
      <w:bookmarkEnd w:id="9"/>
      <w:bookmarkEnd w:id="10"/>
      <w:bookmarkEnd w:id="11"/>
      <w:bookmarkEnd w:id="12"/>
      <w:bookmarkEnd w:id="13"/>
      <w:bookmarkEnd w:id="14"/>
    </w:p>
    <w:p w14:paraId="3E552B34">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jc w:val="left"/>
        <w:outlineLvl w:val="1"/>
        <w:rPr>
          <w:rFonts w:hint="eastAsia" w:ascii="方正楷体简体" w:hAnsi="方正楷体简体" w:eastAsia="方正楷体简体" w:cs="方正楷体简体"/>
          <w:color w:val="000000"/>
          <w:sz w:val="32"/>
          <w:szCs w:val="32"/>
          <w:highlight w:val="none"/>
          <w:shd w:val="clear" w:color="auto" w:fill="FFFFFF"/>
        </w:rPr>
      </w:pPr>
      <w:bookmarkStart w:id="15" w:name="_Toc16549"/>
      <w:bookmarkStart w:id="16" w:name="_Toc30550"/>
      <w:bookmarkStart w:id="17" w:name="_Toc431776514"/>
      <w:bookmarkStart w:id="18" w:name="_Toc5731"/>
      <w:bookmarkStart w:id="19" w:name="_Toc2076172284"/>
      <w:bookmarkStart w:id="20" w:name="_Toc102061818"/>
      <w:bookmarkStart w:id="21" w:name="_Toc28085"/>
      <w:r>
        <w:rPr>
          <w:rFonts w:hint="eastAsia" w:ascii="方正楷体简体" w:hAnsi="方正楷体简体" w:eastAsia="方正楷体简体" w:cs="方正楷体简体"/>
          <w:color w:val="000000"/>
          <w:kern w:val="0"/>
          <w:sz w:val="32"/>
          <w:szCs w:val="32"/>
          <w:highlight w:val="none"/>
          <w:shd w:val="clear" w:color="auto" w:fill="FFFFFF"/>
          <w:lang w:val="zh-CN"/>
        </w:rPr>
        <w:t>（一）</w:t>
      </w:r>
      <w:bookmarkEnd w:id="15"/>
      <w:r>
        <w:rPr>
          <w:rFonts w:hint="eastAsia" w:ascii="方正楷体简体" w:hAnsi="方正楷体简体" w:eastAsia="方正楷体简体" w:cs="方正楷体简体"/>
          <w:color w:val="000000"/>
          <w:kern w:val="0"/>
          <w:sz w:val="32"/>
          <w:szCs w:val="32"/>
          <w:highlight w:val="none"/>
          <w:shd w:val="clear" w:color="auto" w:fill="FFFFFF"/>
        </w:rPr>
        <w:t>项目概况</w:t>
      </w:r>
      <w:bookmarkEnd w:id="16"/>
      <w:bookmarkEnd w:id="17"/>
      <w:bookmarkEnd w:id="18"/>
      <w:bookmarkEnd w:id="19"/>
      <w:bookmarkEnd w:id="20"/>
      <w:bookmarkEnd w:id="21"/>
    </w:p>
    <w:p w14:paraId="64673C3C">
      <w:pPr>
        <w:keepNext w:val="0"/>
        <w:keepLines w:val="0"/>
        <w:pageBreakBefore w:val="0"/>
        <w:kinsoku/>
        <w:wordWrap/>
        <w:overflowPunct/>
        <w:topLinePunct w:val="0"/>
        <w:autoSpaceDE/>
        <w:autoSpaceDN/>
        <w:bidi w:val="0"/>
        <w:adjustRightInd w:val="0"/>
        <w:snapToGrid w:val="0"/>
        <w:spacing w:line="600" w:lineRule="exact"/>
        <w:ind w:firstLine="640" w:firstLineChars="200"/>
        <w:rPr>
          <w:rFonts w:hint="eastAsia" w:ascii="方正仿宋简体" w:hAnsi="方正仿宋简体" w:eastAsia="方正仿宋简体" w:cs="方正仿宋简体"/>
          <w:sz w:val="32"/>
          <w:szCs w:val="32"/>
          <w:highlight w:val="none"/>
        </w:rPr>
      </w:pPr>
      <w:bookmarkStart w:id="22" w:name="_Toc12470"/>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.被评价单位</w:t>
      </w:r>
    </w:p>
    <w:p w14:paraId="677EBB89">
      <w:pPr>
        <w:keepNext w:val="0"/>
        <w:keepLines w:val="0"/>
        <w:pageBreakBefore w:val="0"/>
        <w:kinsoku/>
        <w:wordWrap/>
        <w:overflowPunct/>
        <w:topLinePunct w:val="0"/>
        <w:autoSpaceDE/>
        <w:autoSpaceDN/>
        <w:bidi w:val="0"/>
        <w:adjustRightInd w:val="0"/>
        <w:snapToGrid w:val="0"/>
        <w:spacing w:line="600" w:lineRule="exact"/>
        <w:ind w:firstLine="640" w:firstLineChars="200"/>
        <w:rPr>
          <w:rFonts w:hint="eastAsia" w:ascii="方正仿宋简体" w:hAnsi="方正仿宋简体" w:eastAsia="方正仿宋简体" w:cs="方正仿宋简体"/>
          <w:sz w:val="32"/>
          <w:szCs w:val="32"/>
          <w:highlight w:val="none"/>
          <w:lang w:val="fr-FR"/>
        </w:rPr>
      </w:pPr>
      <w:r>
        <w:rPr>
          <w:rFonts w:hint="eastAsia" w:ascii="方正仿宋简体" w:hAnsi="方正仿宋简体" w:eastAsia="方正仿宋简体" w:cs="方正仿宋简体"/>
          <w:sz w:val="32"/>
          <w:szCs w:val="32"/>
          <w:highlight w:val="none"/>
          <w:lang w:val="fr-FR" w:eastAsia="zh-CN"/>
        </w:rPr>
        <w:t>泸定县泸桥镇人民政府</w:t>
      </w:r>
      <w:r>
        <w:rPr>
          <w:rFonts w:hint="eastAsia" w:ascii="方正仿宋简体" w:hAnsi="方正仿宋简体" w:eastAsia="方正仿宋简体" w:cs="方正仿宋简体"/>
          <w:sz w:val="32"/>
          <w:szCs w:val="32"/>
          <w:highlight w:val="none"/>
          <w:lang w:val="fr-FR"/>
        </w:rPr>
        <w:t>，机构性质：机关；统一社会信用代码：</w:t>
      </w:r>
      <w:r>
        <w:rPr>
          <w:rFonts w:hint="default" w:ascii="Times New Roman" w:hAnsi="Times New Roman" w:eastAsia="方正仿宋简体" w:cs="Times New Roman"/>
          <w:sz w:val="32"/>
          <w:szCs w:val="32"/>
          <w:highlight w:val="none"/>
          <w:lang w:val="fr-FR"/>
        </w:rPr>
        <w:t>115133220089815362</w:t>
      </w:r>
      <w:r>
        <w:rPr>
          <w:rFonts w:hint="eastAsia" w:ascii="方正仿宋简体" w:hAnsi="方正仿宋简体" w:eastAsia="方正仿宋简体" w:cs="方正仿宋简体"/>
          <w:sz w:val="32"/>
          <w:szCs w:val="32"/>
          <w:highlight w:val="none"/>
          <w:lang w:val="fr-FR"/>
        </w:rPr>
        <w:t>；单位负责人：何归江；机构地址：泸定县泸桥镇沙坝赤水路</w:t>
      </w:r>
      <w:r>
        <w:rPr>
          <w:rFonts w:hint="default" w:ascii="Times New Roman" w:hAnsi="Times New Roman" w:eastAsia="方正仿宋简体" w:cs="Times New Roman"/>
          <w:sz w:val="32"/>
          <w:szCs w:val="32"/>
          <w:highlight w:val="none"/>
          <w:lang w:val="fr-FR"/>
        </w:rPr>
        <w:t>23</w:t>
      </w:r>
      <w:r>
        <w:rPr>
          <w:rFonts w:hint="eastAsia" w:ascii="方正仿宋简体" w:hAnsi="方正仿宋简体" w:eastAsia="方正仿宋简体" w:cs="方正仿宋简体"/>
          <w:sz w:val="32"/>
          <w:szCs w:val="32"/>
          <w:highlight w:val="none"/>
          <w:lang w:val="fr-FR"/>
        </w:rPr>
        <w:t>号。</w:t>
      </w:r>
    </w:p>
    <w:p w14:paraId="03ED6CA3">
      <w:pPr>
        <w:keepNext w:val="0"/>
        <w:keepLines w:val="0"/>
        <w:pageBreakBefore w:val="0"/>
        <w:kinsoku/>
        <w:wordWrap/>
        <w:overflowPunct/>
        <w:topLinePunct w:val="0"/>
        <w:autoSpaceDE/>
        <w:autoSpaceDN/>
        <w:bidi w:val="0"/>
        <w:adjustRightInd w:val="0"/>
        <w:snapToGrid w:val="0"/>
        <w:spacing w:line="600" w:lineRule="exact"/>
        <w:ind w:firstLine="640" w:firstLineChars="20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.项目背景</w:t>
      </w:r>
      <w:bookmarkEnd w:id="22"/>
    </w:p>
    <w:p w14:paraId="466D51FA">
      <w:pPr>
        <w:keepNext w:val="0"/>
        <w:keepLines w:val="0"/>
        <w:pageBreakBefore w:val="0"/>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bookmarkStart w:id="23" w:name="_Hlk143095508"/>
      <w:r>
        <w:rPr>
          <w:rFonts w:hint="eastAsia" w:ascii="方正仿宋简体" w:hAnsi="方正仿宋简体" w:eastAsia="方正仿宋简体" w:cs="方正仿宋简体"/>
          <w:sz w:val="32"/>
          <w:szCs w:val="32"/>
          <w:highlight w:val="none"/>
        </w:rPr>
        <w:t>根据泸定县泸桥镇人民政府关于印发《泸定新城建设征收占用土地和房屋拆迁补偿安置办法》的通知（泸府发〔</w:t>
      </w:r>
      <w:r>
        <w:rPr>
          <w:rFonts w:hint="default" w:ascii="Times New Roman" w:hAnsi="Times New Roman" w:eastAsia="方正仿宋简体" w:cs="Times New Roman"/>
          <w:sz w:val="32"/>
          <w:szCs w:val="32"/>
          <w:highlight w:val="none"/>
        </w:rPr>
        <w:t>2019</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号）为</w:t>
      </w:r>
      <w:r>
        <w:rPr>
          <w:rFonts w:hint="eastAsia" w:ascii="方正仿宋简体" w:hAnsi="方正仿宋简体" w:eastAsia="方正仿宋简体" w:cs="方正仿宋简体"/>
          <w:sz w:val="32"/>
          <w:szCs w:val="32"/>
          <w:highlight w:val="none"/>
          <w:lang w:eastAsia="zh-CN"/>
        </w:rPr>
        <w:t>泸定县泸桥镇人民政府</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年度新城临时过渡安置租房补助</w:t>
      </w:r>
      <w:r>
        <w:rPr>
          <w:rFonts w:hint="eastAsia" w:ascii="方正仿宋简体" w:hAnsi="方正仿宋简体" w:eastAsia="方正仿宋简体" w:cs="方正仿宋简体"/>
          <w:sz w:val="32"/>
          <w:szCs w:val="32"/>
          <w:highlight w:val="none"/>
          <w:lang w:val="en-US" w:eastAsia="zh-CN"/>
        </w:rPr>
        <w:t>项目主要为保障选择产权调换在安置房未建成之前需拆除房屋的农户，项目共涉及</w:t>
      </w:r>
      <w:r>
        <w:rPr>
          <w:rFonts w:hint="default" w:ascii="Times New Roman" w:hAnsi="Times New Roman" w:eastAsia="方正仿宋简体" w:cs="Times New Roman"/>
          <w:sz w:val="32"/>
          <w:szCs w:val="32"/>
          <w:highlight w:val="none"/>
          <w:lang w:val="en-US" w:eastAsia="zh-CN"/>
        </w:rPr>
        <w:t>737</w:t>
      </w:r>
      <w:r>
        <w:rPr>
          <w:rFonts w:hint="eastAsia" w:ascii="方正仿宋简体" w:hAnsi="方正仿宋简体" w:eastAsia="方正仿宋简体" w:cs="方正仿宋简体"/>
          <w:sz w:val="32"/>
          <w:szCs w:val="32"/>
          <w:highlight w:val="none"/>
          <w:lang w:val="en-US" w:eastAsia="zh-CN"/>
        </w:rPr>
        <w:t>户，</w:t>
      </w:r>
      <w:r>
        <w:rPr>
          <w:rFonts w:hint="default" w:ascii="Times New Roman" w:hAnsi="Times New Roman" w:eastAsia="方正仿宋简体" w:cs="Times New Roman"/>
          <w:sz w:val="32"/>
          <w:szCs w:val="32"/>
          <w:highlight w:val="none"/>
          <w:lang w:val="en-US" w:eastAsia="zh-CN"/>
        </w:rPr>
        <w:t>1968</w:t>
      </w:r>
      <w:r>
        <w:rPr>
          <w:rFonts w:hint="eastAsia" w:ascii="方正仿宋简体" w:hAnsi="方正仿宋简体" w:eastAsia="方正仿宋简体" w:cs="方正仿宋简体"/>
          <w:sz w:val="32"/>
          <w:szCs w:val="32"/>
          <w:highlight w:val="none"/>
          <w:lang w:val="en-US" w:eastAsia="zh-CN"/>
        </w:rPr>
        <w:t>人。</w:t>
      </w:r>
    </w:p>
    <w:bookmarkEnd w:id="23"/>
    <w:p w14:paraId="6AEEB677">
      <w:pPr>
        <w:keepNext w:val="0"/>
        <w:keepLines w:val="0"/>
        <w:pageBreakBefore w:val="0"/>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.项目实施情况</w:t>
      </w:r>
    </w:p>
    <w:p w14:paraId="31872E03">
      <w:pPr>
        <w:keepNext w:val="0"/>
        <w:keepLines w:val="0"/>
        <w:pageBreakBefore w:val="0"/>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sz w:val="32"/>
          <w:szCs w:val="32"/>
          <w:highlight w:val="none"/>
        </w:rPr>
      </w:pPr>
      <w:bookmarkStart w:id="24" w:name="_Toc1137465073"/>
      <w:r>
        <w:rPr>
          <w:rFonts w:hint="eastAsia" w:ascii="方正仿宋简体" w:hAnsi="方正仿宋简体" w:eastAsia="方正仿宋简体" w:cs="方正仿宋简体"/>
          <w:sz w:val="32"/>
          <w:szCs w:val="32"/>
          <w:highlight w:val="none"/>
        </w:rPr>
        <w:t>该项目</w:t>
      </w:r>
      <w:r>
        <w:rPr>
          <w:rFonts w:hint="eastAsia" w:ascii="方正仿宋简体" w:hAnsi="方正仿宋简体" w:eastAsia="方正仿宋简体" w:cs="方正仿宋简体"/>
          <w:sz w:val="32"/>
          <w:szCs w:val="32"/>
          <w:highlight w:val="none"/>
          <w:lang w:val="en-US" w:eastAsia="zh-CN"/>
        </w:rPr>
        <w:t>自</w:t>
      </w:r>
      <w:r>
        <w:rPr>
          <w:rFonts w:hint="default" w:ascii="Times New Roman" w:hAnsi="Times New Roman" w:eastAsia="方正仿宋简体" w:cs="Times New Roman"/>
          <w:sz w:val="32"/>
          <w:szCs w:val="32"/>
          <w:highlight w:val="none"/>
          <w:lang w:val="en-US" w:eastAsia="zh-CN"/>
        </w:rPr>
        <w:t>2019</w:t>
      </w:r>
      <w:r>
        <w:rPr>
          <w:rFonts w:hint="eastAsia" w:ascii="方正仿宋简体" w:hAnsi="方正仿宋简体" w:eastAsia="方正仿宋简体" w:cs="方正仿宋简体"/>
          <w:sz w:val="32"/>
          <w:szCs w:val="32"/>
          <w:highlight w:val="none"/>
          <w:lang w:val="en-US" w:eastAsia="zh-CN"/>
        </w:rPr>
        <w:t>年印发征地拆迁管理办法，对拆迁农户选择货币补偿的按照</w:t>
      </w:r>
      <w:r>
        <w:rPr>
          <w:rFonts w:hint="default" w:ascii="Times New Roman" w:hAnsi="Times New Roman" w:eastAsia="方正仿宋简体" w:cs="Times New Roman"/>
          <w:sz w:val="32"/>
          <w:szCs w:val="32"/>
          <w:highlight w:val="none"/>
          <w:lang w:val="en-US" w:eastAsia="zh-CN"/>
        </w:rPr>
        <w:t>220</w:t>
      </w:r>
      <w:r>
        <w:rPr>
          <w:rFonts w:hint="eastAsia" w:ascii="方正仿宋简体" w:hAnsi="方正仿宋简体" w:eastAsia="方正仿宋简体" w:cs="方正仿宋简体"/>
          <w:sz w:val="32"/>
          <w:szCs w:val="32"/>
          <w:highlight w:val="none"/>
          <w:lang w:val="en-US" w:eastAsia="zh-CN"/>
        </w:rPr>
        <w:t>元/人/天，一次性发放</w:t>
      </w:r>
      <w:r>
        <w:rPr>
          <w:rFonts w:hint="default" w:ascii="Times New Roman" w:hAnsi="Times New Roman" w:eastAsia="方正仿宋简体" w:cs="Times New Roman"/>
          <w:sz w:val="32"/>
          <w:szCs w:val="32"/>
          <w:highlight w:val="none"/>
          <w:lang w:val="en-US" w:eastAsia="zh-CN"/>
        </w:rPr>
        <w:t>12</w:t>
      </w:r>
      <w:r>
        <w:rPr>
          <w:rFonts w:hint="eastAsia" w:ascii="方正仿宋简体" w:hAnsi="方正仿宋简体" w:eastAsia="方正仿宋简体" w:cs="方正仿宋简体"/>
          <w:sz w:val="32"/>
          <w:szCs w:val="32"/>
          <w:highlight w:val="none"/>
          <w:lang w:val="en-US" w:eastAsia="zh-CN"/>
        </w:rPr>
        <w:t>个月租房补助</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选择产权调换农户，在安置房建成之前第一年按照</w:t>
      </w:r>
      <w:r>
        <w:rPr>
          <w:rFonts w:hint="default" w:ascii="Times New Roman" w:hAnsi="Times New Roman" w:eastAsia="方正仿宋简体" w:cs="Times New Roman"/>
          <w:sz w:val="32"/>
          <w:szCs w:val="32"/>
          <w:highlight w:val="none"/>
          <w:lang w:val="en-US" w:eastAsia="zh-CN"/>
        </w:rPr>
        <w:t>220</w:t>
      </w:r>
      <w:r>
        <w:rPr>
          <w:rFonts w:hint="eastAsia" w:ascii="方正仿宋简体" w:hAnsi="方正仿宋简体" w:eastAsia="方正仿宋简体" w:cs="方正仿宋简体"/>
          <w:sz w:val="32"/>
          <w:szCs w:val="32"/>
          <w:highlight w:val="none"/>
          <w:lang w:val="en-US" w:eastAsia="zh-CN"/>
        </w:rPr>
        <w:t>元/人/天，第二年按照</w:t>
      </w:r>
      <w:r>
        <w:rPr>
          <w:rFonts w:hint="default" w:ascii="Times New Roman" w:hAnsi="Times New Roman" w:eastAsia="方正仿宋简体" w:cs="Times New Roman"/>
          <w:sz w:val="32"/>
          <w:szCs w:val="32"/>
          <w:highlight w:val="none"/>
          <w:lang w:val="en-US" w:eastAsia="zh-CN"/>
        </w:rPr>
        <w:t>440</w:t>
      </w:r>
      <w:r>
        <w:rPr>
          <w:rFonts w:hint="eastAsia" w:ascii="方正仿宋简体" w:hAnsi="方正仿宋简体" w:eastAsia="方正仿宋简体" w:cs="方正仿宋简体"/>
          <w:sz w:val="32"/>
          <w:szCs w:val="32"/>
          <w:highlight w:val="none"/>
          <w:lang w:val="en-US" w:eastAsia="zh-CN"/>
        </w:rPr>
        <w:t>元/人/天发放补助，并支付</w:t>
      </w:r>
      <w:r>
        <w:rPr>
          <w:rFonts w:hint="default" w:ascii="Times New Roman" w:hAnsi="Times New Roman" w:eastAsia="方正仿宋简体" w:cs="Times New Roman"/>
          <w:sz w:val="32"/>
          <w:szCs w:val="32"/>
          <w:highlight w:val="none"/>
          <w:lang w:val="en-US" w:eastAsia="zh-CN"/>
        </w:rPr>
        <w:t>1500</w:t>
      </w:r>
      <w:r>
        <w:rPr>
          <w:rFonts w:hint="eastAsia" w:ascii="方正仿宋简体" w:hAnsi="方正仿宋简体" w:eastAsia="方正仿宋简体" w:cs="方正仿宋简体"/>
          <w:sz w:val="32"/>
          <w:szCs w:val="32"/>
          <w:highlight w:val="none"/>
          <w:lang w:val="en-US" w:eastAsia="zh-CN"/>
        </w:rPr>
        <w:t>元搬迁费，</w:t>
      </w:r>
      <w:r>
        <w:rPr>
          <w:rFonts w:hint="eastAsia" w:ascii="方正仿宋简体" w:hAnsi="方正仿宋简体" w:eastAsia="方正仿宋简体" w:cs="方正仿宋简体"/>
          <w:sz w:val="32"/>
          <w:szCs w:val="32"/>
          <w:highlight w:val="none"/>
        </w:rPr>
        <w:t>截</w:t>
      </w:r>
      <w:r>
        <w:rPr>
          <w:rFonts w:hint="eastAsia" w:ascii="方正仿宋简体" w:hAnsi="方正仿宋简体" w:eastAsia="方正仿宋简体" w:cs="方正仿宋简体"/>
          <w:sz w:val="32"/>
          <w:szCs w:val="32"/>
          <w:highlight w:val="none"/>
          <w:lang w:val="en-US" w:eastAsia="zh-CN"/>
        </w:rPr>
        <w:t>至</w:t>
      </w:r>
      <w:r>
        <w:rPr>
          <w:rFonts w:hint="eastAsia" w:ascii="方正仿宋简体" w:hAnsi="方正仿宋简体" w:eastAsia="方正仿宋简体" w:cs="方正仿宋简体"/>
          <w:sz w:val="32"/>
          <w:szCs w:val="32"/>
          <w:highlight w:val="none"/>
        </w:rPr>
        <w:t>绩效评价日</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年费用已兑付完成</w:t>
      </w:r>
      <w:r>
        <w:rPr>
          <w:rFonts w:hint="eastAsia" w:ascii="方正仿宋简体" w:hAnsi="方正仿宋简体" w:eastAsia="方正仿宋简体" w:cs="方正仿宋简体"/>
          <w:sz w:val="32"/>
          <w:szCs w:val="32"/>
          <w:highlight w:val="none"/>
        </w:rPr>
        <w:t>。</w:t>
      </w:r>
    </w:p>
    <w:p w14:paraId="00FC8637">
      <w:pPr>
        <w:pStyle w:val="2"/>
        <w:keepNext w:val="0"/>
        <w:keepLines w:val="0"/>
        <w:pageBreakBefore w:val="0"/>
        <w:kinsoku/>
        <w:wordWrap/>
        <w:overflowPunct/>
        <w:topLinePunct w:val="0"/>
        <w:autoSpaceDE/>
        <w:autoSpaceDN/>
        <w:bidi w:val="0"/>
        <w:spacing w:after="0" w:line="600" w:lineRule="exact"/>
        <w:ind w:firstLine="640" w:firstLineChars="200"/>
        <w:jc w:val="left"/>
        <w:outlineLvl w:val="1"/>
        <w:rPr>
          <w:rFonts w:hint="eastAsia" w:ascii="方正楷体简体" w:hAnsi="方正楷体简体" w:eastAsia="方正楷体简体" w:cs="方正楷体简体"/>
          <w:color w:val="000000"/>
          <w:sz w:val="32"/>
          <w:szCs w:val="32"/>
          <w:highlight w:val="none"/>
          <w:shd w:val="clear" w:color="auto" w:fill="FFFFFF"/>
          <w:lang w:val="zh-CN"/>
        </w:rPr>
      </w:pPr>
      <w:bookmarkStart w:id="25" w:name="_Toc11275"/>
      <w:bookmarkStart w:id="26" w:name="_Toc1872624354"/>
      <w:bookmarkStart w:id="27" w:name="_Toc373335861"/>
      <w:bookmarkStart w:id="28" w:name="_Toc12052"/>
      <w:r>
        <w:rPr>
          <w:rFonts w:hint="eastAsia" w:ascii="方正楷体简体" w:hAnsi="方正楷体简体" w:eastAsia="方正楷体简体" w:cs="方正楷体简体"/>
          <w:color w:val="000000"/>
          <w:sz w:val="32"/>
          <w:szCs w:val="32"/>
          <w:highlight w:val="none"/>
          <w:shd w:val="clear" w:color="auto" w:fill="FFFFFF"/>
          <w:lang w:val="zh-CN"/>
        </w:rPr>
        <w:t>（</w:t>
      </w:r>
      <w:r>
        <w:rPr>
          <w:rFonts w:hint="eastAsia" w:ascii="方正楷体简体" w:hAnsi="方正楷体简体" w:eastAsia="方正楷体简体" w:cs="方正楷体简体"/>
          <w:color w:val="000000"/>
          <w:sz w:val="32"/>
          <w:szCs w:val="32"/>
          <w:highlight w:val="none"/>
          <w:shd w:val="clear" w:color="auto" w:fill="FFFFFF"/>
        </w:rPr>
        <w:t>二</w:t>
      </w:r>
      <w:r>
        <w:rPr>
          <w:rFonts w:hint="eastAsia" w:ascii="方正楷体简体" w:hAnsi="方正楷体简体" w:eastAsia="方正楷体简体" w:cs="方正楷体简体"/>
          <w:color w:val="000000"/>
          <w:sz w:val="32"/>
          <w:szCs w:val="32"/>
          <w:highlight w:val="none"/>
          <w:shd w:val="clear" w:color="auto" w:fill="FFFFFF"/>
          <w:lang w:val="zh-CN"/>
        </w:rPr>
        <w:t>）资金投入及使用情况</w:t>
      </w:r>
      <w:bookmarkEnd w:id="24"/>
      <w:bookmarkEnd w:id="25"/>
      <w:bookmarkEnd w:id="26"/>
      <w:bookmarkEnd w:id="27"/>
      <w:bookmarkEnd w:id="28"/>
    </w:p>
    <w:p w14:paraId="72B5A42D">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bookmarkStart w:id="29" w:name="_Toc92"/>
      <w:r>
        <w:rPr>
          <w:rFonts w:hint="eastAsia" w:ascii="方正仿宋简体" w:hAnsi="方正仿宋简体" w:eastAsia="方正仿宋简体" w:cs="方正仿宋简体"/>
          <w:sz w:val="32"/>
          <w:szCs w:val="32"/>
          <w:highlight w:val="none"/>
          <w:lang w:eastAsia="zh-CN"/>
        </w:rPr>
        <w:t>新城临时过渡安置租房补助</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项目</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年申请预算资金</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996</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80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万元，实际下达</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996</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80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万元，当年</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实际</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支出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996</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80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预算执行率</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100%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均用于</w:t>
      </w:r>
      <w:r>
        <w:rPr>
          <w:rFonts w:hint="eastAsia" w:ascii="方正仿宋简体" w:hAnsi="方正仿宋简体" w:eastAsia="方正仿宋简体" w:cs="方正仿宋简体"/>
          <w:sz w:val="32"/>
          <w:szCs w:val="32"/>
          <w:highlight w:val="none"/>
          <w:lang w:eastAsia="zh-CN"/>
        </w:rPr>
        <w:t>新城临时过渡安置租房补助</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 xml:space="preserve">。 </w:t>
      </w:r>
    </w:p>
    <w:p w14:paraId="3D683508">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30" w:name="_Toc1475229012"/>
      <w:bookmarkStart w:id="31" w:name="_Toc2013461402"/>
      <w:bookmarkStart w:id="32" w:name="_Toc22968"/>
      <w:bookmarkStart w:id="33" w:name="_Toc823786307"/>
      <w:bookmarkStart w:id="34" w:name="_Toc16650"/>
      <w:r>
        <w:rPr>
          <w:rFonts w:hint="eastAsia" w:ascii="方正黑体简体" w:hAnsi="方正黑体简体" w:eastAsia="方正黑体简体" w:cs="方正黑体简体"/>
          <w:color w:val="000000"/>
          <w:kern w:val="0"/>
          <w:sz w:val="32"/>
          <w:szCs w:val="32"/>
          <w:highlight w:val="none"/>
          <w:shd w:val="clear" w:color="auto" w:fill="FFFFFF"/>
        </w:rPr>
        <w:t>二、评价工作开展情况</w:t>
      </w:r>
      <w:bookmarkEnd w:id="29"/>
      <w:bookmarkEnd w:id="30"/>
      <w:bookmarkEnd w:id="31"/>
      <w:bookmarkEnd w:id="32"/>
      <w:bookmarkEnd w:id="33"/>
      <w:bookmarkEnd w:id="34"/>
    </w:p>
    <w:p w14:paraId="61C73B76">
      <w:pPr>
        <w:keepNext w:val="0"/>
        <w:keepLines w:val="0"/>
        <w:pageBreakBefore w:val="0"/>
        <w:kinsoku/>
        <w:wordWrap/>
        <w:overflowPunct/>
        <w:topLinePunct w:val="0"/>
        <w:autoSpaceDE/>
        <w:autoSpaceDN/>
        <w:bidi w:val="0"/>
        <w:spacing w:line="600" w:lineRule="exact"/>
        <w:ind w:firstLine="640" w:firstLineChars="200"/>
        <w:outlineLvl w:val="1"/>
        <w:rPr>
          <w:rFonts w:hint="eastAsia" w:ascii="方正楷体简体" w:hAnsi="方正楷体简体" w:eastAsia="方正楷体简体" w:cs="方正楷体简体"/>
          <w:color w:val="000000"/>
          <w:kern w:val="0"/>
          <w:sz w:val="32"/>
          <w:szCs w:val="32"/>
          <w:highlight w:val="none"/>
          <w:shd w:val="clear" w:color="auto" w:fill="FFFFFF"/>
        </w:rPr>
      </w:pPr>
      <w:bookmarkStart w:id="35" w:name="_Toc26040"/>
      <w:bookmarkStart w:id="36" w:name="_Toc1526787527"/>
      <w:bookmarkStart w:id="37" w:name="_Toc552897559"/>
      <w:bookmarkStart w:id="38" w:name="_Toc374873874"/>
      <w:bookmarkStart w:id="39" w:name="_Toc27477"/>
      <w:bookmarkStart w:id="40" w:name="_Toc3977"/>
      <w:r>
        <w:rPr>
          <w:rFonts w:hint="eastAsia" w:ascii="方正楷体简体" w:hAnsi="方正楷体简体" w:eastAsia="方正楷体简体" w:cs="方正楷体简体"/>
          <w:color w:val="000000"/>
          <w:kern w:val="0"/>
          <w:sz w:val="32"/>
          <w:szCs w:val="32"/>
          <w:highlight w:val="none"/>
          <w:shd w:val="clear" w:color="auto" w:fill="FFFFFF"/>
        </w:rPr>
        <w:t>（一）评价范围</w:t>
      </w:r>
      <w:bookmarkEnd w:id="35"/>
      <w:bookmarkEnd w:id="36"/>
      <w:bookmarkEnd w:id="37"/>
      <w:bookmarkEnd w:id="38"/>
      <w:bookmarkEnd w:id="39"/>
      <w:bookmarkEnd w:id="40"/>
    </w:p>
    <w:p w14:paraId="3341099D">
      <w:pPr>
        <w:pStyle w:val="2"/>
        <w:keepNext w:val="0"/>
        <w:keepLines w:val="0"/>
        <w:pageBreakBefore w:val="0"/>
        <w:kinsoku/>
        <w:wordWrap/>
        <w:overflowPunct/>
        <w:topLinePunct w:val="0"/>
        <w:autoSpaceDE/>
        <w:autoSpaceDN/>
        <w:bidi w:val="0"/>
        <w:spacing w:after="0" w:line="600" w:lineRule="exact"/>
        <w:ind w:firstLine="640" w:firstLineChars="200"/>
        <w:rPr>
          <w:rFonts w:hint="eastAsia" w:ascii="方正仿宋简体" w:hAnsi="方正仿宋简体" w:eastAsia="方正仿宋简体" w:cs="方正仿宋简体"/>
          <w:color w:val="000000"/>
          <w:kern w:val="2"/>
          <w:sz w:val="32"/>
          <w:szCs w:val="32"/>
          <w:highlight w:val="none"/>
          <w:shd w:val="clear" w:color="auto" w:fill="FFFFFF"/>
        </w:rPr>
      </w:pPr>
      <w:r>
        <w:rPr>
          <w:rFonts w:hint="eastAsia" w:ascii="方正仿宋简体" w:hAnsi="方正仿宋简体" w:eastAsia="方正仿宋简体" w:cs="方正仿宋简体"/>
          <w:color w:val="000000"/>
          <w:kern w:val="2"/>
          <w:sz w:val="32"/>
          <w:szCs w:val="32"/>
          <w:highlight w:val="none"/>
          <w:shd w:val="clear" w:color="auto" w:fill="FFFFFF"/>
        </w:rPr>
        <w:t>对</w:t>
      </w:r>
      <w:r>
        <w:rPr>
          <w:rFonts w:hint="eastAsia" w:ascii="方正仿宋简体" w:hAnsi="方正仿宋简体" w:eastAsia="方正仿宋简体" w:cs="方正仿宋简体"/>
          <w:color w:val="000000"/>
          <w:kern w:val="2"/>
          <w:sz w:val="32"/>
          <w:szCs w:val="32"/>
          <w:highlight w:val="none"/>
          <w:shd w:val="clear" w:color="auto" w:fill="FFFFFF"/>
          <w:lang w:eastAsia="zh-CN"/>
        </w:rPr>
        <w:t>泸定县泸桥镇人民政府</w:t>
      </w:r>
      <w:r>
        <w:rPr>
          <w:rFonts w:hint="eastAsia" w:ascii="方正仿宋简体" w:hAnsi="方正仿宋简体" w:eastAsia="方正仿宋简体" w:cs="方正仿宋简体"/>
          <w:sz w:val="32"/>
          <w:szCs w:val="32"/>
          <w:highlight w:val="none"/>
          <w:lang w:eastAsia="zh-CN"/>
        </w:rPr>
        <w:t>新城临时过渡安置租房补助</w:t>
      </w:r>
      <w:r>
        <w:rPr>
          <w:rFonts w:hint="eastAsia" w:ascii="方正仿宋简体" w:hAnsi="方正仿宋简体" w:eastAsia="方正仿宋简体" w:cs="方正仿宋简体"/>
          <w:color w:val="000000"/>
          <w:kern w:val="2"/>
          <w:sz w:val="32"/>
          <w:szCs w:val="32"/>
          <w:highlight w:val="none"/>
          <w:shd w:val="clear" w:color="auto" w:fill="FFFFFF"/>
        </w:rPr>
        <w:t>进行绩效评价。</w:t>
      </w:r>
    </w:p>
    <w:p w14:paraId="611AAD84">
      <w:pPr>
        <w:keepNext w:val="0"/>
        <w:keepLines w:val="0"/>
        <w:pageBreakBefore w:val="0"/>
        <w:kinsoku/>
        <w:wordWrap/>
        <w:overflowPunct/>
        <w:topLinePunct w:val="0"/>
        <w:autoSpaceDE/>
        <w:autoSpaceDN/>
        <w:bidi w:val="0"/>
        <w:spacing w:line="600" w:lineRule="exact"/>
        <w:ind w:firstLine="640" w:firstLineChars="200"/>
        <w:outlineLvl w:val="1"/>
        <w:rPr>
          <w:rFonts w:hint="eastAsia" w:ascii="方正楷体简体" w:hAnsi="方正楷体简体" w:eastAsia="方正楷体简体" w:cs="方正楷体简体"/>
          <w:color w:val="000000"/>
          <w:kern w:val="0"/>
          <w:sz w:val="32"/>
          <w:szCs w:val="32"/>
          <w:highlight w:val="none"/>
          <w:shd w:val="clear" w:color="auto" w:fill="FFFFFF"/>
        </w:rPr>
      </w:pPr>
      <w:bookmarkStart w:id="41" w:name="_Toc29398"/>
      <w:r>
        <w:rPr>
          <w:rFonts w:hint="eastAsia" w:ascii="方正楷体简体" w:hAnsi="方正楷体简体" w:eastAsia="方正楷体简体" w:cs="方正楷体简体"/>
          <w:color w:val="000000"/>
          <w:kern w:val="0"/>
          <w:sz w:val="32"/>
          <w:szCs w:val="32"/>
          <w:highlight w:val="none"/>
          <w:shd w:val="clear" w:color="auto" w:fill="FFFFFF"/>
        </w:rPr>
        <w:t>（二）评价目的</w:t>
      </w:r>
      <w:bookmarkEnd w:id="41"/>
    </w:p>
    <w:p w14:paraId="577F86DB">
      <w:pPr>
        <w:pStyle w:val="2"/>
        <w:keepNext w:val="0"/>
        <w:keepLines w:val="0"/>
        <w:pageBreakBefore w:val="0"/>
        <w:kinsoku/>
        <w:wordWrap/>
        <w:overflowPunct/>
        <w:topLinePunct w:val="0"/>
        <w:autoSpaceDE/>
        <w:autoSpaceDN/>
        <w:bidi w:val="0"/>
        <w:spacing w:after="0" w:line="600" w:lineRule="exact"/>
        <w:ind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通过对</w:t>
      </w:r>
      <w:r>
        <w:rPr>
          <w:rFonts w:hint="eastAsia" w:ascii="方正仿宋简体" w:hAnsi="方正仿宋简体" w:eastAsia="方正仿宋简体" w:cs="方正仿宋简体"/>
          <w:sz w:val="32"/>
          <w:szCs w:val="32"/>
          <w:highlight w:val="none"/>
          <w:lang w:eastAsia="zh-CN"/>
        </w:rPr>
        <w:t>新城临时过渡安置租房补助</w:t>
      </w:r>
      <w:r>
        <w:rPr>
          <w:rFonts w:hint="eastAsia" w:ascii="方正仿宋简体" w:hAnsi="方正仿宋简体" w:eastAsia="方正仿宋简体" w:cs="方正仿宋简体"/>
          <w:sz w:val="32"/>
          <w:szCs w:val="32"/>
          <w:highlight w:val="none"/>
        </w:rPr>
        <w:t>进行绩效评价，发现项目实施过程存在的问题，并督促被评价单位及时整改。同时对</w:t>
      </w:r>
      <w:r>
        <w:rPr>
          <w:rFonts w:hint="eastAsia" w:ascii="方正仿宋简体" w:hAnsi="方正仿宋简体" w:eastAsia="方正仿宋简体" w:cs="方正仿宋简体"/>
          <w:sz w:val="32"/>
          <w:szCs w:val="32"/>
          <w:highlight w:val="none"/>
          <w:lang w:eastAsia="zh-CN"/>
        </w:rPr>
        <w:t>泸定新城大坝安置点征地拆迁支出</w:t>
      </w:r>
      <w:r>
        <w:rPr>
          <w:rFonts w:hint="eastAsia" w:ascii="方正仿宋简体" w:hAnsi="方正仿宋简体" w:eastAsia="方正仿宋简体" w:cs="方正仿宋简体"/>
          <w:sz w:val="32"/>
          <w:szCs w:val="32"/>
          <w:highlight w:val="none"/>
        </w:rPr>
        <w:t>绩效评价主要目的是发挥绩效评价对决策信息的反馈作用，建立一种科学、明确的绩效目标作为预算编制依据，将绩效评价融入整个预算编制过程，为规范和加强财政支出管理，强化支出责任，建立科学、规范的财政支出绩效评价管理体系，提高财政资金使用效益</w:t>
      </w:r>
      <w:r>
        <w:rPr>
          <w:rFonts w:hint="eastAsia" w:ascii="方正仿宋简体" w:hAnsi="方正仿宋简体" w:eastAsia="方正仿宋简体" w:cs="方正仿宋简体"/>
          <w:color w:val="000000"/>
          <w:sz w:val="32"/>
          <w:szCs w:val="32"/>
          <w:highlight w:val="none"/>
          <w:shd w:val="clear" w:color="auto" w:fill="FFFFFF"/>
        </w:rPr>
        <w:t>。</w:t>
      </w:r>
      <w:bookmarkStart w:id="42" w:name="_Toc25044"/>
    </w:p>
    <w:p w14:paraId="52655A98">
      <w:pPr>
        <w:keepNext w:val="0"/>
        <w:keepLines w:val="0"/>
        <w:pageBreakBefore w:val="0"/>
        <w:kinsoku/>
        <w:wordWrap/>
        <w:overflowPunct/>
        <w:topLinePunct w:val="0"/>
        <w:autoSpaceDE/>
        <w:autoSpaceDN/>
        <w:bidi w:val="0"/>
        <w:spacing w:line="600" w:lineRule="exact"/>
        <w:ind w:firstLine="640" w:firstLineChars="200"/>
        <w:outlineLvl w:val="1"/>
        <w:rPr>
          <w:rFonts w:hint="eastAsia" w:ascii="方正楷体简体" w:hAnsi="方正楷体简体" w:eastAsia="方正楷体简体" w:cs="方正楷体简体"/>
          <w:color w:val="000000"/>
          <w:kern w:val="0"/>
          <w:sz w:val="32"/>
          <w:szCs w:val="32"/>
          <w:highlight w:val="none"/>
          <w:shd w:val="clear" w:color="auto" w:fill="FFFFFF"/>
        </w:rPr>
      </w:pPr>
      <w:bookmarkStart w:id="43" w:name="_Toc69892372"/>
      <w:bookmarkStart w:id="44" w:name="_Toc695837166"/>
      <w:bookmarkStart w:id="45" w:name="_Toc4506"/>
      <w:bookmarkStart w:id="46" w:name="_Toc256358140"/>
      <w:bookmarkStart w:id="47" w:name="_Toc5237"/>
      <w:r>
        <w:rPr>
          <w:rFonts w:hint="eastAsia" w:ascii="方正楷体简体" w:hAnsi="方正楷体简体" w:eastAsia="方正楷体简体" w:cs="方正楷体简体"/>
          <w:color w:val="000000"/>
          <w:kern w:val="0"/>
          <w:sz w:val="32"/>
          <w:szCs w:val="32"/>
          <w:highlight w:val="none"/>
          <w:shd w:val="clear" w:color="auto" w:fill="FFFFFF"/>
        </w:rPr>
        <w:t>（三）</w:t>
      </w:r>
      <w:bookmarkEnd w:id="42"/>
      <w:bookmarkEnd w:id="43"/>
      <w:bookmarkEnd w:id="44"/>
      <w:bookmarkEnd w:id="45"/>
      <w:bookmarkEnd w:id="46"/>
      <w:r>
        <w:rPr>
          <w:rFonts w:hint="eastAsia" w:ascii="方正楷体简体" w:hAnsi="方正楷体简体" w:eastAsia="方正楷体简体" w:cs="方正楷体简体"/>
          <w:color w:val="000000"/>
          <w:kern w:val="0"/>
          <w:sz w:val="32"/>
          <w:szCs w:val="32"/>
          <w:highlight w:val="none"/>
          <w:shd w:val="clear" w:color="auto" w:fill="FFFFFF"/>
        </w:rPr>
        <w:t>评价依据</w:t>
      </w:r>
      <w:bookmarkEnd w:id="47"/>
    </w:p>
    <w:p w14:paraId="15516DA9">
      <w:pPr>
        <w:pStyle w:val="2"/>
        <w:keepNext w:val="0"/>
        <w:keepLines w:val="0"/>
        <w:pageBreakBefore w:val="0"/>
        <w:numPr>
          <w:ilvl w:val="0"/>
          <w:numId w:val="2"/>
        </w:numPr>
        <w:kinsoku/>
        <w:wordWrap/>
        <w:overflowPunct/>
        <w:topLinePunct w:val="0"/>
        <w:autoSpaceDE/>
        <w:autoSpaceDN/>
        <w:bidi w:val="0"/>
        <w:spacing w:after="0" w:line="600" w:lineRule="exact"/>
        <w:ind w:left="0" w:firstLine="640" w:firstLineChars="200"/>
        <w:rPr>
          <w:rFonts w:hint="eastAsia" w:ascii="方正仿宋简体" w:hAnsi="方正仿宋简体" w:eastAsia="方正仿宋简体" w:cs="方正仿宋简体"/>
          <w:sz w:val="32"/>
          <w:szCs w:val="32"/>
          <w:highlight w:val="none"/>
        </w:rPr>
      </w:pPr>
      <w:bookmarkStart w:id="48" w:name="_Toc1283387961"/>
      <w:bookmarkStart w:id="49" w:name="_Toc12644"/>
      <w:bookmarkStart w:id="50" w:name="_Toc24122"/>
      <w:bookmarkStart w:id="51" w:name="_Toc1431999818"/>
      <w:bookmarkStart w:id="52" w:name="_Toc2131644227"/>
      <w:r>
        <w:rPr>
          <w:rFonts w:hint="eastAsia" w:ascii="方正仿宋简体" w:hAnsi="方正仿宋简体" w:eastAsia="方正仿宋简体" w:cs="方正仿宋简体"/>
          <w:sz w:val="32"/>
          <w:szCs w:val="32"/>
          <w:highlight w:val="none"/>
        </w:rPr>
        <w:t>《关于推进预算绩效管理的指导意见》（财预〔</w:t>
      </w:r>
      <w:r>
        <w:rPr>
          <w:rFonts w:hint="default" w:ascii="Times New Roman" w:hAnsi="Times New Roman" w:eastAsia="方正仿宋简体" w:cs="Times New Roman"/>
          <w:sz w:val="32"/>
          <w:szCs w:val="32"/>
          <w:highlight w:val="none"/>
        </w:rPr>
        <w:t>2011</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416</w:t>
      </w:r>
      <w:r>
        <w:rPr>
          <w:rFonts w:hint="eastAsia" w:ascii="方正仿宋简体" w:hAnsi="方正仿宋简体" w:eastAsia="方正仿宋简体" w:cs="方正仿宋简体"/>
          <w:sz w:val="32"/>
          <w:szCs w:val="32"/>
          <w:highlight w:val="none"/>
        </w:rPr>
        <w:t>号）；</w:t>
      </w:r>
    </w:p>
    <w:p w14:paraId="6FE8AA35">
      <w:pPr>
        <w:pStyle w:val="2"/>
        <w:keepNext w:val="0"/>
        <w:keepLines w:val="0"/>
        <w:pageBreakBefore w:val="0"/>
        <w:numPr>
          <w:ilvl w:val="0"/>
          <w:numId w:val="2"/>
        </w:numPr>
        <w:kinsoku/>
        <w:wordWrap/>
        <w:overflowPunct/>
        <w:topLinePunct w:val="0"/>
        <w:autoSpaceDE/>
        <w:autoSpaceDN/>
        <w:bidi w:val="0"/>
        <w:spacing w:after="0" w:line="600" w:lineRule="exact"/>
        <w:ind w:lef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《财政部〈关于印发项目支出绩效评价管理办法〉的通知》（财预〔</w:t>
      </w:r>
      <w:r>
        <w:rPr>
          <w:rFonts w:hint="default" w:ascii="Times New Roman" w:hAnsi="Times New Roman" w:eastAsia="方正仿宋简体" w:cs="Times New Roman"/>
          <w:sz w:val="32"/>
          <w:szCs w:val="32"/>
          <w:highlight w:val="none"/>
        </w:rPr>
        <w:t>2020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号）；</w:t>
      </w:r>
    </w:p>
    <w:p w14:paraId="4BD6ADD6">
      <w:pPr>
        <w:pStyle w:val="2"/>
        <w:keepNext w:val="0"/>
        <w:keepLines w:val="0"/>
        <w:pageBreakBefore w:val="0"/>
        <w:numPr>
          <w:ilvl w:val="0"/>
          <w:numId w:val="2"/>
        </w:numPr>
        <w:kinsoku/>
        <w:wordWrap/>
        <w:overflowPunct/>
        <w:topLinePunct w:val="0"/>
        <w:autoSpaceDE/>
        <w:autoSpaceDN/>
        <w:bidi w:val="0"/>
        <w:spacing w:after="0" w:line="600" w:lineRule="exact"/>
        <w:ind w:lef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《中共中央 国务院关于全面实施预算绩效管理的意见》（中发〔</w:t>
      </w:r>
      <w:r>
        <w:rPr>
          <w:rFonts w:hint="default" w:ascii="Times New Roman" w:hAnsi="Times New Roman" w:eastAsia="方正仿宋简体" w:cs="Times New Roman"/>
          <w:sz w:val="32"/>
          <w:szCs w:val="32"/>
          <w:highlight w:val="none"/>
        </w:rPr>
        <w:t>2018</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34</w:t>
      </w:r>
      <w:r>
        <w:rPr>
          <w:rFonts w:hint="eastAsia" w:ascii="方正仿宋简体" w:hAnsi="方正仿宋简体" w:eastAsia="方正仿宋简体" w:cs="方正仿宋简体"/>
          <w:sz w:val="32"/>
          <w:szCs w:val="32"/>
          <w:highlight w:val="none"/>
        </w:rPr>
        <w:t>号）；</w:t>
      </w:r>
    </w:p>
    <w:p w14:paraId="05D7CAE1">
      <w:pPr>
        <w:pStyle w:val="2"/>
        <w:keepNext w:val="0"/>
        <w:keepLines w:val="0"/>
        <w:pageBreakBefore w:val="0"/>
        <w:numPr>
          <w:ilvl w:val="0"/>
          <w:numId w:val="2"/>
        </w:numPr>
        <w:kinsoku/>
        <w:wordWrap/>
        <w:overflowPunct/>
        <w:topLinePunct w:val="0"/>
        <w:autoSpaceDE/>
        <w:autoSpaceDN/>
        <w:bidi w:val="0"/>
        <w:spacing w:after="0" w:line="600" w:lineRule="exact"/>
        <w:ind w:lef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《中共四川省委 四川省人民政府关于全面实施预算绩效管理的实施意见》（川委发〔</w:t>
      </w:r>
      <w:r>
        <w:rPr>
          <w:rFonts w:hint="default" w:ascii="Times New Roman" w:hAnsi="Times New Roman" w:eastAsia="方正仿宋简体" w:cs="Times New Roman"/>
          <w:sz w:val="32"/>
          <w:szCs w:val="32"/>
          <w:highlight w:val="none"/>
        </w:rPr>
        <w:t>2019</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8</w:t>
      </w:r>
      <w:r>
        <w:rPr>
          <w:rFonts w:hint="eastAsia" w:ascii="方正仿宋简体" w:hAnsi="方正仿宋简体" w:eastAsia="方正仿宋简体" w:cs="方正仿宋简体"/>
          <w:sz w:val="32"/>
          <w:szCs w:val="32"/>
          <w:highlight w:val="none"/>
        </w:rPr>
        <w:t xml:space="preserve"> 号）；</w:t>
      </w:r>
    </w:p>
    <w:p w14:paraId="428ECEF0">
      <w:pPr>
        <w:pStyle w:val="2"/>
        <w:keepNext w:val="0"/>
        <w:keepLines w:val="0"/>
        <w:pageBreakBefore w:val="0"/>
        <w:numPr>
          <w:ilvl w:val="0"/>
          <w:numId w:val="2"/>
        </w:numPr>
        <w:kinsoku/>
        <w:wordWrap/>
        <w:overflowPunct/>
        <w:topLinePunct w:val="0"/>
        <w:autoSpaceDE/>
        <w:autoSpaceDN/>
        <w:bidi w:val="0"/>
        <w:spacing w:after="0" w:line="600" w:lineRule="exact"/>
        <w:ind w:lef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《四川省省级项目支出绩效管理办法》（川财绩〔</w:t>
      </w:r>
      <w:r>
        <w:rPr>
          <w:rFonts w:hint="default" w:ascii="Times New Roman" w:hAnsi="Times New Roman" w:eastAsia="方正仿宋简体" w:cs="Times New Roman"/>
          <w:sz w:val="32"/>
          <w:szCs w:val="32"/>
          <w:highlight w:val="none"/>
        </w:rPr>
        <w:t>2019</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14</w:t>
      </w:r>
      <w:r>
        <w:rPr>
          <w:rFonts w:hint="eastAsia" w:ascii="方正仿宋简体" w:hAnsi="方正仿宋简体" w:eastAsia="方正仿宋简体" w:cs="方正仿宋简体"/>
          <w:sz w:val="32"/>
          <w:szCs w:val="32"/>
          <w:highlight w:val="none"/>
        </w:rPr>
        <w:t xml:space="preserve"> 号）；</w:t>
      </w:r>
    </w:p>
    <w:p w14:paraId="377A6A57">
      <w:pPr>
        <w:pStyle w:val="2"/>
        <w:keepNext w:val="0"/>
        <w:keepLines w:val="0"/>
        <w:pageBreakBefore w:val="0"/>
        <w:numPr>
          <w:ilvl w:val="0"/>
          <w:numId w:val="2"/>
        </w:numPr>
        <w:kinsoku/>
        <w:wordWrap/>
        <w:overflowPunct/>
        <w:topLinePunct w:val="0"/>
        <w:autoSpaceDE/>
        <w:autoSpaceDN/>
        <w:bidi w:val="0"/>
        <w:spacing w:after="0" w:line="600" w:lineRule="exact"/>
        <w:ind w:lef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《泸定县财政局关于开展</w:t>
      </w:r>
      <w:r>
        <w:rPr>
          <w:rFonts w:hint="default" w:ascii="Times New Roman" w:hAnsi="Times New Roman" w:eastAsia="方正仿宋简体" w:cs="Times New Roman"/>
          <w:sz w:val="32"/>
          <w:szCs w:val="32"/>
          <w:highlight w:val="none"/>
        </w:rPr>
        <w:t>2024</w:t>
      </w:r>
      <w:r>
        <w:rPr>
          <w:rFonts w:hint="eastAsia" w:ascii="方正仿宋简体" w:hAnsi="方正仿宋简体" w:eastAsia="方正仿宋简体" w:cs="方正仿宋简体"/>
          <w:sz w:val="32"/>
          <w:szCs w:val="32"/>
          <w:highlight w:val="none"/>
        </w:rPr>
        <w:t>年县本级财政支出项目绩效评价工作的通知》（泸财〔</w:t>
      </w:r>
      <w:r>
        <w:rPr>
          <w:rFonts w:hint="default" w:ascii="Times New Roman" w:hAnsi="Times New Roman" w:eastAsia="方正仿宋简体" w:cs="Times New Roman"/>
          <w:sz w:val="32"/>
          <w:szCs w:val="32"/>
          <w:highlight w:val="none"/>
        </w:rPr>
        <w:t>2024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41</w:t>
      </w:r>
      <w:r>
        <w:rPr>
          <w:rFonts w:hint="eastAsia" w:ascii="方正仿宋简体" w:hAnsi="方正仿宋简体" w:eastAsia="方正仿宋简体" w:cs="方正仿宋简体"/>
          <w:sz w:val="32"/>
          <w:szCs w:val="32"/>
          <w:highlight w:val="none"/>
        </w:rPr>
        <w:t>号）；</w:t>
      </w:r>
    </w:p>
    <w:p w14:paraId="6E4E5316">
      <w:pPr>
        <w:pStyle w:val="2"/>
        <w:keepNext w:val="0"/>
        <w:keepLines w:val="0"/>
        <w:pageBreakBefore w:val="0"/>
        <w:kinsoku/>
        <w:wordWrap/>
        <w:overflowPunct/>
        <w:topLinePunct w:val="0"/>
        <w:autoSpaceDE/>
        <w:autoSpaceDN/>
        <w:bidi w:val="0"/>
        <w:spacing w:after="0" w:line="600" w:lineRule="exact"/>
        <w:ind w:firstLine="640" w:firstLineChars="20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7</w:t>
      </w:r>
      <w:r>
        <w:rPr>
          <w:rFonts w:hint="eastAsia" w:ascii="方正仿宋简体" w:hAnsi="方正仿宋简体" w:eastAsia="方正仿宋简体" w:cs="方正仿宋简体"/>
          <w:sz w:val="32"/>
          <w:szCs w:val="32"/>
          <w:highlight w:val="none"/>
        </w:rPr>
        <w:t>. 其他相关法规及操作规范。</w:t>
      </w:r>
    </w:p>
    <w:p w14:paraId="4DD657C5">
      <w:pPr>
        <w:keepNext w:val="0"/>
        <w:keepLines w:val="0"/>
        <w:pageBreakBefore w:val="0"/>
        <w:kinsoku/>
        <w:wordWrap/>
        <w:overflowPunct/>
        <w:topLinePunct w:val="0"/>
        <w:autoSpaceDE/>
        <w:autoSpaceDN/>
        <w:bidi w:val="0"/>
        <w:spacing w:line="600" w:lineRule="exact"/>
        <w:ind w:firstLine="640" w:firstLineChars="200"/>
        <w:outlineLvl w:val="1"/>
        <w:rPr>
          <w:rFonts w:hint="eastAsia" w:ascii="方正楷体简体" w:hAnsi="方正楷体简体" w:eastAsia="方正楷体简体" w:cs="方正楷体简体"/>
          <w:color w:val="000000"/>
          <w:kern w:val="0"/>
          <w:sz w:val="32"/>
          <w:szCs w:val="32"/>
          <w:highlight w:val="none"/>
          <w:shd w:val="clear" w:color="auto" w:fill="FFFFFF"/>
        </w:rPr>
      </w:pPr>
      <w:bookmarkStart w:id="53" w:name="_Toc32671"/>
      <w:r>
        <w:rPr>
          <w:rFonts w:hint="eastAsia" w:ascii="方正楷体简体" w:hAnsi="方正楷体简体" w:eastAsia="方正楷体简体" w:cs="方正楷体简体"/>
          <w:color w:val="000000"/>
          <w:kern w:val="0"/>
          <w:sz w:val="32"/>
          <w:szCs w:val="32"/>
          <w:highlight w:val="none"/>
          <w:shd w:val="clear" w:color="auto" w:fill="FFFFFF"/>
        </w:rPr>
        <w:t>（四）绩效评价指标体系</w:t>
      </w:r>
      <w:bookmarkEnd w:id="53"/>
    </w:p>
    <w:p w14:paraId="32F2063F">
      <w:pPr>
        <w:pStyle w:val="2"/>
        <w:keepNext w:val="0"/>
        <w:keepLines w:val="0"/>
        <w:pageBreakBefore w:val="0"/>
        <w:kinsoku/>
        <w:wordWrap/>
        <w:overflowPunct/>
        <w:topLinePunct w:val="0"/>
        <w:autoSpaceDE/>
        <w:autoSpaceDN/>
        <w:bidi w:val="0"/>
        <w:spacing w:after="0" w:line="600" w:lineRule="exact"/>
        <w:ind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根据《泸定县财政局关于开展</w:t>
      </w:r>
      <w:r>
        <w:rPr>
          <w:rFonts w:hint="default" w:ascii="Times New Roman" w:hAnsi="Times New Roman" w:eastAsia="方正仿宋简体" w:cs="Times New Roman"/>
          <w:sz w:val="32"/>
          <w:szCs w:val="32"/>
          <w:highlight w:val="none"/>
        </w:rPr>
        <w:t>2024</w:t>
      </w:r>
      <w:r>
        <w:rPr>
          <w:rFonts w:hint="eastAsia" w:ascii="方正仿宋简体" w:hAnsi="方正仿宋简体" w:eastAsia="方正仿宋简体" w:cs="方正仿宋简体"/>
          <w:sz w:val="32"/>
          <w:szCs w:val="32"/>
          <w:highlight w:val="none"/>
        </w:rPr>
        <w:t>年县本级财政支出项目绩效评价工作的通知》（泸财〔</w:t>
      </w:r>
      <w:r>
        <w:rPr>
          <w:rFonts w:hint="default" w:ascii="Times New Roman" w:hAnsi="Times New Roman" w:eastAsia="方正仿宋简体" w:cs="Times New Roman"/>
          <w:sz w:val="32"/>
          <w:szCs w:val="32"/>
          <w:highlight w:val="none"/>
        </w:rPr>
        <w:t>2024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41</w:t>
      </w:r>
      <w:r>
        <w:rPr>
          <w:rFonts w:hint="eastAsia" w:ascii="方正仿宋简体" w:hAnsi="方正仿宋简体" w:eastAsia="方正仿宋简体" w:cs="方正仿宋简体"/>
          <w:sz w:val="32"/>
          <w:szCs w:val="32"/>
          <w:highlight w:val="none"/>
        </w:rPr>
        <w:t>号）等相关规定的评价指标体系和该项目的实际情况，评价组将绩效评价指标体系中共性指标设定为：</w:t>
      </w:r>
      <w:r>
        <w:rPr>
          <w:rFonts w:hint="eastAsia" w:ascii="方正仿宋简体" w:hAnsi="方正仿宋简体" w:eastAsia="方正仿宋简体" w:cs="方正仿宋简体"/>
          <w:sz w:val="32"/>
          <w:szCs w:val="32"/>
          <w:highlight w:val="none"/>
          <w:lang w:val="en-US" w:eastAsia="zh-CN"/>
        </w:rPr>
        <w:t>区域均衡性和对象公平性</w:t>
      </w:r>
      <w:r>
        <w:rPr>
          <w:rFonts w:hint="eastAsia" w:ascii="方正仿宋简体" w:hAnsi="方正仿宋简体" w:eastAsia="方正仿宋简体" w:cs="方正仿宋简体"/>
          <w:sz w:val="32"/>
          <w:szCs w:val="32"/>
          <w:highlight w:val="none"/>
        </w:rPr>
        <w:t>，特性指标设定为：</w:t>
      </w:r>
      <w:r>
        <w:rPr>
          <w:rFonts w:hint="eastAsia" w:ascii="方正仿宋简体" w:hAnsi="方正仿宋简体" w:eastAsia="方正仿宋简体" w:cs="方正仿宋简体"/>
          <w:sz w:val="32"/>
          <w:szCs w:val="32"/>
          <w:highlight w:val="none"/>
          <w:lang w:val="en-US" w:eastAsia="zh-CN"/>
        </w:rPr>
        <w:t>审核把关、生活条件改善程度和社会满意度</w:t>
      </w:r>
      <w:r>
        <w:rPr>
          <w:rFonts w:hint="eastAsia" w:ascii="方正仿宋简体" w:hAnsi="方正仿宋简体" w:eastAsia="方正仿宋简体" w:cs="方正仿宋简体"/>
          <w:sz w:val="32"/>
          <w:szCs w:val="32"/>
          <w:highlight w:val="none"/>
        </w:rPr>
        <w:t>，个性指标设定为：可持续影响。设定评价指标及权重如下：</w:t>
      </w:r>
    </w:p>
    <w:p w14:paraId="09E66506">
      <w:pPr>
        <w:pStyle w:val="2"/>
        <w:keepNext w:val="0"/>
        <w:keepLines w:val="0"/>
        <w:pageBreakBefore w:val="0"/>
        <w:kinsoku/>
        <w:wordWrap/>
        <w:overflowPunct/>
        <w:topLinePunct w:val="0"/>
        <w:autoSpaceDE/>
        <w:autoSpaceDN/>
        <w:bidi w:val="0"/>
        <w:spacing w:after="0" w:line="600" w:lineRule="exact"/>
        <w:ind w:firstLine="640" w:firstLineChars="20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.项目决策：含</w:t>
      </w:r>
      <w:bookmarkStart w:id="54" w:name="_Hlk142489161"/>
      <w:r>
        <w:rPr>
          <w:rFonts w:hint="eastAsia" w:ascii="方正仿宋简体" w:hAnsi="方正仿宋简体" w:eastAsia="方正仿宋简体" w:cs="方正仿宋简体"/>
          <w:sz w:val="32"/>
          <w:szCs w:val="32"/>
          <w:highlight w:val="none"/>
        </w:rPr>
        <w:t>程序严密、规划合理、制度完备</w:t>
      </w:r>
      <w:bookmarkEnd w:id="54"/>
      <w:r>
        <w:rPr>
          <w:rFonts w:hint="eastAsia" w:ascii="方正仿宋简体" w:hAnsi="方正仿宋简体" w:eastAsia="方正仿宋简体" w:cs="方正仿宋简体"/>
          <w:sz w:val="32"/>
          <w:szCs w:val="32"/>
          <w:highlight w:val="none"/>
        </w:rPr>
        <w:t>三个二级指标，权重合计为</w:t>
      </w:r>
      <w:r>
        <w:rPr>
          <w:rFonts w:hint="default" w:ascii="Times New Roman" w:hAnsi="Times New Roman" w:eastAsia="方正仿宋简体" w:cs="Times New Roman"/>
          <w:sz w:val="32"/>
          <w:szCs w:val="32"/>
          <w:highlight w:val="none"/>
        </w:rPr>
        <w:t>12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66BE4B41">
      <w:pPr>
        <w:pStyle w:val="2"/>
        <w:keepNext w:val="0"/>
        <w:keepLines w:val="0"/>
        <w:pageBreakBefore w:val="0"/>
        <w:kinsoku/>
        <w:wordWrap/>
        <w:overflowPunct/>
        <w:topLinePunct w:val="0"/>
        <w:autoSpaceDE/>
        <w:autoSpaceDN/>
        <w:bidi w:val="0"/>
        <w:spacing w:after="0" w:line="600" w:lineRule="exact"/>
        <w:ind w:firstLine="640" w:firstLineChars="20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.项目实施：含分配合理、使用合规、执行有效三个二级指标，权重合计为</w:t>
      </w:r>
      <w:r>
        <w:rPr>
          <w:rFonts w:hint="default" w:ascii="Times New Roman" w:hAnsi="Times New Roman" w:eastAsia="方正仿宋简体" w:cs="Times New Roman"/>
          <w:sz w:val="32"/>
          <w:szCs w:val="32"/>
          <w:highlight w:val="none"/>
        </w:rPr>
        <w:t>11</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2D59DFAC">
      <w:pPr>
        <w:pStyle w:val="2"/>
        <w:keepNext w:val="0"/>
        <w:keepLines w:val="0"/>
        <w:pageBreakBefore w:val="0"/>
        <w:kinsoku/>
        <w:wordWrap/>
        <w:overflowPunct/>
        <w:topLinePunct w:val="0"/>
        <w:autoSpaceDE/>
        <w:autoSpaceDN/>
        <w:bidi w:val="0"/>
        <w:spacing w:after="0" w:line="600" w:lineRule="exact"/>
        <w:ind w:firstLine="640" w:firstLineChars="20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.完成结果：含预算完成、目标完成、完成及时、违规记录四个二级指标，权重合计为</w:t>
      </w:r>
      <w:r>
        <w:rPr>
          <w:rFonts w:hint="default" w:ascii="Times New Roman" w:hAnsi="Times New Roman" w:eastAsia="方正仿宋简体" w:cs="Times New Roman"/>
          <w:sz w:val="32"/>
          <w:szCs w:val="32"/>
          <w:highlight w:val="none"/>
        </w:rPr>
        <w:t>17</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6BE681E7">
      <w:pPr>
        <w:pStyle w:val="2"/>
        <w:keepNext w:val="0"/>
        <w:keepLines w:val="0"/>
        <w:pageBreakBefore w:val="0"/>
        <w:kinsoku/>
        <w:wordWrap/>
        <w:overflowPunct/>
        <w:topLinePunct w:val="0"/>
        <w:autoSpaceDE/>
        <w:autoSpaceDN/>
        <w:bidi w:val="0"/>
        <w:spacing w:after="0" w:line="600" w:lineRule="exact"/>
        <w:ind w:firstLine="640" w:firstLineChars="20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.项目效果：含</w:t>
      </w:r>
      <w:r>
        <w:rPr>
          <w:rFonts w:hint="eastAsia" w:ascii="方正仿宋简体" w:hAnsi="方正仿宋简体" w:eastAsia="方正仿宋简体" w:cs="方正仿宋简体"/>
          <w:sz w:val="32"/>
          <w:szCs w:val="32"/>
          <w:highlight w:val="none"/>
          <w:lang w:val="en-US" w:eastAsia="zh-CN"/>
        </w:rPr>
        <w:t>区域均衡性</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对象公平性</w:t>
      </w:r>
      <w:r>
        <w:rPr>
          <w:rFonts w:hint="eastAsia" w:ascii="方正仿宋简体" w:hAnsi="方正仿宋简体" w:eastAsia="方正仿宋简体" w:cs="方正仿宋简体"/>
          <w:sz w:val="32"/>
          <w:szCs w:val="32"/>
          <w:highlight w:val="none"/>
        </w:rPr>
        <w:t>两个二级指标，权重合计为</w:t>
      </w:r>
      <w:r>
        <w:rPr>
          <w:rFonts w:hint="default" w:ascii="Times New Roman" w:hAnsi="Times New Roman" w:eastAsia="方正仿宋简体" w:cs="Times New Roman"/>
          <w:sz w:val="32"/>
          <w:szCs w:val="32"/>
          <w:highlight w:val="none"/>
        </w:rPr>
        <w:t>20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05127282">
      <w:pPr>
        <w:pStyle w:val="2"/>
        <w:keepNext w:val="0"/>
        <w:keepLines w:val="0"/>
        <w:pageBreakBefore w:val="0"/>
        <w:kinsoku/>
        <w:wordWrap/>
        <w:overflowPunct/>
        <w:topLinePunct w:val="0"/>
        <w:autoSpaceDE/>
        <w:autoSpaceDN/>
        <w:bidi w:val="0"/>
        <w:spacing w:after="0" w:line="600" w:lineRule="exact"/>
        <w:ind w:firstLine="640" w:firstLineChars="20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.基础管理：含</w:t>
      </w:r>
      <w:r>
        <w:rPr>
          <w:rFonts w:hint="eastAsia" w:ascii="方正仿宋简体" w:hAnsi="方正仿宋简体" w:eastAsia="方正仿宋简体" w:cs="方正仿宋简体"/>
          <w:sz w:val="32"/>
          <w:szCs w:val="32"/>
          <w:highlight w:val="none"/>
          <w:lang w:val="en-US" w:eastAsia="zh-CN"/>
        </w:rPr>
        <w:t>审核把关</w:t>
      </w:r>
      <w:r>
        <w:rPr>
          <w:rFonts w:hint="eastAsia" w:ascii="方正仿宋简体" w:hAnsi="方正仿宋简体" w:eastAsia="方正仿宋简体" w:cs="方正仿宋简体"/>
          <w:sz w:val="32"/>
          <w:szCs w:val="32"/>
          <w:highlight w:val="none"/>
        </w:rPr>
        <w:t>一个二级指标，权重合计为</w:t>
      </w:r>
      <w:r>
        <w:rPr>
          <w:rFonts w:hint="default" w:ascii="Times New Roman" w:hAnsi="Times New Roman" w:eastAsia="方正仿宋简体" w:cs="Times New Roman"/>
          <w:sz w:val="32"/>
          <w:szCs w:val="32"/>
          <w:highlight w:val="none"/>
        </w:rPr>
        <w:t>1</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2FBF94CF">
      <w:pPr>
        <w:pStyle w:val="2"/>
        <w:keepNext w:val="0"/>
        <w:keepLines w:val="0"/>
        <w:pageBreakBefore w:val="0"/>
        <w:kinsoku/>
        <w:wordWrap/>
        <w:overflowPunct/>
        <w:topLinePunct w:val="0"/>
        <w:autoSpaceDE/>
        <w:autoSpaceDN/>
        <w:bidi w:val="0"/>
        <w:spacing w:after="0" w:line="600" w:lineRule="exact"/>
        <w:ind w:firstLine="640" w:firstLineChars="20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6</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社会</w:t>
      </w:r>
      <w:r>
        <w:rPr>
          <w:rFonts w:hint="eastAsia" w:ascii="方正仿宋简体" w:hAnsi="方正仿宋简体" w:eastAsia="方正仿宋简体" w:cs="方正仿宋简体"/>
          <w:sz w:val="32"/>
          <w:szCs w:val="32"/>
          <w:highlight w:val="none"/>
        </w:rPr>
        <w:t>效益：含</w:t>
      </w:r>
      <w:r>
        <w:rPr>
          <w:rFonts w:hint="eastAsia" w:ascii="方正仿宋简体" w:hAnsi="方正仿宋简体" w:eastAsia="方正仿宋简体" w:cs="方正仿宋简体"/>
          <w:sz w:val="32"/>
          <w:szCs w:val="32"/>
          <w:highlight w:val="none"/>
          <w:lang w:val="en-US" w:eastAsia="zh-CN"/>
        </w:rPr>
        <w:t>生活条件改善程度</w:t>
      </w:r>
      <w:r>
        <w:rPr>
          <w:rFonts w:hint="eastAsia" w:ascii="方正仿宋简体" w:hAnsi="方正仿宋简体" w:eastAsia="方正仿宋简体" w:cs="方正仿宋简体"/>
          <w:sz w:val="32"/>
          <w:szCs w:val="32"/>
          <w:highlight w:val="none"/>
        </w:rPr>
        <w:t>一个二级指标，权重合计为</w:t>
      </w:r>
      <w:r>
        <w:rPr>
          <w:rFonts w:hint="default" w:ascii="Times New Roman" w:hAnsi="Times New Roman" w:eastAsia="方正仿宋简体" w:cs="Times New Roman"/>
          <w:sz w:val="32"/>
          <w:szCs w:val="32"/>
          <w:highlight w:val="none"/>
        </w:rPr>
        <w:t>1</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671D447D">
      <w:pPr>
        <w:pStyle w:val="2"/>
        <w:keepNext w:val="0"/>
        <w:keepLines w:val="0"/>
        <w:pageBreakBefore w:val="0"/>
        <w:kinsoku/>
        <w:wordWrap/>
        <w:overflowPunct/>
        <w:topLinePunct w:val="0"/>
        <w:autoSpaceDE/>
        <w:autoSpaceDN/>
        <w:bidi w:val="0"/>
        <w:spacing w:after="0" w:line="600" w:lineRule="exact"/>
        <w:ind w:firstLine="640" w:firstLineChars="20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7</w:t>
      </w:r>
      <w:r>
        <w:rPr>
          <w:rFonts w:hint="eastAsia" w:ascii="方正仿宋简体" w:hAnsi="方正仿宋简体" w:eastAsia="方正仿宋简体" w:cs="方正仿宋简体"/>
          <w:sz w:val="32"/>
          <w:szCs w:val="32"/>
          <w:highlight w:val="none"/>
        </w:rPr>
        <w:t>.满意度指标：含社会满意度一个二级指标，权重合计为</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414A7CA0">
      <w:pPr>
        <w:pStyle w:val="2"/>
        <w:keepNext w:val="0"/>
        <w:keepLines w:val="0"/>
        <w:pageBreakBefore w:val="0"/>
        <w:kinsoku/>
        <w:wordWrap/>
        <w:overflowPunct/>
        <w:topLinePunct w:val="0"/>
        <w:autoSpaceDE/>
        <w:autoSpaceDN/>
        <w:bidi w:val="0"/>
        <w:spacing w:after="0" w:line="600" w:lineRule="exact"/>
        <w:ind w:firstLine="640" w:firstLineChars="200"/>
        <w:rPr>
          <w:rFonts w:hint="eastAsia" w:ascii="方正黑体简体" w:hAnsi="方正黑体简体" w:eastAsia="方正黑体简体" w:cs="方正黑体简体"/>
          <w:color w:val="000000"/>
          <w:kern w:val="0"/>
          <w:sz w:val="32"/>
          <w:szCs w:val="32"/>
          <w:highlight w:val="none"/>
          <w:shd w:val="clear" w:color="auto" w:fill="FFFFFF"/>
          <w:lang w:val="en-US" w:eastAsia="zh-CN"/>
        </w:rPr>
      </w:pPr>
      <w:r>
        <w:rPr>
          <w:rFonts w:hint="default" w:ascii="Times New Roman" w:hAnsi="Times New Roman" w:eastAsia="方正仿宋简体" w:cs="Times New Roman"/>
          <w:sz w:val="32"/>
          <w:szCs w:val="32"/>
          <w:highlight w:val="none"/>
          <w:lang w:val="en-US" w:eastAsia="zh-CN"/>
        </w:rPr>
        <w:t>8</w:t>
      </w:r>
      <w:r>
        <w:rPr>
          <w:rFonts w:hint="eastAsia" w:ascii="方正仿宋简体" w:hAnsi="方正仿宋简体" w:eastAsia="方正仿宋简体" w:cs="方正仿宋简体"/>
          <w:sz w:val="32"/>
          <w:szCs w:val="32"/>
          <w:highlight w:val="none"/>
          <w:lang w:val="en-US" w:eastAsia="zh-CN"/>
        </w:rPr>
        <w:t>.个性指标：</w:t>
      </w:r>
      <w:r>
        <w:rPr>
          <w:rFonts w:hint="eastAsia" w:ascii="方正仿宋简体" w:hAnsi="方正仿宋简体" w:eastAsia="方正仿宋简体" w:cs="方正仿宋简体"/>
          <w:sz w:val="32"/>
          <w:szCs w:val="32"/>
          <w:highlight w:val="none"/>
        </w:rPr>
        <w:t>含</w:t>
      </w:r>
      <w:r>
        <w:rPr>
          <w:rFonts w:hint="eastAsia" w:ascii="方正仿宋简体" w:hAnsi="方正仿宋简体" w:eastAsia="方正仿宋简体" w:cs="方正仿宋简体"/>
          <w:sz w:val="32"/>
          <w:szCs w:val="32"/>
          <w:highlight w:val="none"/>
          <w:lang w:val="en-US" w:eastAsia="zh-CN"/>
        </w:rPr>
        <w:t>可持续影响</w:t>
      </w:r>
      <w:r>
        <w:rPr>
          <w:rFonts w:hint="eastAsia" w:ascii="方正仿宋简体" w:hAnsi="方正仿宋简体" w:eastAsia="方正仿宋简体" w:cs="方正仿宋简体"/>
          <w:sz w:val="32"/>
          <w:szCs w:val="32"/>
          <w:highlight w:val="none"/>
        </w:rPr>
        <w:t>一个二级指标</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权重合计为</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52FED3E3">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r>
        <w:rPr>
          <w:rFonts w:hint="eastAsia" w:ascii="方正黑体简体" w:hAnsi="方正黑体简体" w:eastAsia="方正黑体简体" w:cs="方正黑体简体"/>
          <w:color w:val="000000"/>
          <w:kern w:val="0"/>
          <w:sz w:val="32"/>
          <w:szCs w:val="32"/>
          <w:highlight w:val="none"/>
          <w:shd w:val="clear" w:color="auto" w:fill="FFFFFF"/>
        </w:rPr>
        <w:t>三、评价情况及结论</w:t>
      </w:r>
      <w:bookmarkEnd w:id="48"/>
      <w:bookmarkEnd w:id="49"/>
      <w:bookmarkEnd w:id="50"/>
      <w:bookmarkEnd w:id="51"/>
      <w:bookmarkEnd w:id="52"/>
    </w:p>
    <w:p w14:paraId="15138C93">
      <w:pPr>
        <w:pStyle w:val="2"/>
        <w:keepNext w:val="0"/>
        <w:keepLines w:val="0"/>
        <w:pageBreakBefore w:val="0"/>
        <w:kinsoku/>
        <w:wordWrap/>
        <w:overflowPunct/>
        <w:topLinePunct w:val="0"/>
        <w:autoSpaceDE/>
        <w:autoSpaceDN/>
        <w:bidi w:val="0"/>
        <w:spacing w:after="0" w:line="600" w:lineRule="exact"/>
        <w:ind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rPr>
        <w:t>实施新城临时过渡安置租房补助</w:t>
      </w:r>
      <w:r>
        <w:rPr>
          <w:rFonts w:hint="eastAsia" w:ascii="方正仿宋简体" w:hAnsi="方正仿宋简体" w:eastAsia="方正仿宋简体" w:cs="方正仿宋简体"/>
          <w:sz w:val="32"/>
          <w:szCs w:val="32"/>
          <w:highlight w:val="none"/>
          <w:lang w:val="en-US" w:eastAsia="zh-CN"/>
        </w:rPr>
        <w:t>项目</w:t>
      </w:r>
      <w:r>
        <w:rPr>
          <w:rFonts w:hint="eastAsia" w:ascii="方正仿宋简体" w:hAnsi="方正仿宋简体" w:eastAsia="方正仿宋简体" w:cs="方正仿宋简体"/>
          <w:sz w:val="32"/>
          <w:szCs w:val="32"/>
          <w:highlight w:val="none"/>
        </w:rPr>
        <w:t>有助于直接减轻</w:t>
      </w:r>
      <w:r>
        <w:rPr>
          <w:rFonts w:hint="eastAsia" w:ascii="方正仿宋简体" w:hAnsi="方正仿宋简体" w:eastAsia="方正仿宋简体" w:cs="方正仿宋简体"/>
          <w:sz w:val="32"/>
          <w:szCs w:val="32"/>
          <w:highlight w:val="none"/>
          <w:lang w:val="en-US" w:eastAsia="zh-CN"/>
        </w:rPr>
        <w:t>拆迁</w:t>
      </w:r>
      <w:r>
        <w:rPr>
          <w:rFonts w:hint="eastAsia" w:ascii="方正仿宋简体" w:hAnsi="方正仿宋简体" w:eastAsia="方正仿宋简体" w:cs="方正仿宋简体"/>
          <w:sz w:val="32"/>
          <w:szCs w:val="32"/>
          <w:highlight w:val="none"/>
        </w:rPr>
        <w:t>家庭的经济负担</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lang w:val="en-US" w:eastAsia="zh-CN"/>
        </w:rPr>
        <w:t>对保障拆迁农户</w:t>
      </w:r>
      <w:r>
        <w:rPr>
          <w:rFonts w:hint="eastAsia" w:ascii="方正仿宋简体" w:hAnsi="方正仿宋简体" w:eastAsia="方正仿宋简体" w:cs="方正仿宋简体"/>
          <w:sz w:val="32"/>
          <w:szCs w:val="32"/>
          <w:highlight w:val="none"/>
          <w:lang w:eastAsia="zh-CN"/>
        </w:rPr>
        <w:t>的生活水平有积极影响，能够稳定社区结构，减少因住房问题引发的社会矛盾和不满情绪</w:t>
      </w:r>
      <w:r>
        <w:rPr>
          <w:rFonts w:hint="eastAsia" w:ascii="方正仿宋简体" w:hAnsi="方正仿宋简体" w:eastAsia="方正仿宋简体" w:cs="方正仿宋简体"/>
          <w:sz w:val="32"/>
          <w:szCs w:val="32"/>
          <w:highlight w:val="none"/>
        </w:rPr>
        <w:t>。</w:t>
      </w:r>
    </w:p>
    <w:p w14:paraId="2A04A677">
      <w:pPr>
        <w:keepNext w:val="0"/>
        <w:keepLines w:val="0"/>
        <w:pageBreakBefore w:val="0"/>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综上所述，按照设定的评价指标体系，通过对</w:t>
      </w:r>
      <w:r>
        <w:rPr>
          <w:rFonts w:hint="eastAsia" w:ascii="方正仿宋简体" w:hAnsi="方正仿宋简体" w:eastAsia="方正仿宋简体" w:cs="方正仿宋简体"/>
          <w:sz w:val="32"/>
          <w:szCs w:val="32"/>
          <w:highlight w:val="none"/>
          <w:lang w:eastAsia="zh-CN"/>
        </w:rPr>
        <w:t>泸定新城大坝安置点征地拆迁</w:t>
      </w:r>
      <w:r>
        <w:rPr>
          <w:rFonts w:hint="eastAsia" w:ascii="方正仿宋简体" w:hAnsi="方正仿宋简体" w:eastAsia="方正仿宋简体" w:cs="方正仿宋简体"/>
          <w:sz w:val="32"/>
          <w:szCs w:val="32"/>
          <w:highlight w:val="none"/>
          <w:lang w:val="en-US" w:eastAsia="zh-CN"/>
        </w:rPr>
        <w:t>支出</w:t>
      </w:r>
      <w:r>
        <w:rPr>
          <w:rFonts w:hint="eastAsia" w:ascii="方正仿宋简体" w:hAnsi="方正仿宋简体" w:eastAsia="方正仿宋简体" w:cs="方正仿宋简体"/>
          <w:sz w:val="32"/>
          <w:szCs w:val="32"/>
          <w:highlight w:val="none"/>
        </w:rPr>
        <w:t>在项目决策、项目实施、完成结果、项目效果、基础管理、项目效益和满意度进行综合评价，“新城临时过渡安置租房补助</w:t>
      </w:r>
      <w:r>
        <w:rPr>
          <w:rFonts w:hint="eastAsia" w:ascii="方正仿宋简体" w:hAnsi="方正仿宋简体" w:eastAsia="方正仿宋简体" w:cs="方正仿宋简体"/>
          <w:sz w:val="32"/>
          <w:szCs w:val="32"/>
          <w:highlight w:val="none"/>
          <w:lang w:val="en-US" w:eastAsia="zh-CN"/>
        </w:rPr>
        <w:t>项目</w:t>
      </w:r>
      <w:r>
        <w:rPr>
          <w:rFonts w:hint="eastAsia" w:ascii="方正仿宋简体" w:hAnsi="方正仿宋简体" w:eastAsia="方正仿宋简体" w:cs="方正仿宋简体"/>
          <w:sz w:val="32"/>
          <w:szCs w:val="32"/>
          <w:highlight w:val="none"/>
        </w:rPr>
        <w:t>”绩效评价得分为</w:t>
      </w:r>
      <w:r>
        <w:rPr>
          <w:rFonts w:hint="default" w:ascii="Times New Roman" w:hAnsi="Times New Roman" w:eastAsia="方正仿宋简体" w:cs="Times New Roman"/>
          <w:sz w:val="32"/>
          <w:szCs w:val="32"/>
          <w:highlight w:val="none"/>
          <w:lang w:val="en-US" w:eastAsia="zh-CN"/>
        </w:rPr>
        <w:t>78</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06</w:t>
      </w:r>
      <w:r>
        <w:rPr>
          <w:rFonts w:hint="eastAsia" w:ascii="方正仿宋简体" w:hAnsi="方正仿宋简体" w:eastAsia="方正仿宋简体" w:cs="方正仿宋简体"/>
          <w:sz w:val="32"/>
          <w:szCs w:val="32"/>
          <w:highlight w:val="none"/>
        </w:rPr>
        <w:t>分，详见下表：</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2259"/>
        <w:gridCol w:w="2266"/>
        <w:gridCol w:w="2266"/>
      </w:tblGrid>
      <w:tr w14:paraId="236D3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0F72EC83">
            <w:pPr>
              <w:keepNext w:val="0"/>
              <w:keepLines w:val="0"/>
              <w:pageBreakBefore w:val="0"/>
              <w:kinsoku/>
              <w:wordWrap/>
              <w:overflowPunct/>
              <w:topLinePunct w:val="0"/>
              <w:autoSpaceDE/>
              <w:autoSpaceDN/>
              <w:bidi w:val="0"/>
              <w:spacing w:line="600" w:lineRule="exact"/>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一级指标</w:t>
            </w:r>
          </w:p>
        </w:tc>
        <w:tc>
          <w:tcPr>
            <w:tcW w:w="1247" w:type="pct"/>
            <w:vAlign w:val="center"/>
          </w:tcPr>
          <w:p w14:paraId="46E829CB">
            <w:pPr>
              <w:keepNext w:val="0"/>
              <w:keepLines w:val="0"/>
              <w:pageBreakBefore w:val="0"/>
              <w:kinsoku/>
              <w:wordWrap/>
              <w:overflowPunct/>
              <w:topLinePunct w:val="0"/>
              <w:autoSpaceDE/>
              <w:autoSpaceDN/>
              <w:bidi w:val="0"/>
              <w:spacing w:line="600" w:lineRule="exact"/>
              <w:ind w:firstLine="640" w:firstLineChars="200"/>
              <w:jc w:val="both"/>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分值</w:t>
            </w:r>
          </w:p>
        </w:tc>
        <w:tc>
          <w:tcPr>
            <w:tcW w:w="1251" w:type="pct"/>
            <w:vAlign w:val="center"/>
          </w:tcPr>
          <w:p w14:paraId="5398202B">
            <w:pPr>
              <w:keepNext w:val="0"/>
              <w:keepLines w:val="0"/>
              <w:pageBreakBefore w:val="0"/>
              <w:kinsoku/>
              <w:wordWrap/>
              <w:overflowPunct/>
              <w:topLinePunct w:val="0"/>
              <w:autoSpaceDE/>
              <w:autoSpaceDN/>
              <w:bidi w:val="0"/>
              <w:spacing w:line="600" w:lineRule="exact"/>
              <w:ind w:firstLine="640" w:firstLineChars="200"/>
              <w:jc w:val="both"/>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得分</w:t>
            </w:r>
          </w:p>
        </w:tc>
        <w:tc>
          <w:tcPr>
            <w:tcW w:w="1251" w:type="pct"/>
            <w:vAlign w:val="center"/>
          </w:tcPr>
          <w:p w14:paraId="0E170025">
            <w:pPr>
              <w:keepNext w:val="0"/>
              <w:keepLines w:val="0"/>
              <w:pageBreakBefore w:val="0"/>
              <w:kinsoku/>
              <w:wordWrap/>
              <w:overflowPunct/>
              <w:topLinePunct w:val="0"/>
              <w:autoSpaceDE/>
              <w:autoSpaceDN/>
              <w:bidi w:val="0"/>
              <w:spacing w:line="600" w:lineRule="exact"/>
              <w:ind w:firstLine="640" w:firstLineChars="200"/>
              <w:jc w:val="both"/>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得分率</w:t>
            </w:r>
          </w:p>
        </w:tc>
      </w:tr>
      <w:tr w14:paraId="3A0D1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30" w:type="dxa"/>
            <w:vAlign w:val="bottom"/>
          </w:tcPr>
          <w:p w14:paraId="309DB459">
            <w:pPr>
              <w:keepNext w:val="0"/>
              <w:keepLines w:val="0"/>
              <w:pageBreakBefore w:val="0"/>
              <w:widowControl/>
              <w:suppressLineNumbers w:val="0"/>
              <w:kinsoku/>
              <w:wordWrap/>
              <w:overflowPunct/>
              <w:topLinePunct w:val="0"/>
              <w:autoSpaceDE/>
              <w:autoSpaceDN/>
              <w:bidi w:val="0"/>
              <w:spacing w:line="600" w:lineRule="exact"/>
              <w:jc w:val="center"/>
              <w:textAlignment w:val="bottom"/>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项目决策</w:t>
            </w:r>
          </w:p>
        </w:tc>
        <w:tc>
          <w:tcPr>
            <w:tcW w:w="2125" w:type="dxa"/>
            <w:vAlign w:val="center"/>
          </w:tcPr>
          <w:p w14:paraId="2D1C7CDF">
            <w:pPr>
              <w:keepNext w:val="0"/>
              <w:keepLines w:val="0"/>
              <w:pageBreakBefore w:val="0"/>
              <w:widowControl/>
              <w:suppressLineNumbers w:val="0"/>
              <w:kinsoku/>
              <w:wordWrap/>
              <w:overflowPunct/>
              <w:topLinePunct w:val="0"/>
              <w:autoSpaceDE/>
              <w:autoSpaceDN/>
              <w:bidi w:val="0"/>
              <w:spacing w:line="600" w:lineRule="exact"/>
              <w:ind w:firstLine="640" w:firstLineChars="20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12</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2" w:type="dxa"/>
            <w:vAlign w:val="center"/>
          </w:tcPr>
          <w:p w14:paraId="38EF35E1">
            <w:pPr>
              <w:keepNext w:val="0"/>
              <w:keepLines w:val="0"/>
              <w:pageBreakBefore w:val="0"/>
              <w:widowControl/>
              <w:suppressLineNumbers w:val="0"/>
              <w:kinsoku/>
              <w:wordWrap/>
              <w:overflowPunct/>
              <w:topLinePunct w:val="0"/>
              <w:autoSpaceDE/>
              <w:autoSpaceDN/>
              <w:bidi w:val="0"/>
              <w:spacing w:line="600" w:lineRule="exact"/>
              <w:ind w:firstLine="640" w:firstLineChars="200"/>
              <w:jc w:val="right"/>
              <w:textAlignment w:val="center"/>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8</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2" w:type="dxa"/>
            <w:vAlign w:val="center"/>
          </w:tcPr>
          <w:p w14:paraId="4BF2BB6D">
            <w:pPr>
              <w:keepNext w:val="0"/>
              <w:keepLines w:val="0"/>
              <w:pageBreakBefore w:val="0"/>
              <w:widowControl/>
              <w:suppressLineNumbers w:val="0"/>
              <w:kinsoku/>
              <w:wordWrap/>
              <w:overflowPunct/>
              <w:topLinePunct w:val="0"/>
              <w:autoSpaceDE/>
              <w:autoSpaceDN/>
              <w:bidi w:val="0"/>
              <w:spacing w:line="600" w:lineRule="exact"/>
              <w:ind w:firstLine="640" w:firstLineChars="200"/>
              <w:jc w:val="right"/>
              <w:textAlignment w:val="center"/>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66</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67</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p>
        </w:tc>
      </w:tr>
      <w:tr w14:paraId="2879E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30" w:type="dxa"/>
            <w:vAlign w:val="bottom"/>
          </w:tcPr>
          <w:p w14:paraId="226156DD">
            <w:pPr>
              <w:keepNext w:val="0"/>
              <w:keepLines w:val="0"/>
              <w:pageBreakBefore w:val="0"/>
              <w:widowControl/>
              <w:suppressLineNumbers w:val="0"/>
              <w:kinsoku/>
              <w:wordWrap/>
              <w:overflowPunct/>
              <w:topLinePunct w:val="0"/>
              <w:autoSpaceDE/>
              <w:autoSpaceDN/>
              <w:bidi w:val="0"/>
              <w:spacing w:line="600" w:lineRule="exact"/>
              <w:jc w:val="center"/>
              <w:textAlignment w:val="bottom"/>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项目实施</w:t>
            </w:r>
          </w:p>
        </w:tc>
        <w:tc>
          <w:tcPr>
            <w:tcW w:w="2125" w:type="dxa"/>
            <w:vAlign w:val="center"/>
          </w:tcPr>
          <w:p w14:paraId="0B4E29D7">
            <w:pPr>
              <w:keepNext w:val="0"/>
              <w:keepLines w:val="0"/>
              <w:pageBreakBefore w:val="0"/>
              <w:widowControl/>
              <w:suppressLineNumbers w:val="0"/>
              <w:kinsoku/>
              <w:wordWrap/>
              <w:overflowPunct/>
              <w:topLinePunct w:val="0"/>
              <w:autoSpaceDE/>
              <w:autoSpaceDN/>
              <w:bidi w:val="0"/>
              <w:spacing w:line="600" w:lineRule="exact"/>
              <w:ind w:firstLine="640" w:firstLineChars="20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11</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2" w:type="dxa"/>
            <w:vAlign w:val="center"/>
          </w:tcPr>
          <w:p w14:paraId="50A7D081">
            <w:pPr>
              <w:keepNext w:val="0"/>
              <w:keepLines w:val="0"/>
              <w:pageBreakBefore w:val="0"/>
              <w:widowControl/>
              <w:suppressLineNumbers w:val="0"/>
              <w:kinsoku/>
              <w:wordWrap/>
              <w:overflowPunct/>
              <w:topLinePunct w:val="0"/>
              <w:autoSpaceDE/>
              <w:autoSpaceDN/>
              <w:bidi w:val="0"/>
              <w:spacing w:line="600" w:lineRule="exact"/>
              <w:ind w:firstLine="640" w:firstLineChars="200"/>
              <w:jc w:val="right"/>
              <w:textAlignment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10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2" w:type="dxa"/>
            <w:vAlign w:val="center"/>
          </w:tcPr>
          <w:p w14:paraId="50F6D5EE">
            <w:pPr>
              <w:keepNext w:val="0"/>
              <w:keepLines w:val="0"/>
              <w:pageBreakBefore w:val="0"/>
              <w:widowControl/>
              <w:suppressLineNumbers w:val="0"/>
              <w:kinsoku/>
              <w:wordWrap/>
              <w:overflowPunct/>
              <w:topLinePunct w:val="0"/>
              <w:autoSpaceDE/>
              <w:autoSpaceDN/>
              <w:bidi w:val="0"/>
              <w:spacing w:line="600" w:lineRule="exact"/>
              <w:ind w:firstLine="640" w:firstLineChars="200"/>
              <w:jc w:val="right"/>
              <w:textAlignment w:val="center"/>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90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91</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p>
        </w:tc>
      </w:tr>
      <w:tr w14:paraId="1D829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30" w:type="dxa"/>
            <w:vAlign w:val="bottom"/>
          </w:tcPr>
          <w:p w14:paraId="67EB664E">
            <w:pPr>
              <w:keepNext w:val="0"/>
              <w:keepLines w:val="0"/>
              <w:pageBreakBefore w:val="0"/>
              <w:widowControl/>
              <w:suppressLineNumbers w:val="0"/>
              <w:kinsoku/>
              <w:wordWrap/>
              <w:overflowPunct/>
              <w:topLinePunct w:val="0"/>
              <w:autoSpaceDE/>
              <w:autoSpaceDN/>
              <w:bidi w:val="0"/>
              <w:spacing w:line="600" w:lineRule="exact"/>
              <w:jc w:val="center"/>
              <w:textAlignment w:val="bottom"/>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完成结果</w:t>
            </w:r>
          </w:p>
        </w:tc>
        <w:tc>
          <w:tcPr>
            <w:tcW w:w="2125" w:type="dxa"/>
            <w:vAlign w:val="center"/>
          </w:tcPr>
          <w:p w14:paraId="4CC0B3F9">
            <w:pPr>
              <w:keepNext w:val="0"/>
              <w:keepLines w:val="0"/>
              <w:pageBreakBefore w:val="0"/>
              <w:widowControl/>
              <w:suppressLineNumbers w:val="0"/>
              <w:kinsoku/>
              <w:wordWrap/>
              <w:overflowPunct/>
              <w:topLinePunct w:val="0"/>
              <w:autoSpaceDE/>
              <w:autoSpaceDN/>
              <w:bidi w:val="0"/>
              <w:spacing w:line="600" w:lineRule="exact"/>
              <w:ind w:firstLine="640" w:firstLineChars="20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17</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2" w:type="dxa"/>
            <w:vAlign w:val="center"/>
          </w:tcPr>
          <w:p w14:paraId="17C5380B">
            <w:pPr>
              <w:keepNext w:val="0"/>
              <w:keepLines w:val="0"/>
              <w:pageBreakBefore w:val="0"/>
              <w:widowControl/>
              <w:suppressLineNumbers w:val="0"/>
              <w:kinsoku/>
              <w:wordWrap/>
              <w:overflowPunct/>
              <w:topLinePunct w:val="0"/>
              <w:autoSpaceDE/>
              <w:autoSpaceDN/>
              <w:bidi w:val="0"/>
              <w:spacing w:line="600" w:lineRule="exact"/>
              <w:ind w:firstLine="640" w:firstLineChars="200"/>
              <w:jc w:val="right"/>
              <w:textAlignment w:val="center"/>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12</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2" w:type="dxa"/>
            <w:vAlign w:val="center"/>
          </w:tcPr>
          <w:p w14:paraId="0403B6A5">
            <w:pPr>
              <w:keepNext w:val="0"/>
              <w:keepLines w:val="0"/>
              <w:pageBreakBefore w:val="0"/>
              <w:widowControl/>
              <w:suppressLineNumbers w:val="0"/>
              <w:kinsoku/>
              <w:wordWrap/>
              <w:overflowPunct/>
              <w:topLinePunct w:val="0"/>
              <w:autoSpaceDE/>
              <w:autoSpaceDN/>
              <w:bidi w:val="0"/>
              <w:spacing w:line="600" w:lineRule="exact"/>
              <w:ind w:firstLine="640" w:firstLineChars="200"/>
              <w:jc w:val="right"/>
              <w:textAlignment w:val="center"/>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70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59</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p>
        </w:tc>
      </w:tr>
      <w:tr w14:paraId="5CD67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30" w:type="dxa"/>
            <w:vAlign w:val="bottom"/>
          </w:tcPr>
          <w:p w14:paraId="3602C456">
            <w:pPr>
              <w:keepNext w:val="0"/>
              <w:keepLines w:val="0"/>
              <w:pageBreakBefore w:val="0"/>
              <w:widowControl/>
              <w:suppressLineNumbers w:val="0"/>
              <w:kinsoku/>
              <w:wordWrap/>
              <w:overflowPunct/>
              <w:topLinePunct w:val="0"/>
              <w:autoSpaceDE/>
              <w:autoSpaceDN/>
              <w:bidi w:val="0"/>
              <w:spacing w:line="600" w:lineRule="exact"/>
              <w:jc w:val="center"/>
              <w:textAlignment w:val="bottom"/>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项目效果</w:t>
            </w:r>
          </w:p>
        </w:tc>
        <w:tc>
          <w:tcPr>
            <w:tcW w:w="2125" w:type="dxa"/>
            <w:vAlign w:val="center"/>
          </w:tcPr>
          <w:p w14:paraId="2332D8F5">
            <w:pPr>
              <w:keepNext w:val="0"/>
              <w:keepLines w:val="0"/>
              <w:pageBreakBefore w:val="0"/>
              <w:widowControl/>
              <w:suppressLineNumbers w:val="0"/>
              <w:kinsoku/>
              <w:wordWrap/>
              <w:overflowPunct/>
              <w:topLinePunct w:val="0"/>
              <w:autoSpaceDE/>
              <w:autoSpaceDN/>
              <w:bidi w:val="0"/>
              <w:spacing w:line="600" w:lineRule="exact"/>
              <w:ind w:firstLine="640" w:firstLineChars="20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20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2" w:type="dxa"/>
            <w:vAlign w:val="center"/>
          </w:tcPr>
          <w:p w14:paraId="70B9EDF1">
            <w:pPr>
              <w:keepNext w:val="0"/>
              <w:keepLines w:val="0"/>
              <w:pageBreakBefore w:val="0"/>
              <w:widowControl/>
              <w:suppressLineNumbers w:val="0"/>
              <w:kinsoku/>
              <w:wordWrap/>
              <w:overflowPunct/>
              <w:topLinePunct w:val="0"/>
              <w:autoSpaceDE/>
              <w:autoSpaceDN/>
              <w:bidi w:val="0"/>
              <w:spacing w:line="600" w:lineRule="exact"/>
              <w:ind w:firstLine="640" w:firstLineChars="200"/>
              <w:jc w:val="right"/>
              <w:textAlignment w:val="center"/>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20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2" w:type="dxa"/>
            <w:vAlign w:val="center"/>
          </w:tcPr>
          <w:p w14:paraId="27EA2692">
            <w:pPr>
              <w:keepNext w:val="0"/>
              <w:keepLines w:val="0"/>
              <w:pageBreakBefore w:val="0"/>
              <w:widowControl/>
              <w:suppressLineNumbers w:val="0"/>
              <w:kinsoku/>
              <w:wordWrap/>
              <w:overflowPunct/>
              <w:topLinePunct w:val="0"/>
              <w:autoSpaceDE/>
              <w:autoSpaceDN/>
              <w:bidi w:val="0"/>
              <w:spacing w:line="600" w:lineRule="exact"/>
              <w:ind w:firstLine="640" w:firstLineChars="20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p>
        </w:tc>
      </w:tr>
      <w:tr w14:paraId="43B33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30" w:type="dxa"/>
            <w:vAlign w:val="bottom"/>
          </w:tcPr>
          <w:p w14:paraId="370CC5EF">
            <w:pPr>
              <w:keepNext w:val="0"/>
              <w:keepLines w:val="0"/>
              <w:pageBreakBefore w:val="0"/>
              <w:widowControl/>
              <w:suppressLineNumbers w:val="0"/>
              <w:kinsoku/>
              <w:wordWrap/>
              <w:overflowPunct/>
              <w:topLinePunct w:val="0"/>
              <w:autoSpaceDE/>
              <w:autoSpaceDN/>
              <w:bidi w:val="0"/>
              <w:spacing w:line="600" w:lineRule="exact"/>
              <w:jc w:val="center"/>
              <w:textAlignment w:val="bottom"/>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基础管理</w:t>
            </w:r>
          </w:p>
        </w:tc>
        <w:tc>
          <w:tcPr>
            <w:tcW w:w="2125" w:type="dxa"/>
            <w:vAlign w:val="center"/>
          </w:tcPr>
          <w:p w14:paraId="00122A6F">
            <w:pPr>
              <w:keepNext w:val="0"/>
              <w:keepLines w:val="0"/>
              <w:pageBreakBefore w:val="0"/>
              <w:widowControl/>
              <w:suppressLineNumbers w:val="0"/>
              <w:kinsoku/>
              <w:wordWrap/>
              <w:overflowPunct/>
              <w:topLinePunct w:val="0"/>
              <w:autoSpaceDE/>
              <w:autoSpaceDN/>
              <w:bidi w:val="0"/>
              <w:spacing w:line="600" w:lineRule="exact"/>
              <w:ind w:firstLine="640" w:firstLineChars="200"/>
              <w:jc w:val="right"/>
              <w:textAlignment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10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2" w:type="dxa"/>
            <w:vAlign w:val="center"/>
          </w:tcPr>
          <w:p w14:paraId="53F2982C">
            <w:pPr>
              <w:keepNext w:val="0"/>
              <w:keepLines w:val="0"/>
              <w:pageBreakBefore w:val="0"/>
              <w:widowControl/>
              <w:suppressLineNumbers w:val="0"/>
              <w:kinsoku/>
              <w:wordWrap/>
              <w:overflowPunct/>
              <w:topLinePunct w:val="0"/>
              <w:autoSpaceDE/>
              <w:autoSpaceDN/>
              <w:bidi w:val="0"/>
              <w:spacing w:line="600" w:lineRule="exact"/>
              <w:ind w:firstLine="640" w:firstLineChars="200"/>
              <w:jc w:val="right"/>
              <w:textAlignment w:val="center"/>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8</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23</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2" w:type="dxa"/>
            <w:vAlign w:val="center"/>
          </w:tcPr>
          <w:p w14:paraId="1CC4C480">
            <w:pPr>
              <w:keepNext w:val="0"/>
              <w:keepLines w:val="0"/>
              <w:pageBreakBefore w:val="0"/>
              <w:widowControl/>
              <w:suppressLineNumbers w:val="0"/>
              <w:kinsoku/>
              <w:wordWrap/>
              <w:overflowPunct/>
              <w:topLinePunct w:val="0"/>
              <w:autoSpaceDE/>
              <w:autoSpaceDN/>
              <w:bidi w:val="0"/>
              <w:spacing w:line="600" w:lineRule="exact"/>
              <w:ind w:firstLine="640" w:firstLineChars="20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82</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30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p>
        </w:tc>
      </w:tr>
      <w:tr w14:paraId="0B585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30" w:type="dxa"/>
            <w:vAlign w:val="bottom"/>
          </w:tcPr>
          <w:p w14:paraId="2ABE8EE6">
            <w:pPr>
              <w:keepNext w:val="0"/>
              <w:keepLines w:val="0"/>
              <w:pageBreakBefore w:val="0"/>
              <w:widowControl/>
              <w:suppressLineNumbers w:val="0"/>
              <w:kinsoku/>
              <w:wordWrap/>
              <w:overflowPunct/>
              <w:topLinePunct w:val="0"/>
              <w:autoSpaceDE/>
              <w:autoSpaceDN/>
              <w:bidi w:val="0"/>
              <w:spacing w:line="600" w:lineRule="exact"/>
              <w:jc w:val="center"/>
              <w:textAlignment w:val="bottom"/>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社会效益</w:t>
            </w:r>
          </w:p>
        </w:tc>
        <w:tc>
          <w:tcPr>
            <w:tcW w:w="2125" w:type="dxa"/>
            <w:vAlign w:val="center"/>
          </w:tcPr>
          <w:p w14:paraId="6B7CD376">
            <w:pPr>
              <w:keepNext w:val="0"/>
              <w:keepLines w:val="0"/>
              <w:pageBreakBefore w:val="0"/>
              <w:widowControl/>
              <w:suppressLineNumbers w:val="0"/>
              <w:kinsoku/>
              <w:wordWrap/>
              <w:overflowPunct/>
              <w:topLinePunct w:val="0"/>
              <w:autoSpaceDE/>
              <w:autoSpaceDN/>
              <w:bidi w:val="0"/>
              <w:spacing w:line="600" w:lineRule="exact"/>
              <w:ind w:firstLine="640" w:firstLineChars="20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10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2" w:type="dxa"/>
            <w:vAlign w:val="center"/>
          </w:tcPr>
          <w:p w14:paraId="2EC941C4">
            <w:pPr>
              <w:keepNext w:val="0"/>
              <w:keepLines w:val="0"/>
              <w:pageBreakBefore w:val="0"/>
              <w:widowControl/>
              <w:suppressLineNumbers w:val="0"/>
              <w:kinsoku/>
              <w:wordWrap/>
              <w:overflowPunct/>
              <w:topLinePunct w:val="0"/>
              <w:autoSpaceDE/>
              <w:autoSpaceDN/>
              <w:bidi w:val="0"/>
              <w:spacing w:line="600" w:lineRule="exact"/>
              <w:ind w:firstLine="640" w:firstLineChars="200"/>
              <w:jc w:val="right"/>
              <w:textAlignment w:val="center"/>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7</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83</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2" w:type="dxa"/>
            <w:vAlign w:val="center"/>
          </w:tcPr>
          <w:p w14:paraId="79ECC541">
            <w:pPr>
              <w:keepNext w:val="0"/>
              <w:keepLines w:val="0"/>
              <w:pageBreakBefore w:val="0"/>
              <w:widowControl/>
              <w:suppressLineNumbers w:val="0"/>
              <w:kinsoku/>
              <w:wordWrap/>
              <w:overflowPunct/>
              <w:topLinePunct w:val="0"/>
              <w:autoSpaceDE/>
              <w:autoSpaceDN/>
              <w:bidi w:val="0"/>
              <w:spacing w:line="600" w:lineRule="exact"/>
              <w:ind w:firstLine="640" w:firstLineChars="20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78</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30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p>
        </w:tc>
      </w:tr>
      <w:tr w14:paraId="54AD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30" w:type="dxa"/>
            <w:vAlign w:val="bottom"/>
          </w:tcPr>
          <w:p w14:paraId="56671327">
            <w:pPr>
              <w:keepNext w:val="0"/>
              <w:keepLines w:val="0"/>
              <w:pageBreakBefore w:val="0"/>
              <w:widowControl/>
              <w:suppressLineNumbers w:val="0"/>
              <w:kinsoku/>
              <w:wordWrap/>
              <w:overflowPunct/>
              <w:topLinePunct w:val="0"/>
              <w:autoSpaceDE/>
              <w:autoSpaceDN/>
              <w:bidi w:val="0"/>
              <w:spacing w:line="600" w:lineRule="exact"/>
              <w:jc w:val="center"/>
              <w:textAlignment w:val="bottom"/>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社会满意度</w:t>
            </w:r>
          </w:p>
        </w:tc>
        <w:tc>
          <w:tcPr>
            <w:tcW w:w="2125" w:type="dxa"/>
            <w:vAlign w:val="center"/>
          </w:tcPr>
          <w:p w14:paraId="4B569423">
            <w:pPr>
              <w:keepNext w:val="0"/>
              <w:keepLines w:val="0"/>
              <w:pageBreakBefore w:val="0"/>
              <w:widowControl/>
              <w:suppressLineNumbers w:val="0"/>
              <w:kinsoku/>
              <w:wordWrap/>
              <w:overflowPunct/>
              <w:topLinePunct w:val="0"/>
              <w:autoSpaceDE/>
              <w:autoSpaceDN/>
              <w:bidi w:val="0"/>
              <w:spacing w:line="600" w:lineRule="exact"/>
              <w:ind w:firstLine="640" w:firstLineChars="200"/>
              <w:jc w:val="right"/>
              <w:textAlignment w:val="center"/>
              <w:rPr>
                <w:rFonts w:hint="eastAsia" w:ascii="方正仿宋简体" w:hAnsi="方正仿宋简体" w:eastAsia="方正仿宋简体" w:cs="方正仿宋简体"/>
                <w:color w:val="000000"/>
                <w:kern w:val="0"/>
                <w:sz w:val="32"/>
                <w:szCs w:val="32"/>
                <w:highlight w:val="none"/>
                <w:lang w:bidi="ar"/>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10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2" w:type="dxa"/>
            <w:vAlign w:val="center"/>
          </w:tcPr>
          <w:p w14:paraId="537DDBCE">
            <w:pPr>
              <w:keepNext w:val="0"/>
              <w:keepLines w:val="0"/>
              <w:pageBreakBefore w:val="0"/>
              <w:widowControl/>
              <w:suppressLineNumbers w:val="0"/>
              <w:kinsoku/>
              <w:wordWrap/>
              <w:overflowPunct/>
              <w:topLinePunct w:val="0"/>
              <w:autoSpaceDE/>
              <w:autoSpaceDN/>
              <w:bidi w:val="0"/>
              <w:spacing w:line="600" w:lineRule="exact"/>
              <w:ind w:firstLine="640" w:firstLineChars="200"/>
              <w:jc w:val="right"/>
              <w:textAlignment w:val="center"/>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9</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2" w:type="dxa"/>
            <w:vAlign w:val="center"/>
          </w:tcPr>
          <w:p w14:paraId="1E66468E">
            <w:pPr>
              <w:keepNext w:val="0"/>
              <w:keepLines w:val="0"/>
              <w:pageBreakBefore w:val="0"/>
              <w:widowControl/>
              <w:suppressLineNumbers w:val="0"/>
              <w:kinsoku/>
              <w:wordWrap/>
              <w:overflowPunct/>
              <w:topLinePunct w:val="0"/>
              <w:autoSpaceDE/>
              <w:autoSpaceDN/>
              <w:bidi w:val="0"/>
              <w:spacing w:line="600" w:lineRule="exact"/>
              <w:ind w:firstLine="640" w:firstLineChars="200"/>
              <w:jc w:val="right"/>
              <w:textAlignment w:val="center"/>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90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p>
        </w:tc>
      </w:tr>
      <w:tr w14:paraId="752D2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30" w:type="dxa"/>
            <w:vAlign w:val="bottom"/>
          </w:tcPr>
          <w:p w14:paraId="7BBBC7E8">
            <w:pPr>
              <w:keepNext w:val="0"/>
              <w:keepLines w:val="0"/>
              <w:pageBreakBefore w:val="0"/>
              <w:widowControl/>
              <w:suppressLineNumbers w:val="0"/>
              <w:kinsoku/>
              <w:wordWrap/>
              <w:overflowPunct/>
              <w:topLinePunct w:val="0"/>
              <w:autoSpaceDE/>
              <w:autoSpaceDN/>
              <w:bidi w:val="0"/>
              <w:spacing w:line="600" w:lineRule="exact"/>
              <w:jc w:val="center"/>
              <w:textAlignment w:val="bottom"/>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可持续性影响</w:t>
            </w:r>
          </w:p>
        </w:tc>
        <w:tc>
          <w:tcPr>
            <w:tcW w:w="2125" w:type="dxa"/>
            <w:vAlign w:val="center"/>
          </w:tcPr>
          <w:p w14:paraId="7A2862BF">
            <w:pPr>
              <w:keepNext w:val="0"/>
              <w:keepLines w:val="0"/>
              <w:pageBreakBefore w:val="0"/>
              <w:widowControl/>
              <w:suppressLineNumbers w:val="0"/>
              <w:kinsoku/>
              <w:wordWrap/>
              <w:overflowPunct/>
              <w:topLinePunct w:val="0"/>
              <w:autoSpaceDE/>
              <w:autoSpaceDN/>
              <w:bidi w:val="0"/>
              <w:spacing w:line="600" w:lineRule="exact"/>
              <w:ind w:firstLine="640" w:firstLineChars="200"/>
              <w:jc w:val="right"/>
              <w:textAlignment w:val="center"/>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10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2" w:type="dxa"/>
            <w:vAlign w:val="center"/>
          </w:tcPr>
          <w:p w14:paraId="6DE3BCAF">
            <w:pPr>
              <w:keepNext w:val="0"/>
              <w:keepLines w:val="0"/>
              <w:pageBreakBefore w:val="0"/>
              <w:widowControl/>
              <w:suppressLineNumbers w:val="0"/>
              <w:kinsoku/>
              <w:wordWrap/>
              <w:overflowPunct/>
              <w:topLinePunct w:val="0"/>
              <w:autoSpaceDE/>
              <w:autoSpaceDN/>
              <w:bidi w:val="0"/>
              <w:spacing w:line="600" w:lineRule="exact"/>
              <w:ind w:firstLine="640" w:firstLineChars="200"/>
              <w:jc w:val="right"/>
              <w:textAlignment w:val="center"/>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3</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2" w:type="dxa"/>
            <w:vAlign w:val="center"/>
          </w:tcPr>
          <w:p w14:paraId="23B0EAA5">
            <w:pPr>
              <w:keepNext w:val="0"/>
              <w:keepLines w:val="0"/>
              <w:pageBreakBefore w:val="0"/>
              <w:widowControl/>
              <w:suppressLineNumbers w:val="0"/>
              <w:kinsoku/>
              <w:wordWrap/>
              <w:overflowPunct/>
              <w:topLinePunct w:val="0"/>
              <w:autoSpaceDE/>
              <w:autoSpaceDN/>
              <w:bidi w:val="0"/>
              <w:spacing w:line="600" w:lineRule="exact"/>
              <w:ind w:firstLine="640" w:firstLineChars="20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30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p>
        </w:tc>
      </w:tr>
      <w:tr w14:paraId="6A68B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30" w:type="dxa"/>
            <w:vAlign w:val="bottom"/>
          </w:tcPr>
          <w:p w14:paraId="0E074FC1">
            <w:pPr>
              <w:keepNext w:val="0"/>
              <w:keepLines w:val="0"/>
              <w:pageBreakBefore w:val="0"/>
              <w:widowControl/>
              <w:suppressLineNumbers w:val="0"/>
              <w:kinsoku/>
              <w:wordWrap/>
              <w:overflowPunct/>
              <w:topLinePunct w:val="0"/>
              <w:autoSpaceDE/>
              <w:autoSpaceDN/>
              <w:bidi w:val="0"/>
              <w:spacing w:line="600" w:lineRule="exact"/>
              <w:jc w:val="center"/>
              <w:textAlignment w:val="bottom"/>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合计</w:t>
            </w:r>
          </w:p>
        </w:tc>
        <w:tc>
          <w:tcPr>
            <w:tcW w:w="2125" w:type="dxa"/>
            <w:vAlign w:val="center"/>
          </w:tcPr>
          <w:p w14:paraId="498B5942">
            <w:pPr>
              <w:keepNext w:val="0"/>
              <w:keepLines w:val="0"/>
              <w:pageBreakBefore w:val="0"/>
              <w:widowControl/>
              <w:suppressLineNumbers w:val="0"/>
              <w:kinsoku/>
              <w:wordWrap/>
              <w:overflowPunct/>
              <w:topLinePunct w:val="0"/>
              <w:autoSpaceDE/>
              <w:autoSpaceDN/>
              <w:bidi w:val="0"/>
              <w:spacing w:line="600" w:lineRule="exact"/>
              <w:ind w:firstLine="640" w:firstLineChars="20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100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2" w:type="dxa"/>
            <w:vAlign w:val="center"/>
          </w:tcPr>
          <w:p w14:paraId="01EC1105">
            <w:pPr>
              <w:keepNext w:val="0"/>
              <w:keepLines w:val="0"/>
              <w:pageBreakBefore w:val="0"/>
              <w:widowControl/>
              <w:suppressLineNumbers w:val="0"/>
              <w:kinsoku/>
              <w:wordWrap/>
              <w:overflowPunct/>
              <w:topLinePunct w:val="0"/>
              <w:autoSpaceDE/>
              <w:autoSpaceDN/>
              <w:bidi w:val="0"/>
              <w:spacing w:line="600" w:lineRule="exact"/>
              <w:ind w:firstLine="640" w:firstLineChars="200"/>
              <w:jc w:val="right"/>
              <w:textAlignment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78</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06</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2" w:type="dxa"/>
            <w:vAlign w:val="center"/>
          </w:tcPr>
          <w:p w14:paraId="5855B0B3">
            <w:pPr>
              <w:keepNext w:val="0"/>
              <w:keepLines w:val="0"/>
              <w:pageBreakBefore w:val="0"/>
              <w:widowControl/>
              <w:suppressLineNumbers w:val="0"/>
              <w:kinsoku/>
              <w:wordWrap/>
              <w:overflowPunct/>
              <w:topLinePunct w:val="0"/>
              <w:autoSpaceDE/>
              <w:autoSpaceDN/>
              <w:bidi w:val="0"/>
              <w:spacing w:line="600" w:lineRule="exact"/>
              <w:ind w:firstLine="640" w:firstLineChars="20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78</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06</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p>
        </w:tc>
      </w:tr>
    </w:tbl>
    <w:p w14:paraId="4D9873D1">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55" w:name="_Toc9407"/>
      <w:bookmarkStart w:id="56" w:name="_Toc2038909009"/>
      <w:bookmarkStart w:id="57" w:name="_Toc488092938"/>
      <w:bookmarkStart w:id="58" w:name="_Toc21540"/>
      <w:bookmarkStart w:id="59" w:name="_Toc121121045"/>
      <w:bookmarkStart w:id="60" w:name="_Toc13308"/>
      <w:r>
        <w:rPr>
          <w:rFonts w:hint="eastAsia" w:ascii="方正黑体简体" w:hAnsi="方正黑体简体" w:eastAsia="方正黑体简体" w:cs="方正黑体简体"/>
          <w:color w:val="000000"/>
          <w:kern w:val="0"/>
          <w:sz w:val="32"/>
          <w:szCs w:val="32"/>
          <w:highlight w:val="none"/>
          <w:shd w:val="clear" w:color="auto" w:fill="FFFFFF"/>
        </w:rPr>
        <w:t>四、绩效结果应用</w:t>
      </w:r>
      <w:bookmarkEnd w:id="55"/>
    </w:p>
    <w:p w14:paraId="6CA009C4">
      <w:pPr>
        <w:keepNext w:val="0"/>
        <w:keepLines w:val="0"/>
        <w:pageBreakBefore w:val="0"/>
        <w:widowControl w:val="0"/>
        <w:numPr>
          <w:ilvl w:val="1"/>
          <w:numId w:val="0"/>
        </w:numPr>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该项目的实施有助于直接减轻</w:t>
      </w:r>
      <w:r>
        <w:rPr>
          <w:rFonts w:hint="eastAsia" w:ascii="方正仿宋简体" w:hAnsi="方正仿宋简体" w:eastAsia="方正仿宋简体" w:cs="方正仿宋简体"/>
          <w:sz w:val="32"/>
          <w:szCs w:val="32"/>
          <w:highlight w:val="none"/>
          <w:lang w:val="en-US" w:eastAsia="zh-CN"/>
        </w:rPr>
        <w:t>拆迁</w:t>
      </w:r>
      <w:r>
        <w:rPr>
          <w:rFonts w:hint="eastAsia" w:ascii="方正仿宋简体" w:hAnsi="方正仿宋简体" w:eastAsia="方正仿宋简体" w:cs="方正仿宋简体"/>
          <w:sz w:val="32"/>
          <w:szCs w:val="32"/>
          <w:highlight w:val="none"/>
        </w:rPr>
        <w:t>家庭的经济负担</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lang w:val="en-US" w:eastAsia="zh-CN"/>
        </w:rPr>
        <w:t>对保障拆迁农户</w:t>
      </w:r>
      <w:r>
        <w:rPr>
          <w:rFonts w:hint="eastAsia" w:ascii="方正仿宋简体" w:hAnsi="方正仿宋简体" w:eastAsia="方正仿宋简体" w:cs="方正仿宋简体"/>
          <w:sz w:val="32"/>
          <w:szCs w:val="32"/>
          <w:highlight w:val="none"/>
          <w:lang w:eastAsia="zh-CN"/>
        </w:rPr>
        <w:t>的生活水平有积极影响，能够稳定社区结构，减少因住房问题引发的社会矛盾和不满情绪</w:t>
      </w:r>
      <w:r>
        <w:rPr>
          <w:rFonts w:hint="eastAsia" w:ascii="方正仿宋简体" w:hAnsi="方正仿宋简体" w:eastAsia="方正仿宋简体" w:cs="方正仿宋简体"/>
          <w:sz w:val="32"/>
          <w:szCs w:val="32"/>
          <w:highlight w:val="none"/>
        </w:rPr>
        <w:t>。经评价组事后评价，该项目实施较好，效益发挥良好，绩效等级为“</w:t>
      </w:r>
      <w:r>
        <w:rPr>
          <w:rFonts w:hint="eastAsia" w:ascii="方正仿宋简体" w:hAnsi="方正仿宋简体" w:eastAsia="方正仿宋简体" w:cs="方正仿宋简体"/>
          <w:sz w:val="32"/>
          <w:szCs w:val="32"/>
          <w:highlight w:val="none"/>
          <w:lang w:val="en-US" w:eastAsia="zh-CN"/>
        </w:rPr>
        <w:t>中</w:t>
      </w:r>
      <w:r>
        <w:rPr>
          <w:rFonts w:hint="eastAsia" w:ascii="方正仿宋简体" w:hAnsi="方正仿宋简体" w:eastAsia="方正仿宋简体" w:cs="方正仿宋简体"/>
          <w:sz w:val="32"/>
          <w:szCs w:val="32"/>
          <w:highlight w:val="none"/>
        </w:rPr>
        <w:t>”。秉承科学公正、统筹兼顾、激励约束和公开透明财政绩效原则，</w:t>
      </w:r>
      <w:r>
        <w:rPr>
          <w:rFonts w:hint="eastAsia" w:ascii="方正仿宋简体" w:hAnsi="方正仿宋简体" w:eastAsia="方正仿宋简体" w:cs="方正仿宋简体"/>
          <w:sz w:val="32"/>
          <w:szCs w:val="32"/>
          <w:highlight w:val="none"/>
          <w:lang w:eastAsia="zh-CN"/>
        </w:rPr>
        <w:t>我单位</w:t>
      </w:r>
      <w:r>
        <w:rPr>
          <w:rFonts w:hint="eastAsia" w:ascii="方正仿宋简体" w:hAnsi="方正仿宋简体" w:eastAsia="方正仿宋简体" w:cs="方正仿宋简体"/>
          <w:sz w:val="32"/>
          <w:szCs w:val="32"/>
          <w:highlight w:val="none"/>
        </w:rPr>
        <w:t>建议泸定县财政局针对该类管理，进一步要求</w:t>
      </w:r>
      <w:r>
        <w:rPr>
          <w:rFonts w:hint="eastAsia" w:ascii="方正仿宋简体" w:hAnsi="方正仿宋简体" w:eastAsia="方正仿宋简体" w:cs="方正仿宋简体"/>
          <w:sz w:val="32"/>
          <w:szCs w:val="32"/>
          <w:highlight w:val="none"/>
          <w:lang w:eastAsia="zh-CN"/>
        </w:rPr>
        <w:t>泸定县泸桥镇人民政府</w:t>
      </w:r>
      <w:r>
        <w:rPr>
          <w:rFonts w:hint="eastAsia" w:ascii="方正仿宋简体" w:hAnsi="方正仿宋简体" w:eastAsia="方正仿宋简体" w:cs="方正仿宋简体"/>
          <w:sz w:val="32"/>
          <w:szCs w:val="32"/>
          <w:highlight w:val="none"/>
        </w:rPr>
        <w:t>完善项目</w:t>
      </w:r>
      <w:r>
        <w:rPr>
          <w:rFonts w:hint="eastAsia" w:ascii="方正仿宋简体" w:hAnsi="方正仿宋简体" w:eastAsia="方正仿宋简体" w:cs="方正仿宋简体"/>
          <w:sz w:val="32"/>
          <w:szCs w:val="32"/>
          <w:highlight w:val="none"/>
          <w:lang w:val="en-US" w:eastAsia="zh-CN"/>
        </w:rPr>
        <w:t>档案管理</w:t>
      </w:r>
      <w:r>
        <w:rPr>
          <w:rFonts w:hint="eastAsia" w:ascii="方正仿宋简体" w:hAnsi="方正仿宋简体" w:eastAsia="方正仿宋简体" w:cs="方正仿宋简体"/>
          <w:sz w:val="32"/>
          <w:szCs w:val="32"/>
          <w:highlight w:val="none"/>
        </w:rPr>
        <w:t>，提升项目实施效益。</w:t>
      </w:r>
    </w:p>
    <w:p w14:paraId="52A3932C">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61" w:name="_Toc15733"/>
      <w:r>
        <w:rPr>
          <w:rFonts w:hint="eastAsia" w:ascii="方正黑体简体" w:hAnsi="方正黑体简体" w:eastAsia="方正黑体简体" w:cs="方正黑体简体"/>
          <w:color w:val="000000"/>
          <w:kern w:val="0"/>
          <w:sz w:val="32"/>
          <w:szCs w:val="32"/>
          <w:highlight w:val="none"/>
          <w:shd w:val="clear" w:color="auto" w:fill="FFFFFF"/>
        </w:rPr>
        <w:t>五、绩效评价指标分析</w:t>
      </w:r>
      <w:bookmarkEnd w:id="56"/>
      <w:bookmarkEnd w:id="57"/>
      <w:bookmarkEnd w:id="58"/>
      <w:bookmarkEnd w:id="59"/>
      <w:bookmarkEnd w:id="60"/>
      <w:bookmarkEnd w:id="61"/>
    </w:p>
    <w:bookmarkEnd w:id="3"/>
    <w:p w14:paraId="6851D945">
      <w:pPr>
        <w:keepNext w:val="0"/>
        <w:keepLines w:val="0"/>
        <w:pageBreakBefore w:val="0"/>
        <w:widowControl w:val="0"/>
        <w:numPr>
          <w:ilvl w:val="1"/>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方正楷体简体" w:hAnsi="方正楷体简体" w:eastAsia="方正楷体简体" w:cs="方正楷体简体"/>
          <w:sz w:val="32"/>
          <w:szCs w:val="32"/>
          <w:highlight w:val="none"/>
        </w:rPr>
      </w:pPr>
      <w:bookmarkStart w:id="62" w:name="_Toc12635"/>
      <w:bookmarkStart w:id="63" w:name="_Toc1889406865"/>
      <w:bookmarkStart w:id="64" w:name="_Toc314064335"/>
      <w:bookmarkStart w:id="65" w:name="_Toc31799"/>
      <w:bookmarkStart w:id="66" w:name="_Toc142913852"/>
      <w:bookmarkStart w:id="67" w:name="_Toc26434"/>
      <w:bookmarkStart w:id="68" w:name="_Toc30800"/>
      <w:bookmarkStart w:id="69" w:name="_Toc1409505349"/>
      <w:bookmarkStart w:id="70" w:name="_Toc1228970844"/>
      <w:bookmarkStart w:id="71" w:name="_Toc1568235950"/>
      <w:r>
        <w:rPr>
          <w:rFonts w:hint="eastAsia" w:ascii="方正楷体简体" w:hAnsi="方正楷体简体" w:eastAsia="方正楷体简体" w:cs="方正楷体简体"/>
          <w:sz w:val="32"/>
          <w:szCs w:val="32"/>
          <w:highlight w:val="none"/>
        </w:rPr>
        <w:t>（一）项目</w:t>
      </w:r>
      <w:bookmarkEnd w:id="62"/>
      <w:bookmarkEnd w:id="63"/>
      <w:bookmarkEnd w:id="64"/>
      <w:bookmarkEnd w:id="65"/>
      <w:bookmarkStart w:id="72" w:name="_Toc23796"/>
      <w:r>
        <w:rPr>
          <w:rFonts w:hint="eastAsia" w:ascii="方正楷体简体" w:hAnsi="方正楷体简体" w:eastAsia="方正楷体简体" w:cs="方正楷体简体"/>
          <w:sz w:val="32"/>
          <w:szCs w:val="32"/>
          <w:highlight w:val="none"/>
        </w:rPr>
        <w:t>决策</w:t>
      </w:r>
      <w:bookmarkEnd w:id="66"/>
      <w:bookmarkEnd w:id="67"/>
    </w:p>
    <w:p w14:paraId="2709278D">
      <w:pPr>
        <w:keepNext w:val="0"/>
        <w:keepLines w:val="0"/>
        <w:pageBreakBefore w:val="0"/>
        <w:widowControl w:val="0"/>
        <w:numPr>
          <w:ilvl w:val="1"/>
          <w:numId w:val="0"/>
        </w:numPr>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指标“项目决策”下设三个三级指标分别为：</w:t>
      </w:r>
      <w:bookmarkEnd w:id="72"/>
      <w:r>
        <w:rPr>
          <w:rFonts w:hint="eastAsia" w:ascii="方正仿宋简体" w:hAnsi="方正仿宋简体" w:eastAsia="方正仿宋简体" w:cs="方正仿宋简体"/>
          <w:sz w:val="32"/>
          <w:szCs w:val="32"/>
          <w:highlight w:val="none"/>
        </w:rPr>
        <w:t>立项程序严密性、规划合理性、管理制度完备性。</w:t>
      </w:r>
    </w:p>
    <w:p w14:paraId="253F0CE3">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.立项程序严密性</w:t>
      </w:r>
      <w:bookmarkStart w:id="73" w:name="_Toc18487"/>
    </w:p>
    <w:p w14:paraId="30B0DE8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val="en-US" w:eastAsia="zh-CN"/>
        </w:rPr>
        <w:t>根据</w:t>
      </w:r>
      <w:r>
        <w:rPr>
          <w:rFonts w:hint="eastAsia" w:ascii="方正仿宋简体" w:hAnsi="方正仿宋简体" w:eastAsia="方正仿宋简体" w:cs="方正仿宋简体"/>
          <w:sz w:val="32"/>
          <w:szCs w:val="32"/>
          <w:highlight w:val="none"/>
        </w:rPr>
        <w:t>《泸定县新城建设征收占用土地和房屋拆迁补偿安置的办法》《泸定县人民政府关于印发〈泸定县新城建设征收占用土地和房屋拆迁补偿安置的办法〉的通知》（泸府发〔</w:t>
      </w:r>
      <w:r>
        <w:rPr>
          <w:rFonts w:hint="default" w:ascii="Times New Roman" w:hAnsi="Times New Roman" w:eastAsia="方正仿宋简体" w:cs="Times New Roman"/>
          <w:sz w:val="32"/>
          <w:szCs w:val="32"/>
          <w:highlight w:val="none"/>
        </w:rPr>
        <w:t>2019</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号）等文件，</w:t>
      </w:r>
      <w:r>
        <w:rPr>
          <w:rFonts w:hint="eastAsia" w:ascii="方正仿宋简体" w:hAnsi="方正仿宋简体" w:eastAsia="方正仿宋简体" w:cs="方正仿宋简体"/>
          <w:sz w:val="32"/>
          <w:szCs w:val="32"/>
          <w:highlight w:val="none"/>
          <w:lang w:val="en-US" w:eastAsia="zh-CN"/>
        </w:rPr>
        <w:t>该项目设立经过事前评估</w:t>
      </w:r>
      <w:r>
        <w:rPr>
          <w:rFonts w:hint="eastAsia" w:ascii="方正仿宋简体" w:hAnsi="方正仿宋简体" w:eastAsia="方正仿宋简体" w:cs="方正仿宋简体"/>
          <w:sz w:val="32"/>
          <w:szCs w:val="32"/>
          <w:highlight w:val="none"/>
        </w:rPr>
        <w:t>，项目立项合规合理，实施程序严密，</w:t>
      </w:r>
      <w:r>
        <w:rPr>
          <w:rFonts w:hint="eastAsia" w:ascii="方正仿宋简体" w:hAnsi="方正仿宋简体" w:eastAsia="方正仿宋简体" w:cs="方正仿宋简体"/>
          <w:sz w:val="32"/>
          <w:szCs w:val="32"/>
          <w:highlight w:val="none"/>
          <w:lang w:val="en-US" w:eastAsia="zh-CN"/>
        </w:rPr>
        <w:t>且</w:t>
      </w:r>
      <w:r>
        <w:rPr>
          <w:rFonts w:hint="eastAsia" w:ascii="方正仿宋简体" w:hAnsi="方正仿宋简体" w:eastAsia="方正仿宋简体" w:cs="方正仿宋简体"/>
          <w:sz w:val="32"/>
          <w:szCs w:val="32"/>
          <w:highlight w:val="none"/>
        </w:rPr>
        <w:t>与部门职能职责相符</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lang w:val="en-US" w:eastAsia="zh-CN"/>
        </w:rPr>
        <w:t>未见</w:t>
      </w:r>
      <w:r>
        <w:rPr>
          <w:rFonts w:hint="eastAsia" w:ascii="方正仿宋简体" w:hAnsi="方正仿宋简体" w:eastAsia="方正仿宋简体" w:cs="方正仿宋简体"/>
          <w:sz w:val="32"/>
          <w:szCs w:val="32"/>
          <w:highlight w:val="none"/>
          <w:lang w:eastAsia="zh-CN"/>
        </w:rPr>
        <w:t>与相关部门同类项目或部门内部相关项目重复</w:t>
      </w:r>
      <w:r>
        <w:rPr>
          <w:rFonts w:hint="eastAsia" w:ascii="方正仿宋简体" w:hAnsi="方正仿宋简体" w:eastAsia="方正仿宋简体" w:cs="方正仿宋简体"/>
          <w:sz w:val="32"/>
          <w:szCs w:val="32"/>
          <w:highlight w:val="none"/>
          <w:lang w:val="en-US" w:eastAsia="zh-CN"/>
        </w:rPr>
        <w:t>情况发生</w:t>
      </w:r>
      <w:r>
        <w:rPr>
          <w:rFonts w:hint="eastAsia" w:ascii="方正仿宋简体" w:hAnsi="方正仿宋简体" w:eastAsia="方正仿宋简体" w:cs="方正仿宋简体"/>
          <w:sz w:val="32"/>
          <w:szCs w:val="32"/>
          <w:highlight w:val="none"/>
        </w:rPr>
        <w:t>。</w:t>
      </w:r>
    </w:p>
    <w:bookmarkEnd w:id="73"/>
    <w:p w14:paraId="2D08442D">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rPr>
      </w:pPr>
      <w:bookmarkStart w:id="74" w:name="_Toc4104"/>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bookmarkEnd w:id="74"/>
    </w:p>
    <w:p w14:paraId="312C35D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.规划合理性</w:t>
      </w:r>
    </w:p>
    <w:p w14:paraId="3E20FBF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val="en-US" w:eastAsia="zh-CN"/>
        </w:rPr>
        <w:t>评价组</w:t>
      </w:r>
      <w:r>
        <w:rPr>
          <w:rFonts w:hint="eastAsia" w:ascii="方正仿宋简体" w:hAnsi="方正仿宋简体" w:eastAsia="方正仿宋简体" w:cs="方正仿宋简体"/>
          <w:sz w:val="32"/>
          <w:szCs w:val="32"/>
          <w:highlight w:val="none"/>
        </w:rPr>
        <w:t>查阅了泸桥镇人民政府项目</w:t>
      </w:r>
      <w:r>
        <w:rPr>
          <w:rFonts w:hint="eastAsia" w:ascii="方正仿宋简体" w:hAnsi="方正仿宋简体" w:eastAsia="方正仿宋简体" w:cs="方正仿宋简体"/>
          <w:sz w:val="32"/>
          <w:szCs w:val="32"/>
          <w:highlight w:val="none"/>
          <w:lang w:val="en-US" w:eastAsia="zh-CN"/>
        </w:rPr>
        <w:t>事前</w:t>
      </w:r>
      <w:r>
        <w:rPr>
          <w:rFonts w:hint="eastAsia" w:ascii="方正仿宋简体" w:hAnsi="方正仿宋简体" w:eastAsia="方正仿宋简体" w:cs="方正仿宋简体"/>
          <w:sz w:val="32"/>
          <w:szCs w:val="32"/>
          <w:highlight w:val="none"/>
        </w:rPr>
        <w:t>绩效评估报告和项目绩效目标申报表，泸桥镇人民政府仅以《泸定县人民政府关于印发</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泸定县新城建设征收占用土地和房屋拆迁补偿安置的办法</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的通知》（泸府发〔</w:t>
      </w:r>
      <w:r>
        <w:rPr>
          <w:rFonts w:hint="default" w:ascii="Times New Roman" w:hAnsi="Times New Roman" w:eastAsia="方正仿宋简体" w:cs="Times New Roman"/>
          <w:sz w:val="32"/>
          <w:szCs w:val="32"/>
          <w:highlight w:val="none"/>
        </w:rPr>
        <w:t>2019</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号）等文件要求进行项目资金发放</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无具体的</w:t>
      </w:r>
      <w:r>
        <w:rPr>
          <w:rFonts w:hint="eastAsia" w:ascii="方正仿宋简体" w:hAnsi="方正仿宋简体" w:eastAsia="方正仿宋简体" w:cs="方正仿宋简体"/>
          <w:sz w:val="32"/>
          <w:szCs w:val="32"/>
          <w:highlight w:val="none"/>
          <w:lang w:val="en-US" w:eastAsia="zh-CN"/>
        </w:rPr>
        <w:t>实施</w:t>
      </w:r>
      <w:r>
        <w:rPr>
          <w:rFonts w:hint="eastAsia" w:ascii="方正仿宋简体" w:hAnsi="方正仿宋简体" w:eastAsia="方正仿宋简体" w:cs="方正仿宋简体"/>
          <w:sz w:val="32"/>
          <w:szCs w:val="32"/>
          <w:highlight w:val="none"/>
        </w:rPr>
        <w:t>细则和规划。</w:t>
      </w:r>
    </w:p>
    <w:p w14:paraId="0FB48B26">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1C4ADC1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.管理制度完备性</w:t>
      </w:r>
    </w:p>
    <w:p w14:paraId="2DD2B147">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sz w:val="32"/>
          <w:szCs w:val="32"/>
          <w:highlight w:val="none"/>
        </w:rPr>
        <w:t>泸桥镇人民政府对项目的管理编制了日常管理制度，如《财政收支管理制度》</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采购内控制度</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等，但未对具体项目的管理编制指导意见、实施细则、管理办法等用以明确具体项目实施的控制体系</w:t>
      </w:r>
      <w:r>
        <w:rPr>
          <w:rFonts w:hint="eastAsia" w:ascii="方正仿宋简体" w:hAnsi="方正仿宋简体" w:eastAsia="方正仿宋简体" w:cs="方正仿宋简体"/>
          <w:sz w:val="32"/>
          <w:szCs w:val="32"/>
          <w:highlight w:val="none"/>
          <w:lang w:eastAsia="zh-CN"/>
        </w:rPr>
        <w:t>。</w:t>
      </w:r>
    </w:p>
    <w:p w14:paraId="1CE7DB53">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rPr>
        <w:t>分。</w:t>
      </w:r>
    </w:p>
    <w:p w14:paraId="05D5CAE9">
      <w:pPr>
        <w:keepNext w:val="0"/>
        <w:keepLines w:val="0"/>
        <w:pageBreakBefore w:val="0"/>
        <w:widowControl w:val="0"/>
        <w:numPr>
          <w:ilvl w:val="1"/>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方正楷体简体" w:hAnsi="方正楷体简体" w:eastAsia="方正楷体简体" w:cs="方正楷体简体"/>
          <w:sz w:val="32"/>
          <w:szCs w:val="32"/>
          <w:highlight w:val="none"/>
        </w:rPr>
      </w:pPr>
      <w:bookmarkStart w:id="75" w:name="_Toc1541608668"/>
      <w:bookmarkStart w:id="76" w:name="_Toc31125"/>
      <w:bookmarkStart w:id="77" w:name="_Toc32247"/>
      <w:bookmarkStart w:id="78" w:name="_Toc88957765"/>
      <w:bookmarkStart w:id="79" w:name="_Toc32636"/>
      <w:bookmarkStart w:id="80" w:name="_Toc14016"/>
      <w:bookmarkStart w:id="81" w:name="_Toc10621"/>
      <w:bookmarkStart w:id="82" w:name="_Toc142913853"/>
      <w:bookmarkStart w:id="83" w:name="_Toc319507675_WPSOffice_Level3"/>
      <w:r>
        <w:rPr>
          <w:rFonts w:hint="eastAsia" w:ascii="方正楷体简体" w:hAnsi="方正楷体简体" w:eastAsia="方正楷体简体" w:cs="方正楷体简体"/>
          <w:sz w:val="32"/>
          <w:szCs w:val="32"/>
          <w:highlight w:val="none"/>
        </w:rPr>
        <w:t>（二）</w:t>
      </w:r>
      <w:bookmarkEnd w:id="75"/>
      <w:bookmarkEnd w:id="76"/>
      <w:bookmarkEnd w:id="77"/>
      <w:bookmarkEnd w:id="78"/>
      <w:bookmarkEnd w:id="79"/>
      <w:bookmarkEnd w:id="80"/>
      <w:r>
        <w:rPr>
          <w:rFonts w:hint="eastAsia" w:ascii="方正楷体简体" w:hAnsi="方正楷体简体" w:eastAsia="方正楷体简体" w:cs="方正楷体简体"/>
          <w:sz w:val="32"/>
          <w:szCs w:val="32"/>
          <w:highlight w:val="none"/>
        </w:rPr>
        <w:t>项目实施</w:t>
      </w:r>
      <w:bookmarkEnd w:id="81"/>
      <w:bookmarkEnd w:id="82"/>
    </w:p>
    <w:p w14:paraId="75D5F241">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rPr>
      </w:pPr>
      <w:bookmarkStart w:id="84" w:name="_Toc4448"/>
      <w:r>
        <w:rPr>
          <w:rFonts w:hint="eastAsia" w:ascii="方正仿宋简体" w:hAnsi="方正仿宋简体" w:eastAsia="方正仿宋简体" w:cs="方正仿宋简体"/>
          <w:sz w:val="32"/>
          <w:szCs w:val="32"/>
          <w:highlight w:val="none"/>
        </w:rPr>
        <w:t>指标“项目实施”下设三个三级指标分别为：资金分配合理性、资金使用合规性、项目执行有效性。</w:t>
      </w:r>
      <w:bookmarkEnd w:id="84"/>
    </w:p>
    <w:p w14:paraId="2BBBAEDC">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.资金分配合理性</w:t>
      </w:r>
    </w:p>
    <w:p w14:paraId="5A300284">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泸定县泸桥镇人民政府</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新城临时过渡安置租房补助”预算安排资金</w:t>
      </w:r>
      <w:r>
        <w:rPr>
          <w:rFonts w:hint="default" w:ascii="Times New Roman" w:hAnsi="Times New Roman" w:eastAsia="方正仿宋简体" w:cs="Times New Roman"/>
          <w:sz w:val="32"/>
          <w:szCs w:val="32"/>
          <w:highlight w:val="none"/>
        </w:rPr>
        <w:t>996</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80</w:t>
      </w:r>
      <w:r>
        <w:rPr>
          <w:rFonts w:hint="eastAsia" w:ascii="方正仿宋简体" w:hAnsi="方正仿宋简体" w:eastAsia="方正仿宋简体" w:cs="方正仿宋简体"/>
          <w:sz w:val="32"/>
          <w:szCs w:val="32"/>
          <w:highlight w:val="none"/>
        </w:rPr>
        <w:t>万元，实际执行</w:t>
      </w:r>
      <w:r>
        <w:rPr>
          <w:rFonts w:hint="default" w:ascii="Times New Roman" w:hAnsi="Times New Roman" w:eastAsia="方正仿宋简体" w:cs="Times New Roman"/>
          <w:sz w:val="32"/>
          <w:szCs w:val="32"/>
          <w:highlight w:val="none"/>
        </w:rPr>
        <w:t>996</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80</w:t>
      </w:r>
      <w:r>
        <w:rPr>
          <w:rFonts w:hint="eastAsia" w:ascii="方正仿宋简体" w:hAnsi="方正仿宋简体" w:eastAsia="方正仿宋简体" w:cs="方正仿宋简体"/>
          <w:sz w:val="32"/>
          <w:szCs w:val="32"/>
          <w:highlight w:val="none"/>
        </w:rPr>
        <w:t>万元，资金分配按照计划及时划拨和支付，无超时情况，分配依据充分。</w:t>
      </w:r>
    </w:p>
    <w:p w14:paraId="7EDD5E9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0D81A7A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.资金使用合规性</w:t>
      </w:r>
    </w:p>
    <w:p w14:paraId="6D7024C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泸定县泸桥镇人民政府在使用本项目资金时，严格按照国家财经法规和财务管理制度及有关专项资金管理办法规定执行；资金拨付均有完整的审批程序和手续；相关资金使用符合项目预算批复或合同规定用途；不存在截留、挤占、挪用、虚列支出等情况</w:t>
      </w:r>
    </w:p>
    <w:p w14:paraId="669215F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0D6076F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.项目执行有效性</w:t>
      </w:r>
    </w:p>
    <w:p w14:paraId="48C0FFAE">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rPr>
      </w:pPr>
      <w:bookmarkStart w:id="85" w:name="_Toc1369"/>
      <w:r>
        <w:rPr>
          <w:rFonts w:hint="eastAsia" w:ascii="方正仿宋简体" w:hAnsi="方正仿宋简体" w:eastAsia="方正仿宋简体" w:cs="方正仿宋简体"/>
          <w:sz w:val="32"/>
          <w:szCs w:val="32"/>
          <w:highlight w:val="none"/>
        </w:rPr>
        <w:t>泸定县泸桥镇人民政府对项目管理依照《关于印发〈泸定新城建设征收占用土地和房屋拆迁补偿安置办法〉的通知》（泸府发〔</w:t>
      </w:r>
      <w:r>
        <w:rPr>
          <w:rFonts w:hint="default" w:ascii="Times New Roman" w:hAnsi="Times New Roman" w:eastAsia="方正仿宋简体" w:cs="Times New Roman"/>
          <w:sz w:val="32"/>
          <w:szCs w:val="32"/>
          <w:highlight w:val="none"/>
        </w:rPr>
        <w:t>2019</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号）、《泸桥镇人民政府项目管理制度》和《泸桥镇人民政府收支管理制度》执行，通过检查项目实施过程资料，泸桥镇人民政府按照要求对发放明细进行公示，公示无异议后进行发放，</w:t>
      </w:r>
      <w:r>
        <w:rPr>
          <w:rFonts w:hint="eastAsia" w:ascii="方正仿宋简体" w:hAnsi="方正仿宋简体" w:eastAsia="方正仿宋简体" w:cs="方正仿宋简体"/>
          <w:sz w:val="32"/>
          <w:szCs w:val="32"/>
          <w:highlight w:val="none"/>
          <w:lang w:val="en-US" w:eastAsia="zh-CN"/>
        </w:rPr>
        <w:t>但</w:t>
      </w:r>
      <w:r>
        <w:rPr>
          <w:rFonts w:hint="eastAsia" w:ascii="方正仿宋简体" w:hAnsi="方正仿宋简体" w:eastAsia="方正仿宋简体" w:cs="方正仿宋简体"/>
          <w:sz w:val="32"/>
          <w:szCs w:val="32"/>
          <w:highlight w:val="none"/>
        </w:rPr>
        <w:t>未针对项目执行结果进行验收，相关资料未按照档案管理制度进行归档管理。</w:t>
      </w:r>
    </w:p>
    <w:p w14:paraId="2F1D8C28">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bookmarkEnd w:id="85"/>
    </w:p>
    <w:p w14:paraId="1B969B1F">
      <w:pPr>
        <w:keepNext w:val="0"/>
        <w:keepLines w:val="0"/>
        <w:pageBreakBefore w:val="0"/>
        <w:widowControl w:val="0"/>
        <w:numPr>
          <w:ilvl w:val="1"/>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方正楷体简体" w:hAnsi="方正楷体简体" w:eastAsia="方正楷体简体" w:cs="方正楷体简体"/>
          <w:sz w:val="32"/>
          <w:szCs w:val="32"/>
          <w:highlight w:val="none"/>
        </w:rPr>
      </w:pPr>
      <w:bookmarkStart w:id="86" w:name="_Toc32069"/>
      <w:bookmarkStart w:id="87" w:name="_Toc2043726100"/>
      <w:bookmarkStart w:id="88" w:name="_Toc16444"/>
      <w:bookmarkStart w:id="89" w:name="_Toc1142577582"/>
      <w:bookmarkStart w:id="90" w:name="_Toc142913854"/>
      <w:bookmarkStart w:id="91" w:name="_Toc4508"/>
      <w:r>
        <w:rPr>
          <w:rFonts w:hint="eastAsia" w:ascii="方正楷体简体" w:hAnsi="方正楷体简体" w:eastAsia="方正楷体简体" w:cs="方正楷体简体"/>
          <w:sz w:val="32"/>
          <w:szCs w:val="32"/>
          <w:highlight w:val="none"/>
        </w:rPr>
        <w:t>（三）</w:t>
      </w:r>
      <w:bookmarkEnd w:id="86"/>
      <w:bookmarkEnd w:id="87"/>
      <w:bookmarkEnd w:id="88"/>
      <w:bookmarkEnd w:id="89"/>
      <w:r>
        <w:rPr>
          <w:rFonts w:hint="eastAsia" w:ascii="方正楷体简体" w:hAnsi="方正楷体简体" w:eastAsia="方正楷体简体" w:cs="方正楷体简体"/>
          <w:sz w:val="32"/>
          <w:szCs w:val="32"/>
          <w:highlight w:val="none"/>
        </w:rPr>
        <w:t>完成结果</w:t>
      </w:r>
      <w:bookmarkEnd w:id="90"/>
      <w:bookmarkEnd w:id="91"/>
    </w:p>
    <w:p w14:paraId="7BC9BDC3">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rPr>
      </w:pPr>
      <w:bookmarkStart w:id="92" w:name="_Toc1661"/>
      <w:r>
        <w:rPr>
          <w:rFonts w:hint="eastAsia" w:ascii="方正仿宋简体" w:hAnsi="方正仿宋简体" w:eastAsia="方正仿宋简体" w:cs="方正仿宋简体"/>
          <w:sz w:val="32"/>
          <w:szCs w:val="32"/>
          <w:highlight w:val="none"/>
        </w:rPr>
        <w:t>指标“完成结果”下设四个三级指标分别为：预算完成率、目标完成率、</w:t>
      </w:r>
      <w:bookmarkStart w:id="93" w:name="_Hlk142494591"/>
      <w:r>
        <w:rPr>
          <w:rFonts w:hint="eastAsia" w:ascii="方正仿宋简体" w:hAnsi="方正仿宋简体" w:eastAsia="方正仿宋简体" w:cs="方正仿宋简体"/>
          <w:sz w:val="32"/>
          <w:szCs w:val="32"/>
          <w:highlight w:val="none"/>
        </w:rPr>
        <w:t>完成</w:t>
      </w:r>
      <w:bookmarkEnd w:id="93"/>
      <w:r>
        <w:rPr>
          <w:rFonts w:hint="eastAsia" w:ascii="方正仿宋简体" w:hAnsi="方正仿宋简体" w:eastAsia="方正仿宋简体" w:cs="方正仿宋简体"/>
          <w:sz w:val="32"/>
          <w:szCs w:val="32"/>
          <w:highlight w:val="none"/>
        </w:rPr>
        <w:t>及时率、违规记录。</w:t>
      </w:r>
      <w:bookmarkEnd w:id="92"/>
    </w:p>
    <w:p w14:paraId="0581E95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.预算完成率</w:t>
      </w:r>
    </w:p>
    <w:p w14:paraId="63E0651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本项目应到位资金</w:t>
      </w:r>
      <w:r>
        <w:rPr>
          <w:rFonts w:hint="default" w:ascii="Times New Roman" w:hAnsi="Times New Roman" w:eastAsia="方正仿宋简体" w:cs="Times New Roman"/>
          <w:sz w:val="32"/>
          <w:szCs w:val="32"/>
          <w:highlight w:val="none"/>
        </w:rPr>
        <w:t>996</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80</w:t>
      </w:r>
      <w:r>
        <w:rPr>
          <w:rFonts w:hint="eastAsia" w:ascii="方正仿宋简体" w:hAnsi="方正仿宋简体" w:eastAsia="方正仿宋简体" w:cs="方正仿宋简体"/>
          <w:sz w:val="32"/>
          <w:szCs w:val="32"/>
          <w:highlight w:val="none"/>
        </w:rPr>
        <w:t>万元，实际到位可使用资金</w:t>
      </w:r>
      <w:r>
        <w:rPr>
          <w:rFonts w:hint="default" w:ascii="Times New Roman" w:hAnsi="Times New Roman" w:eastAsia="方正仿宋简体" w:cs="Times New Roman"/>
          <w:sz w:val="32"/>
          <w:szCs w:val="32"/>
          <w:highlight w:val="none"/>
        </w:rPr>
        <w:t>996</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80</w:t>
      </w:r>
      <w:r>
        <w:rPr>
          <w:rFonts w:hint="eastAsia" w:ascii="方正仿宋简体" w:hAnsi="方正仿宋简体" w:eastAsia="方正仿宋简体" w:cs="方正仿宋简体"/>
          <w:sz w:val="32"/>
          <w:szCs w:val="32"/>
          <w:highlight w:val="none"/>
        </w:rPr>
        <w:t>万元，</w:t>
      </w:r>
      <w:r>
        <w:rPr>
          <w:rFonts w:hint="eastAsia" w:ascii="方正仿宋简体" w:hAnsi="方正仿宋简体" w:eastAsia="方正仿宋简体" w:cs="方正仿宋简体"/>
          <w:sz w:val="32"/>
          <w:szCs w:val="32"/>
          <w:highlight w:val="none"/>
          <w:lang w:val="en-US" w:eastAsia="zh-CN"/>
        </w:rPr>
        <w:t>预算资金到位率</w:t>
      </w:r>
      <w:r>
        <w:rPr>
          <w:rFonts w:hint="default" w:ascii="Times New Roman" w:hAnsi="Times New Roman" w:eastAsia="方正仿宋简体" w:cs="Times New Roman"/>
          <w:sz w:val="32"/>
          <w:szCs w:val="32"/>
          <w:highlight w:val="none"/>
          <w:lang w:val="en-US" w:eastAsia="zh-CN"/>
        </w:rPr>
        <w:t>100</w:t>
      </w:r>
      <w:r>
        <w:rPr>
          <w:rFonts w:hint="eastAsia" w:ascii="方正仿宋简体" w:hAnsi="方正仿宋简体" w:eastAsia="方正仿宋简体" w:cs="方正仿宋简体"/>
          <w:sz w:val="32"/>
          <w:szCs w:val="32"/>
          <w:highlight w:val="none"/>
          <w:lang w:val="en-US" w:eastAsia="zh-CN"/>
        </w:rPr>
        <w:t>%；截至</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w:t>
      </w:r>
      <w:r>
        <w:rPr>
          <w:rFonts w:hint="default" w:ascii="Times New Roman" w:hAnsi="Times New Roman" w:eastAsia="方正仿宋简体" w:cs="Times New Roman"/>
          <w:sz w:val="32"/>
          <w:szCs w:val="32"/>
          <w:highlight w:val="none"/>
        </w:rPr>
        <w:t>12</w:t>
      </w:r>
      <w:r>
        <w:rPr>
          <w:rFonts w:hint="eastAsia" w:ascii="方正仿宋简体" w:hAnsi="方正仿宋简体" w:eastAsia="方正仿宋简体" w:cs="方正仿宋简体"/>
          <w:sz w:val="32"/>
          <w:szCs w:val="32"/>
          <w:highlight w:val="none"/>
        </w:rPr>
        <w:t>月已全部支付，</w:t>
      </w:r>
      <w:r>
        <w:rPr>
          <w:rFonts w:hint="eastAsia" w:ascii="方正仿宋简体" w:hAnsi="方正仿宋简体" w:eastAsia="方正仿宋简体" w:cs="方正仿宋简体"/>
          <w:sz w:val="32"/>
          <w:szCs w:val="32"/>
          <w:highlight w:val="none"/>
          <w:lang w:val="en-US" w:eastAsia="zh-CN"/>
        </w:rPr>
        <w:t>预算</w:t>
      </w:r>
      <w:r>
        <w:rPr>
          <w:rFonts w:hint="eastAsia" w:ascii="方正仿宋简体" w:hAnsi="方正仿宋简体" w:eastAsia="方正仿宋简体" w:cs="方正仿宋简体"/>
          <w:sz w:val="32"/>
          <w:szCs w:val="32"/>
          <w:highlight w:val="none"/>
        </w:rPr>
        <w:t>资金完成率</w:t>
      </w:r>
      <w:r>
        <w:rPr>
          <w:rFonts w:hint="default" w:ascii="Times New Roman" w:hAnsi="Times New Roman" w:eastAsia="方正仿宋简体" w:cs="Times New Roman"/>
          <w:sz w:val="32"/>
          <w:szCs w:val="32"/>
          <w:highlight w:val="none"/>
        </w:rPr>
        <w:t>100</w:t>
      </w:r>
      <w:r>
        <w:rPr>
          <w:rFonts w:hint="eastAsia" w:ascii="方正仿宋简体" w:hAnsi="方正仿宋简体" w:eastAsia="方正仿宋简体" w:cs="方正仿宋简体"/>
          <w:sz w:val="32"/>
          <w:szCs w:val="32"/>
          <w:highlight w:val="none"/>
        </w:rPr>
        <w:t>%。</w:t>
      </w:r>
    </w:p>
    <w:p w14:paraId="329445E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7D4AA17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.目标完成率</w:t>
      </w:r>
    </w:p>
    <w:p w14:paraId="3321E17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根据泸定县泸桥镇人民政府“泸定新城临时过渡安置租房补助项目”绩效申报表显示：补助户数</w:t>
      </w:r>
      <w:r>
        <w:rPr>
          <w:rFonts w:hint="default" w:ascii="Times New Roman" w:hAnsi="Times New Roman" w:eastAsia="方正仿宋简体" w:cs="Times New Roman"/>
          <w:sz w:val="32"/>
          <w:szCs w:val="32"/>
          <w:highlight w:val="none"/>
        </w:rPr>
        <w:t>737</w:t>
      </w:r>
      <w:r>
        <w:rPr>
          <w:rFonts w:hint="eastAsia" w:ascii="方正仿宋简体" w:hAnsi="方正仿宋简体" w:eastAsia="方正仿宋简体" w:cs="方正仿宋简体"/>
          <w:sz w:val="32"/>
          <w:szCs w:val="32"/>
          <w:highlight w:val="none"/>
        </w:rPr>
        <w:t>户，补助人数</w:t>
      </w:r>
      <w:r>
        <w:rPr>
          <w:rFonts w:hint="default" w:ascii="Times New Roman" w:hAnsi="Times New Roman" w:eastAsia="方正仿宋简体" w:cs="Times New Roman"/>
          <w:sz w:val="32"/>
          <w:szCs w:val="32"/>
          <w:highlight w:val="none"/>
        </w:rPr>
        <w:t>1968</w:t>
      </w:r>
      <w:r>
        <w:rPr>
          <w:rFonts w:hint="eastAsia" w:ascii="方正仿宋简体" w:hAnsi="方正仿宋简体" w:eastAsia="方正仿宋简体" w:cs="方正仿宋简体"/>
          <w:sz w:val="32"/>
          <w:szCs w:val="32"/>
          <w:highlight w:val="none"/>
        </w:rPr>
        <w:t>人，</w:t>
      </w:r>
      <w:r>
        <w:rPr>
          <w:rFonts w:hint="eastAsia" w:ascii="方正仿宋简体" w:hAnsi="方正仿宋简体" w:eastAsia="方正仿宋简体" w:cs="方正仿宋简体"/>
          <w:sz w:val="32"/>
          <w:szCs w:val="32"/>
          <w:highlight w:val="none"/>
          <w:lang w:val="en-US" w:eastAsia="zh-CN"/>
        </w:rPr>
        <w:t>通过查看相关资料核实</w:t>
      </w:r>
      <w:r>
        <w:rPr>
          <w:rFonts w:hint="eastAsia" w:ascii="方正仿宋简体" w:hAnsi="方正仿宋简体" w:eastAsia="方正仿宋简体" w:cs="方正仿宋简体"/>
          <w:sz w:val="32"/>
          <w:szCs w:val="32"/>
          <w:highlight w:val="none"/>
        </w:rPr>
        <w:t>已完成补助户数</w:t>
      </w:r>
      <w:r>
        <w:rPr>
          <w:rFonts w:hint="default" w:ascii="Times New Roman" w:hAnsi="Times New Roman" w:eastAsia="方正仿宋简体" w:cs="Times New Roman"/>
          <w:sz w:val="32"/>
          <w:szCs w:val="32"/>
          <w:highlight w:val="none"/>
        </w:rPr>
        <w:t>737</w:t>
      </w:r>
      <w:r>
        <w:rPr>
          <w:rFonts w:hint="eastAsia" w:ascii="方正仿宋简体" w:hAnsi="方正仿宋简体" w:eastAsia="方正仿宋简体" w:cs="方正仿宋简体"/>
          <w:sz w:val="32"/>
          <w:szCs w:val="32"/>
          <w:highlight w:val="none"/>
        </w:rPr>
        <w:t>户，补助人数</w:t>
      </w:r>
      <w:r>
        <w:rPr>
          <w:rFonts w:hint="default" w:ascii="Times New Roman" w:hAnsi="Times New Roman" w:eastAsia="方正仿宋简体" w:cs="Times New Roman"/>
          <w:sz w:val="32"/>
          <w:szCs w:val="32"/>
          <w:highlight w:val="none"/>
        </w:rPr>
        <w:t>1968</w:t>
      </w:r>
      <w:r>
        <w:rPr>
          <w:rFonts w:hint="eastAsia" w:ascii="方正仿宋简体" w:hAnsi="方正仿宋简体" w:eastAsia="方正仿宋简体" w:cs="方正仿宋简体"/>
          <w:sz w:val="32"/>
          <w:szCs w:val="32"/>
          <w:highlight w:val="none"/>
        </w:rPr>
        <w:t>人。</w:t>
      </w:r>
    </w:p>
    <w:p w14:paraId="35D3A71D">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13BEDA4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.完成及时率</w:t>
      </w:r>
    </w:p>
    <w:p w14:paraId="1BC9A2D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val="en-US" w:eastAsia="zh-CN"/>
        </w:rPr>
        <w:t>本项目于</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w:t>
      </w:r>
      <w:r>
        <w:rPr>
          <w:rFonts w:hint="default" w:ascii="Times New Roman" w:hAnsi="Times New Roman" w:eastAsia="方正仿宋简体" w:cs="Times New Roman"/>
          <w:sz w:val="32"/>
          <w:szCs w:val="32"/>
          <w:highlight w:val="none"/>
          <w:lang w:val="en-US" w:eastAsia="zh-CN"/>
        </w:rPr>
        <w:t>12</w:t>
      </w:r>
      <w:r>
        <w:rPr>
          <w:rFonts w:hint="eastAsia" w:ascii="方正仿宋简体" w:hAnsi="方正仿宋简体" w:eastAsia="方正仿宋简体" w:cs="方正仿宋简体"/>
          <w:sz w:val="32"/>
          <w:szCs w:val="32"/>
          <w:highlight w:val="none"/>
          <w:lang w:val="en-US" w:eastAsia="zh-CN"/>
        </w:rPr>
        <w:t>月全部完成兑现支付，期间无遗漏发放，但</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年发放补贴为</w:t>
      </w:r>
      <w:r>
        <w:rPr>
          <w:rFonts w:hint="default" w:ascii="Times New Roman" w:hAnsi="Times New Roman" w:eastAsia="方正仿宋简体" w:cs="Times New Roman"/>
          <w:sz w:val="32"/>
          <w:szCs w:val="32"/>
          <w:highlight w:val="none"/>
          <w:lang w:val="en-US" w:eastAsia="zh-CN"/>
        </w:rPr>
        <w:t>2022</w:t>
      </w:r>
      <w:r>
        <w:rPr>
          <w:rFonts w:hint="eastAsia" w:ascii="方正仿宋简体" w:hAnsi="方正仿宋简体" w:eastAsia="方正仿宋简体" w:cs="方正仿宋简体"/>
          <w:sz w:val="32"/>
          <w:szCs w:val="32"/>
          <w:highlight w:val="none"/>
          <w:lang w:val="en-US" w:eastAsia="zh-CN"/>
        </w:rPr>
        <w:t>年度应发补贴，补贴发放时间跨期近</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个年度，扣除</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r>
        <w:rPr>
          <w:rFonts w:hint="eastAsia" w:ascii="方正仿宋简体" w:hAnsi="方正仿宋简体" w:eastAsia="方正仿宋简体" w:cs="方正仿宋简体"/>
          <w:sz w:val="32"/>
          <w:szCs w:val="32"/>
          <w:highlight w:val="none"/>
        </w:rPr>
        <w:t>。</w:t>
      </w:r>
    </w:p>
    <w:p w14:paraId="217947BC">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44C1B62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.违规记录</w:t>
      </w:r>
    </w:p>
    <w:p w14:paraId="56762BF1">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项目在实施期间未被审计监督、财政检查，项目在实施过程中也未出现重大违规情况，现场无违规记录存在，未出现违背财经法规、国家相关法律法规的情况。</w:t>
      </w:r>
    </w:p>
    <w:p w14:paraId="0E80AFB8">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79E1E049">
      <w:pPr>
        <w:keepNext w:val="0"/>
        <w:keepLines w:val="0"/>
        <w:pageBreakBefore w:val="0"/>
        <w:widowControl w:val="0"/>
        <w:numPr>
          <w:ilvl w:val="1"/>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方正楷体简体" w:hAnsi="方正楷体简体" w:eastAsia="方正楷体简体" w:cs="方正楷体简体"/>
          <w:sz w:val="32"/>
          <w:szCs w:val="32"/>
          <w:highlight w:val="none"/>
        </w:rPr>
      </w:pPr>
      <w:bookmarkStart w:id="94" w:name="_Toc1234034413"/>
      <w:bookmarkStart w:id="95" w:name="_Toc1057408103"/>
      <w:bookmarkStart w:id="96" w:name="_Toc17339"/>
      <w:bookmarkStart w:id="97" w:name="_Toc142913855"/>
      <w:r>
        <w:rPr>
          <w:rFonts w:hint="eastAsia" w:ascii="方正楷体简体" w:hAnsi="方正楷体简体" w:eastAsia="方正楷体简体" w:cs="方正楷体简体"/>
          <w:sz w:val="32"/>
          <w:szCs w:val="32"/>
          <w:highlight w:val="none"/>
        </w:rPr>
        <w:t>（四）</w:t>
      </w:r>
      <w:bookmarkEnd w:id="94"/>
      <w:bookmarkEnd w:id="95"/>
      <w:r>
        <w:rPr>
          <w:rFonts w:hint="eastAsia" w:ascii="方正楷体简体" w:hAnsi="方正楷体简体" w:eastAsia="方正楷体简体" w:cs="方正楷体简体"/>
          <w:sz w:val="32"/>
          <w:szCs w:val="32"/>
          <w:highlight w:val="none"/>
        </w:rPr>
        <w:t>项目效果</w:t>
      </w:r>
      <w:bookmarkEnd w:id="96"/>
      <w:bookmarkEnd w:id="97"/>
    </w:p>
    <w:p w14:paraId="6966446E">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rPr>
      </w:pPr>
      <w:bookmarkStart w:id="98" w:name="_Toc16730"/>
      <w:r>
        <w:rPr>
          <w:rFonts w:hint="eastAsia" w:ascii="方正仿宋简体" w:hAnsi="方正仿宋简体" w:eastAsia="方正仿宋简体" w:cs="方正仿宋简体"/>
          <w:sz w:val="32"/>
          <w:szCs w:val="32"/>
          <w:highlight w:val="none"/>
        </w:rPr>
        <w:t>指标“项目效果”下设两个二级指标分别为：</w:t>
      </w:r>
      <w:bookmarkEnd w:id="98"/>
      <w:r>
        <w:rPr>
          <w:rFonts w:hint="eastAsia" w:ascii="方正仿宋简体" w:hAnsi="方正仿宋简体" w:eastAsia="方正仿宋简体" w:cs="方正仿宋简体"/>
          <w:sz w:val="32"/>
          <w:szCs w:val="32"/>
          <w:highlight w:val="none"/>
          <w:lang w:val="en-US" w:eastAsia="zh-CN"/>
        </w:rPr>
        <w:t>区域均衡性</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对象公平性</w:t>
      </w:r>
      <w:r>
        <w:rPr>
          <w:rFonts w:hint="eastAsia" w:ascii="方正仿宋简体" w:hAnsi="方正仿宋简体" w:eastAsia="方正仿宋简体" w:cs="方正仿宋简体"/>
          <w:sz w:val="32"/>
          <w:szCs w:val="32"/>
          <w:highlight w:val="none"/>
        </w:rPr>
        <w:t>。</w:t>
      </w:r>
    </w:p>
    <w:p w14:paraId="135C302B">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区域均衡性</w:t>
      </w:r>
    </w:p>
    <w:p w14:paraId="52B08CEE">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泸桥镇人民政府根据相关政策文件具体实施本项目并发放补助，按实际分配结果选择客观因素测算验证资金分配方法制定、分配要素设定、基础数据应用、测算依据选取等科学合理。</w:t>
      </w:r>
    </w:p>
    <w:p w14:paraId="5A1B5FD9">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6738FC6B">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对象公平性</w:t>
      </w:r>
    </w:p>
    <w:p w14:paraId="103886FD">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val="en-US" w:eastAsia="zh-CN"/>
        </w:rPr>
        <w:t>泸</w:t>
      </w:r>
      <w:r>
        <w:rPr>
          <w:rFonts w:hint="eastAsia" w:ascii="方正仿宋简体" w:hAnsi="方正仿宋简体" w:eastAsia="方正仿宋简体" w:cs="方正仿宋简体"/>
          <w:sz w:val="32"/>
          <w:szCs w:val="32"/>
          <w:highlight w:val="none"/>
        </w:rPr>
        <w:t>桥镇人民政府在实施本项目时，资金分配和实施结果体现了公平公正性，在支持范围、标准、程序上不存在明显的排他性和歧视性规定，做到大多数和少数的协调统一，统筹兼顾，在补偿发放前，泸定县泸桥镇人民政府在项目所在村组公示栏进行了公示，公示期间，未收到相关投诉举报信息，项目资金分配结果公平合理。</w:t>
      </w:r>
    </w:p>
    <w:p w14:paraId="639F63E3">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bookmarkEnd w:id="83"/>
    <w:p w14:paraId="4DE93D93">
      <w:pPr>
        <w:keepNext w:val="0"/>
        <w:keepLines w:val="0"/>
        <w:pageBreakBefore w:val="0"/>
        <w:widowControl w:val="0"/>
        <w:numPr>
          <w:ilvl w:val="1"/>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方正楷体简体" w:hAnsi="方正楷体简体" w:eastAsia="方正楷体简体" w:cs="方正楷体简体"/>
          <w:sz w:val="32"/>
          <w:szCs w:val="32"/>
          <w:highlight w:val="none"/>
        </w:rPr>
      </w:pPr>
      <w:bookmarkStart w:id="99" w:name="_Toc1710821527"/>
      <w:bookmarkStart w:id="100" w:name="_Toc2072298162"/>
      <w:bookmarkStart w:id="101" w:name="_Toc142913856"/>
      <w:bookmarkStart w:id="102" w:name="_Toc18712"/>
      <w:r>
        <w:rPr>
          <w:rFonts w:hint="eastAsia" w:ascii="方正楷体简体" w:hAnsi="方正楷体简体" w:eastAsia="方正楷体简体" w:cs="方正楷体简体"/>
          <w:sz w:val="32"/>
          <w:szCs w:val="32"/>
          <w:highlight w:val="none"/>
        </w:rPr>
        <w:t>（五）</w:t>
      </w:r>
      <w:bookmarkEnd w:id="99"/>
      <w:bookmarkEnd w:id="100"/>
      <w:bookmarkEnd w:id="101"/>
      <w:r>
        <w:rPr>
          <w:rFonts w:hint="eastAsia" w:ascii="方正楷体简体" w:hAnsi="方正楷体简体" w:eastAsia="方正楷体简体" w:cs="方正楷体简体"/>
          <w:sz w:val="32"/>
          <w:szCs w:val="32"/>
          <w:highlight w:val="none"/>
        </w:rPr>
        <w:t>基础管理</w:t>
      </w:r>
      <w:bookmarkEnd w:id="102"/>
    </w:p>
    <w:p w14:paraId="07EC1B7B">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指标“基础管理”下设一个二级指标：</w:t>
      </w:r>
      <w:r>
        <w:rPr>
          <w:rFonts w:hint="eastAsia" w:ascii="方正仿宋简体" w:hAnsi="方正仿宋简体" w:eastAsia="方正仿宋简体" w:cs="方正仿宋简体"/>
          <w:sz w:val="32"/>
          <w:szCs w:val="32"/>
          <w:highlight w:val="none"/>
          <w:lang w:val="en-US" w:eastAsia="zh-CN"/>
        </w:rPr>
        <w:t>审核把关</w:t>
      </w:r>
      <w:r>
        <w:rPr>
          <w:rFonts w:hint="eastAsia" w:ascii="方正仿宋简体" w:hAnsi="方正仿宋简体" w:eastAsia="方正仿宋简体" w:cs="方正仿宋简体"/>
          <w:sz w:val="32"/>
          <w:szCs w:val="32"/>
          <w:highlight w:val="none"/>
        </w:rPr>
        <w:t>。</w:t>
      </w:r>
    </w:p>
    <w:p w14:paraId="07E6E074">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经查看项目受益人群的精准性和客观性，不存在因制度机制缺陷或管理疏漏导致审核把关不严的情况</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lang w:val="en-US" w:eastAsia="zh-CN"/>
        </w:rPr>
        <w:t>但根据调查问卷显示项目覆盖范围满意度为</w:t>
      </w:r>
      <w:r>
        <w:rPr>
          <w:rFonts w:hint="default" w:ascii="Times New Roman" w:hAnsi="Times New Roman" w:eastAsia="方正仿宋简体" w:cs="Times New Roman"/>
          <w:sz w:val="32"/>
          <w:szCs w:val="32"/>
          <w:highlight w:val="none"/>
          <w:lang w:val="en-US" w:eastAsia="zh-CN"/>
        </w:rPr>
        <w:t>82</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34</w:t>
      </w:r>
      <w:r>
        <w:rPr>
          <w:rFonts w:hint="eastAsia" w:ascii="方正仿宋简体" w:hAnsi="方正仿宋简体" w:eastAsia="方正仿宋简体" w:cs="方正仿宋简体"/>
          <w:sz w:val="32"/>
          <w:szCs w:val="32"/>
          <w:highlight w:val="none"/>
          <w:lang w:val="en-US" w:eastAsia="zh-CN"/>
        </w:rPr>
        <w:t>%，存在项目覆盖不足的地方，体现了泸定县泸桥镇人民政府在项目实施管理过程中的审核把关问题，按满意度比值扣除</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77</w:t>
      </w:r>
      <w:r>
        <w:rPr>
          <w:rFonts w:hint="eastAsia" w:ascii="方正仿宋简体" w:hAnsi="方正仿宋简体" w:eastAsia="方正仿宋简体" w:cs="方正仿宋简体"/>
          <w:sz w:val="32"/>
          <w:szCs w:val="32"/>
          <w:highlight w:val="none"/>
          <w:lang w:val="en-US" w:eastAsia="zh-CN"/>
        </w:rPr>
        <w:t>分</w:t>
      </w:r>
      <w:r>
        <w:rPr>
          <w:rFonts w:hint="eastAsia" w:ascii="方正仿宋简体" w:hAnsi="方正仿宋简体" w:eastAsia="方正仿宋简体" w:cs="方正仿宋简体"/>
          <w:sz w:val="32"/>
          <w:szCs w:val="32"/>
          <w:highlight w:val="none"/>
        </w:rPr>
        <w:t>。</w:t>
      </w:r>
    </w:p>
    <w:p w14:paraId="3F3D8068">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1</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77</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8</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23</w:t>
      </w:r>
      <w:r>
        <w:rPr>
          <w:rFonts w:hint="eastAsia" w:ascii="方正仿宋简体" w:hAnsi="方正仿宋简体" w:eastAsia="方正仿宋简体" w:cs="方正仿宋简体"/>
          <w:sz w:val="32"/>
          <w:szCs w:val="32"/>
          <w:highlight w:val="none"/>
        </w:rPr>
        <w:t>分。</w:t>
      </w:r>
    </w:p>
    <w:p w14:paraId="3573ED73">
      <w:pPr>
        <w:keepNext w:val="0"/>
        <w:keepLines w:val="0"/>
        <w:pageBreakBefore w:val="0"/>
        <w:widowControl w:val="0"/>
        <w:numPr>
          <w:ilvl w:val="1"/>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方正楷体简体" w:hAnsi="方正楷体简体" w:eastAsia="方正楷体简体" w:cs="方正楷体简体"/>
          <w:sz w:val="32"/>
          <w:szCs w:val="32"/>
          <w:highlight w:val="none"/>
        </w:rPr>
      </w:pPr>
      <w:bookmarkStart w:id="103" w:name="_Toc1036307307"/>
      <w:bookmarkStart w:id="104" w:name="_Toc1403589335"/>
      <w:bookmarkStart w:id="105" w:name="_Toc5189"/>
      <w:bookmarkStart w:id="106" w:name="_Toc142913857"/>
      <w:bookmarkStart w:id="107" w:name="_Toc1256376225_WPSOffice_Level3"/>
      <w:r>
        <w:rPr>
          <w:rFonts w:hint="eastAsia" w:ascii="方正楷体简体" w:hAnsi="方正楷体简体" w:eastAsia="方正楷体简体" w:cs="方正楷体简体"/>
          <w:sz w:val="32"/>
          <w:szCs w:val="32"/>
          <w:highlight w:val="none"/>
        </w:rPr>
        <w:t>（六）</w:t>
      </w:r>
      <w:bookmarkEnd w:id="103"/>
      <w:bookmarkEnd w:id="104"/>
      <w:bookmarkStart w:id="108" w:name="_Hlk176555953"/>
      <w:r>
        <w:rPr>
          <w:rFonts w:hint="eastAsia" w:ascii="方正楷体简体" w:hAnsi="方正楷体简体" w:eastAsia="方正楷体简体" w:cs="方正楷体简体"/>
          <w:sz w:val="32"/>
          <w:szCs w:val="32"/>
          <w:highlight w:val="none"/>
          <w:lang w:val="en-US" w:eastAsia="zh-CN"/>
        </w:rPr>
        <w:t>社会</w:t>
      </w:r>
      <w:r>
        <w:rPr>
          <w:rFonts w:hint="eastAsia" w:ascii="方正楷体简体" w:hAnsi="方正楷体简体" w:eastAsia="方正楷体简体" w:cs="方正楷体简体"/>
          <w:sz w:val="32"/>
          <w:szCs w:val="32"/>
          <w:highlight w:val="none"/>
        </w:rPr>
        <w:t>效益</w:t>
      </w:r>
      <w:bookmarkEnd w:id="105"/>
      <w:bookmarkEnd w:id="106"/>
      <w:bookmarkEnd w:id="108"/>
    </w:p>
    <w:p w14:paraId="3B691C2F">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w:t>
      </w:r>
      <w:r>
        <w:rPr>
          <w:rFonts w:hint="eastAsia" w:ascii="方正仿宋简体" w:hAnsi="方正仿宋简体" w:eastAsia="方正仿宋简体" w:cs="方正仿宋简体"/>
          <w:sz w:val="32"/>
          <w:szCs w:val="32"/>
          <w:highlight w:val="none"/>
          <w:lang w:val="en-US" w:eastAsia="zh-CN"/>
        </w:rPr>
        <w:t>社会</w:t>
      </w:r>
      <w:r>
        <w:rPr>
          <w:rFonts w:hint="eastAsia" w:ascii="方正仿宋简体" w:hAnsi="方正仿宋简体" w:eastAsia="方正仿宋简体" w:cs="方正仿宋简体"/>
          <w:sz w:val="32"/>
          <w:szCs w:val="32"/>
          <w:highlight w:val="none"/>
        </w:rPr>
        <w:t>效益”下设一个二级指标：</w:t>
      </w:r>
      <w:r>
        <w:rPr>
          <w:rFonts w:hint="eastAsia" w:ascii="方正仿宋简体" w:hAnsi="方正仿宋简体" w:eastAsia="方正仿宋简体" w:cs="方正仿宋简体"/>
          <w:sz w:val="32"/>
          <w:szCs w:val="32"/>
          <w:highlight w:val="none"/>
          <w:lang w:val="en-US" w:eastAsia="zh-CN"/>
        </w:rPr>
        <w:t>生活条件改善程度</w:t>
      </w:r>
      <w:r>
        <w:rPr>
          <w:rFonts w:hint="eastAsia" w:ascii="方正仿宋简体" w:hAnsi="方正仿宋简体" w:eastAsia="方正仿宋简体" w:cs="方正仿宋简体"/>
          <w:sz w:val="32"/>
          <w:szCs w:val="32"/>
          <w:highlight w:val="none"/>
        </w:rPr>
        <w:t>。</w:t>
      </w:r>
    </w:p>
    <w:bookmarkEnd w:id="107"/>
    <w:p w14:paraId="4A6B14E2">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val="en-US" w:eastAsia="zh-CN"/>
        </w:rPr>
        <w:t>经问卷调查分析，本次发放问卷</w:t>
      </w:r>
      <w:r>
        <w:rPr>
          <w:rFonts w:hint="default" w:ascii="Times New Roman" w:hAnsi="Times New Roman" w:eastAsia="方正仿宋简体" w:cs="Times New Roman"/>
          <w:sz w:val="32"/>
          <w:szCs w:val="32"/>
          <w:highlight w:val="none"/>
          <w:lang w:val="en-US" w:eastAsia="zh-CN"/>
        </w:rPr>
        <w:t>17</w:t>
      </w:r>
      <w:r>
        <w:rPr>
          <w:rFonts w:hint="eastAsia" w:ascii="方正仿宋简体" w:hAnsi="方正仿宋简体" w:eastAsia="方正仿宋简体" w:cs="方正仿宋简体"/>
          <w:sz w:val="32"/>
          <w:szCs w:val="32"/>
          <w:highlight w:val="none"/>
          <w:lang w:val="en-US" w:eastAsia="zh-CN"/>
        </w:rPr>
        <w:t>份，收到有效问卷</w:t>
      </w:r>
      <w:r>
        <w:rPr>
          <w:rFonts w:hint="default" w:ascii="Times New Roman" w:hAnsi="Times New Roman" w:eastAsia="方正仿宋简体" w:cs="Times New Roman"/>
          <w:sz w:val="32"/>
          <w:szCs w:val="32"/>
          <w:highlight w:val="none"/>
          <w:lang w:val="en-US" w:eastAsia="zh-CN"/>
        </w:rPr>
        <w:t>17</w:t>
      </w:r>
      <w:r>
        <w:rPr>
          <w:rFonts w:hint="eastAsia" w:ascii="方正仿宋简体" w:hAnsi="方正仿宋简体" w:eastAsia="方正仿宋简体" w:cs="方正仿宋简体"/>
          <w:sz w:val="32"/>
          <w:szCs w:val="32"/>
          <w:highlight w:val="none"/>
          <w:lang w:val="en-US" w:eastAsia="zh-CN"/>
        </w:rPr>
        <w:t>份，对生活条件改善程度综合满意度</w:t>
      </w:r>
      <w:r>
        <w:rPr>
          <w:rFonts w:hint="default" w:ascii="Times New Roman" w:hAnsi="Times New Roman" w:eastAsia="方正仿宋简体" w:cs="Times New Roman"/>
          <w:sz w:val="32"/>
          <w:szCs w:val="32"/>
          <w:highlight w:val="none"/>
          <w:lang w:val="en-US" w:eastAsia="zh-CN"/>
        </w:rPr>
        <w:t>78</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25</w:t>
      </w:r>
      <w:r>
        <w:rPr>
          <w:rFonts w:hint="eastAsia" w:ascii="方正仿宋简体" w:hAnsi="方正仿宋简体" w:eastAsia="方正仿宋简体" w:cs="方正仿宋简体"/>
          <w:sz w:val="32"/>
          <w:szCs w:val="32"/>
          <w:highlight w:val="none"/>
          <w:lang w:val="en-US" w:eastAsia="zh-CN"/>
        </w:rPr>
        <w:t>%，扣除</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17</w:t>
      </w:r>
      <w:r>
        <w:rPr>
          <w:rFonts w:hint="eastAsia" w:ascii="方正仿宋简体" w:hAnsi="方正仿宋简体" w:eastAsia="方正仿宋简体" w:cs="方正仿宋简体"/>
          <w:sz w:val="32"/>
          <w:szCs w:val="32"/>
          <w:highlight w:val="none"/>
          <w:lang w:val="en-US" w:eastAsia="zh-CN"/>
        </w:rPr>
        <w:t>分</w:t>
      </w:r>
      <w:r>
        <w:rPr>
          <w:rFonts w:hint="eastAsia" w:ascii="方正仿宋简体" w:hAnsi="方正仿宋简体" w:eastAsia="方正仿宋简体" w:cs="方正仿宋简体"/>
          <w:sz w:val="32"/>
          <w:szCs w:val="32"/>
          <w:highlight w:val="none"/>
        </w:rPr>
        <w:t>。</w:t>
      </w:r>
    </w:p>
    <w:p w14:paraId="090D0BD4">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1</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17</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7</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83</w:t>
      </w:r>
      <w:r>
        <w:rPr>
          <w:rFonts w:hint="eastAsia" w:ascii="方正仿宋简体" w:hAnsi="方正仿宋简体" w:eastAsia="方正仿宋简体" w:cs="方正仿宋简体"/>
          <w:sz w:val="32"/>
          <w:szCs w:val="32"/>
          <w:highlight w:val="none"/>
        </w:rPr>
        <w:t>分。</w:t>
      </w:r>
    </w:p>
    <w:p w14:paraId="548B82CE">
      <w:pPr>
        <w:keepNext w:val="0"/>
        <w:keepLines w:val="0"/>
        <w:pageBreakBefore w:val="0"/>
        <w:widowControl w:val="0"/>
        <w:numPr>
          <w:ilvl w:val="1"/>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方正楷体简体" w:hAnsi="方正楷体简体" w:eastAsia="方正楷体简体" w:cs="方正楷体简体"/>
          <w:sz w:val="32"/>
          <w:szCs w:val="32"/>
          <w:highlight w:val="none"/>
        </w:rPr>
      </w:pPr>
      <w:bookmarkStart w:id="109" w:name="_Toc21917"/>
      <w:r>
        <w:rPr>
          <w:rFonts w:hint="eastAsia" w:ascii="方正楷体简体" w:hAnsi="方正楷体简体" w:eastAsia="方正楷体简体" w:cs="方正楷体简体"/>
          <w:sz w:val="32"/>
          <w:szCs w:val="32"/>
          <w:highlight w:val="none"/>
        </w:rPr>
        <w:t>（七）满意度指标</w:t>
      </w:r>
      <w:bookmarkEnd w:id="109"/>
    </w:p>
    <w:p w14:paraId="0725FAEC">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指标“满意度指标”下设一个二级指标：社会满意度。</w:t>
      </w:r>
    </w:p>
    <w:p w14:paraId="5717DA4B">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过问卷调查，发放问卷</w:t>
      </w:r>
      <w:r>
        <w:rPr>
          <w:rFonts w:hint="default" w:ascii="Times New Roman" w:hAnsi="Times New Roman" w:eastAsia="方正仿宋简体" w:cs="Times New Roman"/>
          <w:sz w:val="32"/>
          <w:szCs w:val="32"/>
          <w:highlight w:val="none"/>
        </w:rPr>
        <w:t>17</w:t>
      </w:r>
      <w:r>
        <w:rPr>
          <w:rFonts w:hint="eastAsia" w:ascii="方正仿宋简体" w:hAnsi="方正仿宋简体" w:eastAsia="方正仿宋简体" w:cs="方正仿宋简体"/>
          <w:sz w:val="32"/>
          <w:szCs w:val="32"/>
          <w:highlight w:val="none"/>
        </w:rPr>
        <w:t>份，收回有效问卷</w:t>
      </w:r>
      <w:r>
        <w:rPr>
          <w:rFonts w:hint="default" w:ascii="Times New Roman" w:hAnsi="Times New Roman" w:eastAsia="方正仿宋简体" w:cs="Times New Roman"/>
          <w:sz w:val="32"/>
          <w:szCs w:val="32"/>
          <w:highlight w:val="none"/>
        </w:rPr>
        <w:t>17</w:t>
      </w:r>
      <w:r>
        <w:rPr>
          <w:rFonts w:hint="eastAsia" w:ascii="方正仿宋简体" w:hAnsi="方正仿宋简体" w:eastAsia="方正仿宋简体" w:cs="方正仿宋简体"/>
          <w:sz w:val="32"/>
          <w:szCs w:val="32"/>
          <w:highlight w:val="none"/>
        </w:rPr>
        <w:t>份，其中非常满意占比</w:t>
      </w:r>
      <w:r>
        <w:rPr>
          <w:rFonts w:hint="default" w:ascii="Times New Roman" w:hAnsi="Times New Roman" w:eastAsia="方正仿宋简体" w:cs="Times New Roman"/>
          <w:sz w:val="32"/>
          <w:szCs w:val="32"/>
          <w:highlight w:val="none"/>
        </w:rPr>
        <w:t>11</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76</w:t>
      </w:r>
      <w:r>
        <w:rPr>
          <w:rFonts w:hint="eastAsia" w:ascii="方正仿宋简体" w:hAnsi="方正仿宋简体" w:eastAsia="方正仿宋简体" w:cs="方正仿宋简体"/>
          <w:sz w:val="32"/>
          <w:szCs w:val="32"/>
          <w:highlight w:val="none"/>
        </w:rPr>
        <w:t>%，基本满意占</w:t>
      </w:r>
      <w:r>
        <w:rPr>
          <w:rFonts w:hint="default" w:ascii="Times New Roman" w:hAnsi="Times New Roman" w:eastAsia="方正仿宋简体" w:cs="Times New Roman"/>
          <w:sz w:val="32"/>
          <w:szCs w:val="32"/>
          <w:highlight w:val="none"/>
        </w:rPr>
        <w:t>88</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24</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lang w:val="en-US" w:eastAsia="zh-CN"/>
        </w:rPr>
        <w:t>虽然非常满意占比过低，但综合满意度已达到了</w:t>
      </w:r>
      <w:r>
        <w:rPr>
          <w:rFonts w:hint="default" w:ascii="Times New Roman" w:hAnsi="Times New Roman" w:eastAsia="方正仿宋简体" w:cs="Times New Roman"/>
          <w:sz w:val="32"/>
          <w:szCs w:val="32"/>
          <w:highlight w:val="none"/>
          <w:lang w:val="en-US" w:eastAsia="zh-CN"/>
        </w:rPr>
        <w:t>100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%，酌情扣除</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r>
        <w:rPr>
          <w:rFonts w:hint="eastAsia" w:ascii="方正仿宋简体" w:hAnsi="方正仿宋简体" w:eastAsia="方正仿宋简体" w:cs="方正仿宋简体"/>
          <w:sz w:val="32"/>
          <w:szCs w:val="32"/>
          <w:highlight w:val="none"/>
        </w:rPr>
        <w:t>。</w:t>
      </w:r>
    </w:p>
    <w:p w14:paraId="491E4FAE">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9</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rPr>
        <w:t>分。</w:t>
      </w:r>
    </w:p>
    <w:p w14:paraId="55B15EE0">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firstLine="640" w:firstLineChars="200"/>
        <w:textAlignment w:val="auto"/>
        <w:outlineLvl w:val="1"/>
        <w:rPr>
          <w:rFonts w:hint="eastAsia" w:ascii="方正楷体简体" w:hAnsi="方正楷体简体" w:eastAsia="方正楷体简体" w:cs="方正楷体简体"/>
          <w:sz w:val="32"/>
          <w:szCs w:val="32"/>
          <w:highlight w:val="none"/>
          <w:lang w:val="en-US" w:eastAsia="zh-CN"/>
        </w:rPr>
      </w:pPr>
      <w:bookmarkStart w:id="110" w:name="_Toc19175"/>
      <w:r>
        <w:rPr>
          <w:rFonts w:hint="eastAsia" w:ascii="方正楷体简体" w:hAnsi="方正楷体简体" w:eastAsia="方正楷体简体" w:cs="方正楷体简体"/>
          <w:sz w:val="32"/>
          <w:szCs w:val="32"/>
          <w:highlight w:val="none"/>
          <w:lang w:val="en-US" w:eastAsia="zh-CN"/>
        </w:rPr>
        <w:t>可持续影响</w:t>
      </w:r>
      <w:bookmarkEnd w:id="110"/>
    </w:p>
    <w:p w14:paraId="44044389">
      <w:pPr>
        <w:pStyle w:val="2"/>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w:t>
      </w:r>
      <w:r>
        <w:rPr>
          <w:rFonts w:hint="eastAsia" w:ascii="方正仿宋简体" w:hAnsi="方正仿宋简体" w:eastAsia="方正仿宋简体" w:cs="方正仿宋简体"/>
          <w:sz w:val="32"/>
          <w:szCs w:val="32"/>
          <w:highlight w:val="none"/>
          <w:lang w:val="en-US" w:eastAsia="zh-CN"/>
        </w:rPr>
        <w:t>可持续影响</w:t>
      </w:r>
      <w:r>
        <w:rPr>
          <w:rFonts w:hint="eastAsia" w:ascii="方正仿宋简体" w:hAnsi="方正仿宋简体" w:eastAsia="方正仿宋简体" w:cs="方正仿宋简体"/>
          <w:sz w:val="32"/>
          <w:szCs w:val="32"/>
          <w:highlight w:val="none"/>
        </w:rPr>
        <w:t>”下设一个二级指标：</w:t>
      </w:r>
      <w:r>
        <w:rPr>
          <w:rFonts w:hint="eastAsia" w:ascii="方正仿宋简体" w:hAnsi="方正仿宋简体" w:eastAsia="方正仿宋简体" w:cs="方正仿宋简体"/>
          <w:sz w:val="32"/>
          <w:szCs w:val="32"/>
          <w:highlight w:val="none"/>
          <w:lang w:val="en-US" w:eastAsia="zh-CN"/>
        </w:rPr>
        <w:t>可持续影响</w:t>
      </w:r>
      <w:r>
        <w:rPr>
          <w:rFonts w:hint="eastAsia" w:ascii="方正仿宋简体" w:hAnsi="方正仿宋简体" w:eastAsia="方正仿宋简体" w:cs="方正仿宋简体"/>
          <w:sz w:val="32"/>
          <w:szCs w:val="32"/>
          <w:highlight w:val="none"/>
        </w:rPr>
        <w:t>。</w:t>
      </w:r>
    </w:p>
    <w:p w14:paraId="0CC901B8">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新城临时过渡安置租房补助项目通过问卷调查，发放问卷</w:t>
      </w:r>
      <w:r>
        <w:rPr>
          <w:rFonts w:hint="default" w:ascii="Times New Roman" w:hAnsi="Times New Roman" w:eastAsia="方正仿宋简体" w:cs="Times New Roman"/>
          <w:sz w:val="32"/>
          <w:szCs w:val="32"/>
          <w:highlight w:val="none"/>
        </w:rPr>
        <w:t>17</w:t>
      </w:r>
      <w:r>
        <w:rPr>
          <w:rFonts w:hint="eastAsia" w:ascii="方正仿宋简体" w:hAnsi="方正仿宋简体" w:eastAsia="方正仿宋简体" w:cs="方正仿宋简体"/>
          <w:sz w:val="32"/>
          <w:szCs w:val="32"/>
          <w:highlight w:val="none"/>
        </w:rPr>
        <w:t>份，收回有效问卷</w:t>
      </w:r>
      <w:r>
        <w:rPr>
          <w:rFonts w:hint="default" w:ascii="Times New Roman" w:hAnsi="Times New Roman" w:eastAsia="方正仿宋简体" w:cs="Times New Roman"/>
          <w:sz w:val="32"/>
          <w:szCs w:val="32"/>
          <w:highlight w:val="none"/>
        </w:rPr>
        <w:t>17</w:t>
      </w:r>
      <w:r>
        <w:rPr>
          <w:rFonts w:hint="eastAsia" w:ascii="方正仿宋简体" w:hAnsi="方正仿宋简体" w:eastAsia="方正仿宋简体" w:cs="方正仿宋简体"/>
          <w:sz w:val="32"/>
          <w:szCs w:val="32"/>
          <w:highlight w:val="none"/>
        </w:rPr>
        <w:t>份，调查补助是否能满足住房需求，其中满足占</w:t>
      </w:r>
      <w:r>
        <w:rPr>
          <w:rFonts w:hint="default" w:ascii="Times New Roman" w:hAnsi="Times New Roman" w:eastAsia="方正仿宋简体" w:cs="Times New Roman"/>
          <w:sz w:val="32"/>
          <w:szCs w:val="32"/>
          <w:highlight w:val="none"/>
        </w:rPr>
        <w:t>11</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76</w:t>
      </w:r>
      <w:r>
        <w:rPr>
          <w:rFonts w:hint="eastAsia" w:ascii="方正仿宋简体" w:hAnsi="方正仿宋简体" w:eastAsia="方正仿宋简体" w:cs="方正仿宋简体"/>
          <w:sz w:val="32"/>
          <w:szCs w:val="32"/>
          <w:highlight w:val="none"/>
        </w:rPr>
        <w:t>%，基本满足占</w:t>
      </w:r>
      <w:r>
        <w:rPr>
          <w:rFonts w:hint="default" w:ascii="Times New Roman" w:hAnsi="Times New Roman" w:eastAsia="方正仿宋简体" w:cs="Times New Roman"/>
          <w:sz w:val="32"/>
          <w:szCs w:val="32"/>
          <w:highlight w:val="none"/>
        </w:rPr>
        <w:t>70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59</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lang w:val="en-US" w:eastAsia="zh-CN"/>
        </w:rPr>
        <w:t>评价等级为一般，扣除</w:t>
      </w:r>
      <w:r>
        <w:rPr>
          <w:rFonts w:hint="default" w:ascii="Times New Roman" w:hAnsi="Times New Roman" w:eastAsia="方正仿宋简体" w:cs="Times New Roman"/>
          <w:sz w:val="32"/>
          <w:szCs w:val="32"/>
          <w:highlight w:val="none"/>
          <w:lang w:val="en-US" w:eastAsia="zh-CN"/>
        </w:rPr>
        <w:t>7</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r>
        <w:rPr>
          <w:rFonts w:hint="eastAsia" w:ascii="方正仿宋简体" w:hAnsi="方正仿宋简体" w:eastAsia="方正仿宋简体" w:cs="方正仿宋简体"/>
          <w:sz w:val="32"/>
          <w:szCs w:val="32"/>
          <w:highlight w:val="none"/>
        </w:rPr>
        <w:t>。</w:t>
      </w:r>
    </w:p>
    <w:p w14:paraId="62CBB5F7">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7</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rPr>
        <w:t>分</w:t>
      </w:r>
      <w:r>
        <w:rPr>
          <w:rFonts w:hint="eastAsia" w:ascii="方正仿宋简体" w:hAnsi="方正仿宋简体" w:eastAsia="方正仿宋简体" w:cs="方正仿宋简体"/>
          <w:sz w:val="32"/>
          <w:szCs w:val="32"/>
          <w:highlight w:val="none"/>
          <w:lang w:eastAsia="zh-CN"/>
        </w:rPr>
        <w:t>。</w:t>
      </w:r>
    </w:p>
    <w:p w14:paraId="2AE39749">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111" w:name="_Toc6471"/>
      <w:r>
        <w:rPr>
          <w:rFonts w:hint="eastAsia" w:ascii="方正黑体简体" w:hAnsi="方正黑体简体" w:eastAsia="方正黑体简体" w:cs="方正黑体简体"/>
          <w:color w:val="000000"/>
          <w:kern w:val="0"/>
          <w:sz w:val="32"/>
          <w:szCs w:val="32"/>
          <w:highlight w:val="none"/>
          <w:shd w:val="clear" w:color="auto" w:fill="FFFFFF"/>
        </w:rPr>
        <w:t>六、存在的主要问题</w:t>
      </w:r>
      <w:bookmarkEnd w:id="68"/>
      <w:bookmarkEnd w:id="69"/>
      <w:bookmarkEnd w:id="70"/>
      <w:bookmarkEnd w:id="71"/>
      <w:bookmarkEnd w:id="111"/>
    </w:p>
    <w:p w14:paraId="45A518ED">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方正楷体简体" w:hAnsi="方正楷体简体" w:eastAsia="方正楷体简体" w:cs="方正楷体简体"/>
          <w:b w:val="0"/>
          <w:bCs w:val="0"/>
          <w:sz w:val="32"/>
          <w:szCs w:val="32"/>
          <w:highlight w:val="none"/>
          <w:lang w:val="en-US" w:eastAsia="zh-CN"/>
        </w:rPr>
      </w:pPr>
      <w:bookmarkStart w:id="112" w:name="_Toc21726"/>
      <w:bookmarkStart w:id="113" w:name="_Toc209175539"/>
      <w:bookmarkStart w:id="114" w:name="_Toc2061369965"/>
      <w:bookmarkStart w:id="115" w:name="_Toc1665834229"/>
      <w:r>
        <w:rPr>
          <w:rFonts w:hint="eastAsia" w:ascii="方正楷体简体" w:hAnsi="方正楷体简体" w:eastAsia="方正楷体简体" w:cs="方正楷体简体"/>
          <w:b w:val="0"/>
          <w:bCs w:val="0"/>
          <w:sz w:val="32"/>
          <w:szCs w:val="32"/>
          <w:highlight w:val="none"/>
          <w:lang w:val="en-US" w:eastAsia="zh-CN"/>
        </w:rPr>
        <w:t>（一）资料管理不善</w:t>
      </w:r>
      <w:bookmarkEnd w:id="112"/>
    </w:p>
    <w:p w14:paraId="78D5150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方正仿宋简体" w:hAnsi="方正仿宋简体" w:eastAsia="方正仿宋简体" w:cs="方正仿宋简体"/>
          <w:b w:val="0"/>
          <w:bCs w:val="0"/>
          <w:sz w:val="32"/>
          <w:szCs w:val="32"/>
          <w:highlight w:val="none"/>
          <w:lang w:val="en-US" w:eastAsia="zh-CN"/>
        </w:rPr>
      </w:pPr>
      <w:r>
        <w:rPr>
          <w:rFonts w:hint="eastAsia" w:ascii="方正仿宋简体" w:hAnsi="方正仿宋简体" w:eastAsia="方正仿宋简体" w:cs="方正仿宋简体"/>
          <w:b w:val="0"/>
          <w:bCs w:val="0"/>
          <w:sz w:val="32"/>
          <w:szCs w:val="32"/>
          <w:highlight w:val="none"/>
          <w:lang w:val="en-US" w:eastAsia="zh-CN"/>
        </w:rPr>
        <w:t>泸定县泸桥镇人民政府在绩效评价现场工作中未向评价组提供项目立项批复相关资料和项目资金文件，存在项目必要资料未进行归档导致丢失的情况。</w:t>
      </w:r>
    </w:p>
    <w:p w14:paraId="41DBC89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方正楷体简体" w:hAnsi="方正楷体简体" w:eastAsia="方正楷体简体" w:cs="方正楷体简体"/>
          <w:b w:val="0"/>
          <w:bCs w:val="0"/>
          <w:sz w:val="32"/>
          <w:szCs w:val="32"/>
          <w:highlight w:val="none"/>
          <w:lang w:val="en-US" w:eastAsia="zh-CN"/>
        </w:rPr>
      </w:pPr>
      <w:bookmarkStart w:id="116" w:name="_Toc22947"/>
      <w:r>
        <w:rPr>
          <w:rFonts w:hint="eastAsia" w:ascii="方正楷体简体" w:hAnsi="方正楷体简体" w:eastAsia="方正楷体简体" w:cs="方正楷体简体"/>
          <w:b w:val="0"/>
          <w:bCs w:val="0"/>
          <w:sz w:val="32"/>
          <w:szCs w:val="32"/>
          <w:highlight w:val="none"/>
          <w:lang w:val="en-US" w:eastAsia="zh-CN"/>
        </w:rPr>
        <w:t>（二）制度建设不完善</w:t>
      </w:r>
      <w:bookmarkEnd w:id="116"/>
    </w:p>
    <w:p w14:paraId="2EAEDA8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方正仿宋简体" w:hAnsi="方正仿宋简体" w:eastAsia="方正仿宋简体" w:cs="方正仿宋简体"/>
          <w:b w:val="0"/>
          <w:bCs w:val="0"/>
          <w:sz w:val="32"/>
          <w:szCs w:val="32"/>
          <w:highlight w:val="none"/>
          <w:lang w:val="en-US" w:eastAsia="zh-CN"/>
        </w:rPr>
      </w:pPr>
      <w:r>
        <w:rPr>
          <w:rFonts w:hint="eastAsia" w:ascii="方正仿宋简体" w:hAnsi="方正仿宋简体" w:eastAsia="方正仿宋简体" w:cs="方正仿宋简体"/>
          <w:b w:val="0"/>
          <w:bCs w:val="0"/>
          <w:sz w:val="32"/>
          <w:szCs w:val="32"/>
          <w:highlight w:val="none"/>
          <w:lang w:val="en-US" w:eastAsia="zh-CN"/>
        </w:rPr>
        <w:t>未对具体项目的管理编制指导意见、实施细则、管理办法等用以明确具体项目实施的控制体系。</w:t>
      </w:r>
    </w:p>
    <w:p w14:paraId="429723C4">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方正楷体简体" w:hAnsi="方正楷体简体" w:eastAsia="方正楷体简体" w:cs="方正楷体简体"/>
          <w:b w:val="0"/>
          <w:bCs w:val="0"/>
          <w:sz w:val="32"/>
          <w:szCs w:val="32"/>
          <w:highlight w:val="none"/>
          <w:lang w:val="en-US" w:eastAsia="zh-CN"/>
        </w:rPr>
      </w:pPr>
      <w:bookmarkStart w:id="117" w:name="_Toc24996"/>
      <w:r>
        <w:rPr>
          <w:rFonts w:hint="eastAsia" w:ascii="方正楷体简体" w:hAnsi="方正楷体简体" w:eastAsia="方正楷体简体" w:cs="方正楷体简体"/>
          <w:b w:val="0"/>
          <w:bCs w:val="0"/>
          <w:sz w:val="32"/>
          <w:szCs w:val="32"/>
          <w:highlight w:val="none"/>
          <w:lang w:val="en-US" w:eastAsia="zh-CN"/>
        </w:rPr>
        <w:t>（三）效益发挥不足</w:t>
      </w:r>
      <w:bookmarkEnd w:id="117"/>
    </w:p>
    <w:p w14:paraId="587A723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方正仿宋简体" w:hAnsi="方正仿宋简体" w:eastAsia="方正仿宋简体" w:cs="方正仿宋简体"/>
          <w:b w:val="0"/>
          <w:bCs w:val="0"/>
          <w:sz w:val="32"/>
          <w:szCs w:val="32"/>
          <w:highlight w:val="none"/>
          <w:lang w:val="en-US" w:eastAsia="zh-CN"/>
        </w:rPr>
      </w:pPr>
      <w:r>
        <w:rPr>
          <w:rFonts w:hint="eastAsia" w:ascii="方正仿宋简体" w:hAnsi="方正仿宋简体" w:eastAsia="方正仿宋简体" w:cs="方正仿宋简体"/>
          <w:b w:val="0"/>
          <w:bCs w:val="0"/>
          <w:sz w:val="32"/>
          <w:szCs w:val="32"/>
          <w:highlight w:val="none"/>
          <w:lang w:val="en-US" w:eastAsia="zh-CN"/>
        </w:rPr>
        <w:t>经问卷调查分析，本项目共计发放问卷</w:t>
      </w:r>
      <w:r>
        <w:rPr>
          <w:rFonts w:hint="default" w:ascii="Times New Roman" w:hAnsi="Times New Roman" w:eastAsia="方正仿宋简体" w:cs="Times New Roman"/>
          <w:b w:val="0"/>
          <w:bCs w:val="0"/>
          <w:sz w:val="32"/>
          <w:szCs w:val="32"/>
          <w:highlight w:val="none"/>
          <w:lang w:val="en-US" w:eastAsia="zh-CN"/>
        </w:rPr>
        <w:t>17</w:t>
      </w:r>
      <w:r>
        <w:rPr>
          <w:rFonts w:hint="eastAsia" w:ascii="方正仿宋简体" w:hAnsi="方正仿宋简体" w:eastAsia="方正仿宋简体" w:cs="方正仿宋简体"/>
          <w:b w:val="0"/>
          <w:bCs w:val="0"/>
          <w:sz w:val="32"/>
          <w:szCs w:val="32"/>
          <w:highlight w:val="none"/>
          <w:lang w:val="en-US" w:eastAsia="zh-CN"/>
        </w:rPr>
        <w:t>份，收到有效问卷</w:t>
      </w:r>
      <w:r>
        <w:rPr>
          <w:rFonts w:hint="default" w:ascii="Times New Roman" w:hAnsi="Times New Roman" w:eastAsia="方正仿宋简体" w:cs="Times New Roman"/>
          <w:b w:val="0"/>
          <w:bCs w:val="0"/>
          <w:sz w:val="32"/>
          <w:szCs w:val="32"/>
          <w:highlight w:val="none"/>
          <w:lang w:val="en-US" w:eastAsia="zh-CN"/>
        </w:rPr>
        <w:t>17</w:t>
      </w:r>
      <w:r>
        <w:rPr>
          <w:rFonts w:hint="eastAsia" w:ascii="方正仿宋简体" w:hAnsi="方正仿宋简体" w:eastAsia="方正仿宋简体" w:cs="方正仿宋简体"/>
          <w:b w:val="0"/>
          <w:bCs w:val="0"/>
          <w:sz w:val="32"/>
          <w:szCs w:val="32"/>
          <w:highlight w:val="none"/>
          <w:lang w:val="en-US" w:eastAsia="zh-CN"/>
        </w:rPr>
        <w:t>份，其中社会满意度非常满意仅</w:t>
      </w:r>
      <w:r>
        <w:rPr>
          <w:rFonts w:hint="default" w:ascii="Times New Roman" w:hAnsi="Times New Roman" w:eastAsia="方正仿宋简体" w:cs="Times New Roman"/>
          <w:b w:val="0"/>
          <w:bCs w:val="0"/>
          <w:sz w:val="32"/>
          <w:szCs w:val="32"/>
          <w:highlight w:val="none"/>
          <w:lang w:val="en-US" w:eastAsia="zh-CN"/>
        </w:rPr>
        <w:t>11</w:t>
      </w:r>
      <w:r>
        <w:rPr>
          <w:rFonts w:hint="eastAsia" w:ascii="方正仿宋简体" w:hAnsi="方正仿宋简体" w:eastAsia="方正仿宋简体" w:cs="方正仿宋简体"/>
          <w:b w:val="0"/>
          <w:bCs w:val="0"/>
          <w:sz w:val="32"/>
          <w:szCs w:val="32"/>
          <w:highlight w:val="none"/>
          <w:lang w:val="en-US" w:eastAsia="zh-CN"/>
        </w:rPr>
        <w:t>.</w:t>
      </w:r>
      <w:r>
        <w:rPr>
          <w:rFonts w:hint="default" w:ascii="Times New Roman" w:hAnsi="Times New Roman" w:eastAsia="方正仿宋简体" w:cs="Times New Roman"/>
          <w:b w:val="0"/>
          <w:bCs w:val="0"/>
          <w:sz w:val="32"/>
          <w:szCs w:val="32"/>
          <w:highlight w:val="none"/>
          <w:lang w:val="en-US" w:eastAsia="zh-CN"/>
        </w:rPr>
        <w:t>76</w:t>
      </w:r>
      <w:r>
        <w:rPr>
          <w:rFonts w:hint="eastAsia" w:ascii="方正仿宋简体" w:hAnsi="方正仿宋简体" w:eastAsia="方正仿宋简体" w:cs="方正仿宋简体"/>
          <w:b w:val="0"/>
          <w:bCs w:val="0"/>
          <w:sz w:val="32"/>
          <w:szCs w:val="32"/>
          <w:highlight w:val="none"/>
          <w:lang w:val="en-US" w:eastAsia="zh-CN"/>
        </w:rPr>
        <w:t>%、生活条件改善程度</w:t>
      </w:r>
      <w:r>
        <w:rPr>
          <w:rFonts w:hint="default" w:ascii="Times New Roman" w:hAnsi="Times New Roman" w:eastAsia="方正仿宋简体" w:cs="Times New Roman"/>
          <w:b w:val="0"/>
          <w:bCs w:val="0"/>
          <w:sz w:val="32"/>
          <w:szCs w:val="32"/>
          <w:highlight w:val="none"/>
          <w:lang w:val="en-US" w:eastAsia="zh-CN"/>
        </w:rPr>
        <w:t>78</w:t>
      </w:r>
      <w:r>
        <w:rPr>
          <w:rFonts w:hint="eastAsia" w:ascii="方正仿宋简体" w:hAnsi="方正仿宋简体" w:eastAsia="方正仿宋简体" w:cs="方正仿宋简体"/>
          <w:b w:val="0"/>
          <w:bCs w:val="0"/>
          <w:sz w:val="32"/>
          <w:szCs w:val="32"/>
          <w:highlight w:val="none"/>
          <w:lang w:val="en-US" w:eastAsia="zh-CN"/>
        </w:rPr>
        <w:t>.</w:t>
      </w:r>
      <w:r>
        <w:rPr>
          <w:rFonts w:hint="default" w:ascii="Times New Roman" w:hAnsi="Times New Roman" w:eastAsia="方正仿宋简体" w:cs="Times New Roman"/>
          <w:b w:val="0"/>
          <w:bCs w:val="0"/>
          <w:sz w:val="32"/>
          <w:szCs w:val="32"/>
          <w:highlight w:val="none"/>
          <w:lang w:val="en-US" w:eastAsia="zh-CN"/>
        </w:rPr>
        <w:t>25</w:t>
      </w:r>
      <w:r>
        <w:rPr>
          <w:rFonts w:hint="eastAsia" w:ascii="方正仿宋简体" w:hAnsi="方正仿宋简体" w:eastAsia="方正仿宋简体" w:cs="方正仿宋简体"/>
          <w:b w:val="0"/>
          <w:bCs w:val="0"/>
          <w:sz w:val="32"/>
          <w:szCs w:val="32"/>
          <w:highlight w:val="none"/>
          <w:lang w:val="en-US" w:eastAsia="zh-CN"/>
        </w:rPr>
        <w:t>%、覆盖范围满意度</w:t>
      </w:r>
      <w:r>
        <w:rPr>
          <w:rFonts w:hint="default" w:ascii="Times New Roman" w:hAnsi="Times New Roman" w:eastAsia="方正仿宋简体" w:cs="Times New Roman"/>
          <w:b w:val="0"/>
          <w:bCs w:val="0"/>
          <w:sz w:val="32"/>
          <w:szCs w:val="32"/>
          <w:highlight w:val="none"/>
          <w:lang w:val="en-US" w:eastAsia="zh-CN"/>
        </w:rPr>
        <w:t>82</w:t>
      </w:r>
      <w:r>
        <w:rPr>
          <w:rFonts w:hint="eastAsia" w:ascii="方正仿宋简体" w:hAnsi="方正仿宋简体" w:eastAsia="方正仿宋简体" w:cs="方正仿宋简体"/>
          <w:b w:val="0"/>
          <w:bCs w:val="0"/>
          <w:sz w:val="32"/>
          <w:szCs w:val="32"/>
          <w:highlight w:val="none"/>
          <w:lang w:val="en-US" w:eastAsia="zh-CN"/>
        </w:rPr>
        <w:t>.</w:t>
      </w:r>
      <w:r>
        <w:rPr>
          <w:rFonts w:hint="default" w:ascii="Times New Roman" w:hAnsi="Times New Roman" w:eastAsia="方正仿宋简体" w:cs="Times New Roman"/>
          <w:b w:val="0"/>
          <w:bCs w:val="0"/>
          <w:sz w:val="32"/>
          <w:szCs w:val="32"/>
          <w:highlight w:val="none"/>
          <w:lang w:val="en-US" w:eastAsia="zh-CN"/>
        </w:rPr>
        <w:t>34</w:t>
      </w:r>
      <w:r>
        <w:rPr>
          <w:rFonts w:hint="eastAsia" w:ascii="方正仿宋简体" w:hAnsi="方正仿宋简体" w:eastAsia="方正仿宋简体" w:cs="方正仿宋简体"/>
          <w:b w:val="0"/>
          <w:bCs w:val="0"/>
          <w:sz w:val="32"/>
          <w:szCs w:val="32"/>
          <w:highlight w:val="none"/>
          <w:lang w:val="en-US" w:eastAsia="zh-CN"/>
        </w:rPr>
        <w:t>%，综合数据分析本项目效益发挥明显不足。</w:t>
      </w:r>
    </w:p>
    <w:p w14:paraId="1E37E2BC">
      <w:pPr>
        <w:keepNext w:val="0"/>
        <w:keepLines w:val="0"/>
        <w:pageBreakBefore w:val="0"/>
        <w:numPr>
          <w:ilvl w:val="0"/>
          <w:numId w:val="4"/>
        </w:numPr>
        <w:kinsoku/>
        <w:wordWrap/>
        <w:overflowPunct/>
        <w:topLinePunct w:val="0"/>
        <w:autoSpaceDE/>
        <w:autoSpaceDN/>
        <w:bidi w:val="0"/>
        <w:snapToGrid/>
        <w:spacing w:line="600" w:lineRule="exact"/>
        <w:ind w:firstLine="640" w:firstLineChars="200"/>
        <w:outlineLvl w:val="1"/>
        <w:rPr>
          <w:rFonts w:hint="eastAsia" w:ascii="方正楷体简体" w:hAnsi="方正楷体简体" w:eastAsia="方正楷体简体" w:cs="方正楷体简体"/>
          <w:sz w:val="32"/>
          <w:szCs w:val="32"/>
          <w:highlight w:val="none"/>
          <w:lang w:val="en-US" w:eastAsia="zh-CN"/>
        </w:rPr>
      </w:pPr>
      <w:bookmarkStart w:id="118" w:name="_Toc4065"/>
      <w:r>
        <w:rPr>
          <w:rFonts w:hint="eastAsia" w:ascii="方正楷体简体" w:hAnsi="方正楷体简体" w:eastAsia="方正楷体简体" w:cs="方正楷体简体"/>
          <w:sz w:val="32"/>
          <w:szCs w:val="32"/>
          <w:highlight w:val="none"/>
          <w:lang w:val="en-US" w:eastAsia="zh-CN"/>
        </w:rPr>
        <w:t>项目完成时间滞后</w:t>
      </w:r>
      <w:bookmarkEnd w:id="118"/>
    </w:p>
    <w:p w14:paraId="65CBA2DB">
      <w:pPr>
        <w:pStyle w:val="2"/>
        <w:keepNext w:val="0"/>
        <w:keepLines w:val="0"/>
        <w:pageBreakBefore w:val="0"/>
        <w:numPr>
          <w:ilvl w:val="-1"/>
          <w:numId w:val="0"/>
        </w:numPr>
        <w:kinsoku/>
        <w:wordWrap/>
        <w:overflowPunct/>
        <w:topLinePunct w:val="0"/>
        <w:autoSpaceDE/>
        <w:autoSpaceDN/>
        <w:bidi w:val="0"/>
        <w:spacing w:after="0" w:line="600" w:lineRule="exact"/>
        <w:ind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本项目于</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w:t>
      </w:r>
      <w:r>
        <w:rPr>
          <w:rFonts w:hint="default" w:ascii="Times New Roman" w:hAnsi="Times New Roman" w:eastAsia="方正仿宋简体" w:cs="Times New Roman"/>
          <w:sz w:val="32"/>
          <w:szCs w:val="32"/>
          <w:highlight w:val="none"/>
          <w:lang w:val="en-US" w:eastAsia="zh-CN"/>
        </w:rPr>
        <w:t>12</w:t>
      </w:r>
      <w:r>
        <w:rPr>
          <w:rFonts w:hint="eastAsia" w:ascii="方正仿宋简体" w:hAnsi="方正仿宋简体" w:eastAsia="方正仿宋简体" w:cs="方正仿宋简体"/>
          <w:sz w:val="32"/>
          <w:szCs w:val="32"/>
          <w:highlight w:val="none"/>
          <w:lang w:val="en-US" w:eastAsia="zh-CN"/>
        </w:rPr>
        <w:t>月全部完成兑现支付，期间无遗漏发放，但</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年发放补贴为</w:t>
      </w:r>
      <w:r>
        <w:rPr>
          <w:rFonts w:hint="default" w:ascii="Times New Roman" w:hAnsi="Times New Roman" w:eastAsia="方正仿宋简体" w:cs="Times New Roman"/>
          <w:sz w:val="32"/>
          <w:szCs w:val="32"/>
          <w:highlight w:val="none"/>
          <w:lang w:val="en-US" w:eastAsia="zh-CN"/>
        </w:rPr>
        <w:t>2022</w:t>
      </w:r>
      <w:r>
        <w:rPr>
          <w:rFonts w:hint="eastAsia" w:ascii="方正仿宋简体" w:hAnsi="方正仿宋简体" w:eastAsia="方正仿宋简体" w:cs="方正仿宋简体"/>
          <w:sz w:val="32"/>
          <w:szCs w:val="32"/>
          <w:highlight w:val="none"/>
          <w:lang w:val="en-US" w:eastAsia="zh-CN"/>
        </w:rPr>
        <w:t>年度补贴，跨期</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年。</w:t>
      </w:r>
    </w:p>
    <w:p w14:paraId="35720F9B">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119" w:name="_Toc22238"/>
      <w:bookmarkStart w:id="120" w:name="_Toc7211"/>
      <w:r>
        <w:rPr>
          <w:rFonts w:hint="eastAsia" w:ascii="方正黑体简体" w:hAnsi="方正黑体简体" w:eastAsia="方正黑体简体" w:cs="方正黑体简体"/>
          <w:color w:val="000000"/>
          <w:kern w:val="0"/>
          <w:sz w:val="32"/>
          <w:szCs w:val="32"/>
          <w:highlight w:val="none"/>
          <w:shd w:val="clear" w:color="auto" w:fill="FFFFFF"/>
        </w:rPr>
        <w:t>七、相关措施建议</w:t>
      </w:r>
      <w:bookmarkEnd w:id="113"/>
      <w:bookmarkEnd w:id="114"/>
      <w:bookmarkEnd w:id="115"/>
      <w:bookmarkEnd w:id="119"/>
      <w:bookmarkEnd w:id="120"/>
    </w:p>
    <w:p w14:paraId="081FFAEB">
      <w:pPr>
        <w:keepNext w:val="0"/>
        <w:keepLines w:val="0"/>
        <w:pageBreakBefore w:val="0"/>
        <w:numPr>
          <w:ilvl w:val="0"/>
          <w:numId w:val="0"/>
        </w:numPr>
        <w:kinsoku/>
        <w:wordWrap/>
        <w:overflowPunct/>
        <w:topLinePunct w:val="0"/>
        <w:autoSpaceDE/>
        <w:autoSpaceDN/>
        <w:bidi w:val="0"/>
        <w:spacing w:line="600" w:lineRule="exact"/>
        <w:ind w:firstLine="640" w:firstLineChars="200"/>
        <w:outlineLvl w:val="1"/>
        <w:rPr>
          <w:rFonts w:hint="eastAsia" w:ascii="方正楷体简体" w:hAnsi="方正楷体简体" w:eastAsia="方正楷体简体" w:cs="方正楷体简体"/>
          <w:sz w:val="32"/>
          <w:szCs w:val="32"/>
          <w:highlight w:val="none"/>
          <w:lang w:val="en-US" w:eastAsia="zh-CN"/>
        </w:rPr>
      </w:pPr>
      <w:bookmarkStart w:id="121" w:name="_Toc24440"/>
      <w:bookmarkStart w:id="122" w:name="_Toc23585"/>
      <w:r>
        <w:rPr>
          <w:rFonts w:hint="eastAsia" w:ascii="方正楷体简体" w:hAnsi="方正楷体简体" w:eastAsia="方正楷体简体" w:cs="方正楷体简体"/>
          <w:sz w:val="32"/>
          <w:szCs w:val="32"/>
          <w:highlight w:val="none"/>
          <w:lang w:val="en-US" w:eastAsia="zh-CN"/>
        </w:rPr>
        <w:t>（一）针对“资料管理不善”的建议</w:t>
      </w:r>
      <w:bookmarkEnd w:id="121"/>
    </w:p>
    <w:p w14:paraId="2E8016E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建议：泸定县泸桥镇人民政府应加强对项目资料的管理，对于项目立项和实施过程中的所有资料均应妥善保管并归档。</w:t>
      </w:r>
    </w:p>
    <w:p w14:paraId="0B9F072E">
      <w:pPr>
        <w:keepNext w:val="0"/>
        <w:keepLines w:val="0"/>
        <w:pageBreakBefore w:val="0"/>
        <w:numPr>
          <w:ilvl w:val="0"/>
          <w:numId w:val="0"/>
        </w:numPr>
        <w:kinsoku/>
        <w:wordWrap/>
        <w:overflowPunct/>
        <w:topLinePunct w:val="0"/>
        <w:autoSpaceDE/>
        <w:autoSpaceDN/>
        <w:bidi w:val="0"/>
        <w:spacing w:line="600" w:lineRule="exact"/>
        <w:ind w:firstLine="640" w:firstLineChars="200"/>
        <w:outlineLvl w:val="1"/>
        <w:rPr>
          <w:rFonts w:hint="eastAsia" w:ascii="方正楷体简体" w:hAnsi="方正楷体简体" w:eastAsia="方正楷体简体" w:cs="方正楷体简体"/>
          <w:sz w:val="32"/>
          <w:szCs w:val="32"/>
          <w:highlight w:val="none"/>
          <w:lang w:val="en-US" w:eastAsia="zh-CN"/>
        </w:rPr>
      </w:pPr>
      <w:bookmarkStart w:id="123" w:name="_Toc29928"/>
      <w:r>
        <w:rPr>
          <w:rFonts w:hint="eastAsia" w:ascii="方正楷体简体" w:hAnsi="方正楷体简体" w:eastAsia="方正楷体简体" w:cs="方正楷体简体"/>
          <w:sz w:val="32"/>
          <w:szCs w:val="32"/>
          <w:highlight w:val="none"/>
          <w:lang w:val="en-US" w:eastAsia="zh-CN"/>
        </w:rPr>
        <w:t>（二）针对“制度建设不完善”的建议</w:t>
      </w:r>
      <w:bookmarkEnd w:id="123"/>
    </w:p>
    <w:p w14:paraId="2B471924">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val="en-US" w:eastAsia="zh-CN"/>
        </w:rPr>
        <w:t>建议：泸定县泸桥镇人民政府严格按照相关政策规定、管理规划、制度等制定相应的监督、管理制度，保障相关项目、政策在全过程监管、执行、绩效考核中均有理有据，并在一定程度上保障项目、政策既定效益得到有效发挥。</w:t>
      </w:r>
    </w:p>
    <w:p w14:paraId="2D0282D9">
      <w:pPr>
        <w:keepNext w:val="0"/>
        <w:keepLines w:val="0"/>
        <w:pageBreakBefore w:val="0"/>
        <w:numPr>
          <w:ilvl w:val="0"/>
          <w:numId w:val="0"/>
        </w:numPr>
        <w:kinsoku/>
        <w:wordWrap/>
        <w:overflowPunct/>
        <w:topLinePunct w:val="0"/>
        <w:autoSpaceDE/>
        <w:autoSpaceDN/>
        <w:bidi w:val="0"/>
        <w:spacing w:line="600" w:lineRule="exact"/>
        <w:ind w:firstLine="640" w:firstLineChars="200"/>
        <w:outlineLvl w:val="1"/>
        <w:rPr>
          <w:rFonts w:hint="eastAsia" w:ascii="方正楷体简体" w:hAnsi="方正楷体简体" w:eastAsia="方正楷体简体" w:cs="方正楷体简体"/>
          <w:sz w:val="32"/>
          <w:szCs w:val="32"/>
          <w:highlight w:val="none"/>
          <w:lang w:val="en-US" w:eastAsia="zh-CN"/>
        </w:rPr>
      </w:pPr>
      <w:bookmarkStart w:id="124" w:name="_Toc3857"/>
      <w:r>
        <w:rPr>
          <w:rFonts w:hint="eastAsia" w:ascii="方正楷体简体" w:hAnsi="方正楷体简体" w:eastAsia="方正楷体简体" w:cs="方正楷体简体"/>
          <w:sz w:val="32"/>
          <w:szCs w:val="32"/>
          <w:highlight w:val="none"/>
          <w:lang w:val="en-US" w:eastAsia="zh-CN"/>
        </w:rPr>
        <w:t>（三）针对“效益发挥不足”的建议</w:t>
      </w:r>
      <w:bookmarkEnd w:id="124"/>
    </w:p>
    <w:p w14:paraId="4C9F1E8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建议：泸定县泸桥镇人民政府充分开展项目实施民意调查跟踪，及时了解受益群众切身感受和利益保障，提升地区民众生活水平。</w:t>
      </w:r>
    </w:p>
    <w:p w14:paraId="38FF39C3">
      <w:pPr>
        <w:keepNext w:val="0"/>
        <w:keepLines w:val="0"/>
        <w:pageBreakBefore w:val="0"/>
        <w:numPr>
          <w:ilvl w:val="0"/>
          <w:numId w:val="0"/>
        </w:numPr>
        <w:kinsoku/>
        <w:wordWrap/>
        <w:overflowPunct/>
        <w:topLinePunct w:val="0"/>
        <w:autoSpaceDE/>
        <w:autoSpaceDN/>
        <w:bidi w:val="0"/>
        <w:spacing w:line="600" w:lineRule="exact"/>
        <w:ind w:firstLine="640" w:firstLineChars="200"/>
        <w:outlineLvl w:val="1"/>
        <w:rPr>
          <w:rFonts w:hint="eastAsia" w:ascii="方正楷体简体" w:hAnsi="方正楷体简体" w:eastAsia="方正楷体简体" w:cs="方正楷体简体"/>
          <w:sz w:val="32"/>
          <w:szCs w:val="32"/>
          <w:highlight w:val="none"/>
          <w:lang w:val="en-US" w:eastAsia="zh-CN"/>
        </w:rPr>
      </w:pPr>
      <w:bookmarkStart w:id="125" w:name="_Toc14486"/>
      <w:r>
        <w:rPr>
          <w:rFonts w:hint="eastAsia" w:ascii="方正楷体简体" w:hAnsi="方正楷体简体" w:eastAsia="方正楷体简体" w:cs="方正楷体简体"/>
          <w:sz w:val="32"/>
          <w:szCs w:val="32"/>
          <w:highlight w:val="none"/>
          <w:lang w:val="en-US" w:eastAsia="zh-CN"/>
        </w:rPr>
        <w:t>（四）针对“项目完成时间滞后”的建议</w:t>
      </w:r>
      <w:bookmarkEnd w:id="125"/>
    </w:p>
    <w:p w14:paraId="332B65AD">
      <w:pPr>
        <w:keepNext w:val="0"/>
        <w:keepLines w:val="0"/>
        <w:pageBreakBefore w:val="0"/>
        <w:numPr>
          <w:ilvl w:val="0"/>
          <w:numId w:val="0"/>
        </w:numPr>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sz w:val="32"/>
          <w:szCs w:val="32"/>
          <w:highlight w:val="none"/>
          <w:lang w:val="en-US" w:eastAsia="zh-CN"/>
        </w:rPr>
        <w:t>建议：</w:t>
      </w:r>
      <w:r>
        <w:rPr>
          <w:rFonts w:hint="eastAsia" w:ascii="方正仿宋简体" w:hAnsi="方正仿宋简体" w:eastAsia="方正仿宋简体" w:cs="方正仿宋简体"/>
          <w:color w:val="auto"/>
          <w:kern w:val="2"/>
          <w:sz w:val="32"/>
          <w:szCs w:val="32"/>
          <w:highlight w:val="none"/>
          <w:lang w:val="en-US" w:eastAsia="zh-CN" w:bidi="ar-SA"/>
        </w:rPr>
        <w:t>建议严格按照项目实施方案或合同约定时间加强项目进度控制，及时分析总结项目实施过程中进度滞后的原因，提出整改措施，加快推进项目实施进度，确保项目按计划顺利完成。</w:t>
      </w:r>
    </w:p>
    <w:p w14:paraId="112137AF">
      <w:pPr>
        <w:keepNext w:val="0"/>
        <w:keepLines w:val="0"/>
        <w:pageBreakBefore w:val="0"/>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sz w:val="32"/>
          <w:szCs w:val="32"/>
          <w:highlight w:val="none"/>
        </w:rPr>
      </w:pPr>
    </w:p>
    <w:p w14:paraId="02D4CF5C">
      <w:pPr>
        <w:keepNext w:val="0"/>
        <w:keepLines w:val="0"/>
        <w:pageBreakBefore w:val="0"/>
        <w:kinsoku/>
        <w:wordWrap/>
        <w:overflowPunct/>
        <w:topLinePunct w:val="0"/>
        <w:autoSpaceDE/>
        <w:autoSpaceDN/>
        <w:bidi w:val="0"/>
        <w:spacing w:line="600" w:lineRule="exact"/>
        <w:ind w:left="638" w:leftChars="228" w:firstLine="0" w:firstLineChars="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附件</w:t>
      </w:r>
      <w:bookmarkEnd w:id="122"/>
      <w:bookmarkStart w:id="126" w:name="_Toc8336"/>
      <w:bookmarkStart w:id="127" w:name="_Toc5975"/>
      <w:r>
        <w:rPr>
          <w:rFonts w:hint="eastAsia" w:ascii="方正仿宋简体" w:hAnsi="方正仿宋简体" w:eastAsia="方正仿宋简体" w:cs="方正仿宋简体"/>
          <w:sz w:val="32"/>
          <w:szCs w:val="32"/>
          <w:highlight w:val="none"/>
        </w:rPr>
        <w:t>：</w:t>
      </w:r>
      <w:bookmarkEnd w:id="126"/>
      <w:bookmarkEnd w:id="127"/>
      <w:r>
        <w:rPr>
          <w:rFonts w:hint="eastAsia" w:ascii="方正仿宋简体" w:hAnsi="方正仿宋简体" w:eastAsia="方正仿宋简体" w:cs="方正仿宋简体"/>
          <w:sz w:val="32"/>
          <w:szCs w:val="32"/>
          <w:highlight w:val="none"/>
        </w:rPr>
        <w:t>新城临时过渡安置租房补助政府性基金支出绩效评价指标表体系（评分表）</w:t>
      </w:r>
    </w:p>
    <w:p w14:paraId="20CAA858">
      <w:pPr>
        <w:pStyle w:val="2"/>
        <w:rPr>
          <w:rFonts w:hint="eastAsia" w:ascii="方正仿宋简体" w:hAnsi="方正仿宋简体" w:eastAsia="方正仿宋简体" w:cs="方正仿宋简体"/>
          <w:sz w:val="32"/>
          <w:szCs w:val="32"/>
          <w:highlight w:val="none"/>
        </w:rPr>
      </w:pPr>
    </w:p>
    <w:p w14:paraId="2623B6FD">
      <w:pPr>
        <w:rPr>
          <w:rFonts w:hint="eastAsia" w:ascii="方正仿宋简体" w:hAnsi="方正仿宋简体" w:eastAsia="方正仿宋简体" w:cs="方正仿宋简体"/>
          <w:sz w:val="32"/>
          <w:szCs w:val="32"/>
          <w:highlight w:val="none"/>
        </w:rPr>
      </w:pPr>
    </w:p>
    <w:p w14:paraId="346D6A03">
      <w:pPr>
        <w:pStyle w:val="2"/>
        <w:rPr>
          <w:rFonts w:hint="eastAsia"/>
          <w:highlight w:val="none"/>
        </w:rPr>
      </w:pPr>
    </w:p>
    <w:p w14:paraId="2C4F086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简体" w:hAnsi="方正仿宋简体" w:eastAsia="方正仿宋简体" w:cs="方正仿宋简体"/>
          <w:b w:val="0"/>
          <w:bCs w:val="0"/>
          <w:sz w:val="32"/>
          <w:szCs w:val="32"/>
          <w:highlight w:val="none"/>
          <w:lang w:val="en-US" w:eastAsia="zh-CN"/>
        </w:rPr>
      </w:pPr>
      <w:r>
        <w:rPr>
          <w:rFonts w:hint="eastAsia" w:ascii="方正仿宋简体" w:hAnsi="方正仿宋简体" w:eastAsia="方正仿宋简体" w:cs="方正仿宋简体"/>
          <w:b w:val="0"/>
          <w:bCs w:val="0"/>
          <w:sz w:val="32"/>
          <w:szCs w:val="32"/>
          <w:highlight w:val="none"/>
          <w:lang w:eastAsia="zh-CN"/>
        </w:rPr>
        <w:t>　　　　</w:t>
      </w:r>
      <w:bookmarkStart w:id="128" w:name="_GoBack"/>
      <w:bookmarkEnd w:id="128"/>
      <w:r>
        <w:rPr>
          <w:rFonts w:hint="eastAsia" w:ascii="方正仿宋简体" w:hAnsi="方正仿宋简体" w:eastAsia="方正仿宋简体" w:cs="方正仿宋简体"/>
          <w:b w:val="0"/>
          <w:bCs w:val="0"/>
          <w:sz w:val="32"/>
          <w:szCs w:val="32"/>
          <w:highlight w:val="none"/>
          <w:lang w:eastAsia="zh-CN"/>
        </w:rPr>
        <w:t>　</w:t>
      </w:r>
    </w:p>
    <w:p w14:paraId="56AF8BA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简体" w:hAnsi="方正仿宋简体" w:eastAsia="方正仿宋简体" w:cs="方正仿宋简体"/>
          <w:b w:val="0"/>
          <w:bCs w:val="0"/>
          <w:sz w:val="32"/>
          <w:szCs w:val="32"/>
          <w:highlight w:val="none"/>
          <w:lang w:eastAsia="zh-CN"/>
        </w:rPr>
      </w:pPr>
      <w:r>
        <w:rPr>
          <w:rFonts w:hint="eastAsia" w:ascii="方正仿宋简体" w:hAnsi="方正仿宋简体" w:eastAsia="方正仿宋简体" w:cs="方正仿宋简体"/>
          <w:b w:val="0"/>
          <w:bCs w:val="0"/>
          <w:sz w:val="32"/>
          <w:szCs w:val="32"/>
          <w:highlight w:val="none"/>
          <w:lang w:eastAsia="zh-CN"/>
        </w:rPr>
        <w:t>　　　　　　　　　　　</w:t>
      </w:r>
      <w:r>
        <w:rPr>
          <w:rFonts w:hint="eastAsia" w:ascii="方正仿宋简体" w:hAnsi="方正仿宋简体" w:eastAsia="方正仿宋简体" w:cs="方正仿宋简体"/>
          <w:b w:val="0"/>
          <w:bCs w:val="0"/>
          <w:sz w:val="32"/>
          <w:szCs w:val="32"/>
          <w:highlight w:val="none"/>
        </w:rPr>
        <w:t>二〇二四年九月一日</w:t>
      </w:r>
    </w:p>
    <w:p w14:paraId="4C6D0837">
      <w:pPr>
        <w:keepNext w:val="0"/>
        <w:keepLines w:val="0"/>
        <w:pageBreakBefore w:val="0"/>
        <w:kinsoku/>
        <w:wordWrap/>
        <w:overflowPunct/>
        <w:topLinePunct w:val="0"/>
        <w:autoSpaceDE/>
        <w:autoSpaceDN/>
        <w:bidi w:val="0"/>
        <w:spacing w:line="600" w:lineRule="exact"/>
        <w:rPr>
          <w:rFonts w:hint="eastAsia" w:ascii="方正仿宋简体" w:hAnsi="方正仿宋简体" w:eastAsia="方正仿宋简体" w:cs="方正仿宋简体"/>
          <w:color w:val="000000"/>
          <w:sz w:val="32"/>
          <w:szCs w:val="32"/>
          <w:highlight w:val="none"/>
        </w:rPr>
      </w:pPr>
    </w:p>
    <w:sectPr>
      <w:headerReference r:id="rId3" w:type="default"/>
      <w:footerReference r:id="rId4" w:type="default"/>
      <w:footerReference r:id="rId5" w:type="even"/>
      <w:pgSz w:w="11906" w:h="16838"/>
      <w:pgMar w:top="2098" w:right="1531" w:bottom="1871" w:left="1531" w:header="850" w:footer="992" w:gutter="0"/>
      <w:pgNumType w:fmt="decimal" w:start="1"/>
      <w:cols w:space="0"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方正仿宋简体">
    <w:panose1 w:val="03000509000000000000"/>
    <w:charset w:val="86"/>
    <w:family w:val="auto"/>
    <w:pitch w:val="default"/>
    <w:sig w:usb0="00000001" w:usb1="080E0000" w:usb2="00000000" w:usb3="00000000" w:csb0="00040000" w:csb1="00000000"/>
    <w:embedRegular r:id="rId1" w:fontKey="{1B8E8EE1-7112-466A-8E76-D0554DCFD69B}"/>
  </w:font>
  <w:font w:name="方正黑体简体">
    <w:panose1 w:val="03000509000000000000"/>
    <w:charset w:val="86"/>
    <w:family w:val="auto"/>
    <w:pitch w:val="default"/>
    <w:sig w:usb0="00000001" w:usb1="080E0000" w:usb2="00000000" w:usb3="00000000" w:csb0="00040000" w:csb1="00000000"/>
    <w:embedRegular r:id="rId2" w:fontKey="{FA69A292-92F2-423B-B544-8CFF5C69F241}"/>
  </w:font>
  <w:font w:name="方正小标宋简体">
    <w:panose1 w:val="03000509000000000000"/>
    <w:charset w:val="86"/>
    <w:family w:val="auto"/>
    <w:pitch w:val="default"/>
    <w:sig w:usb0="00000001" w:usb1="080E0000" w:usb2="00000000" w:usb3="00000000" w:csb0="00040000" w:csb1="00000000"/>
    <w:embedRegular r:id="rId3" w:fontKey="{59AB4515-05E0-4C38-81EF-D849EC989E75}"/>
  </w:font>
  <w:font w:name="方正楷体简体">
    <w:panose1 w:val="02000000000000000000"/>
    <w:charset w:val="86"/>
    <w:family w:val="auto"/>
    <w:pitch w:val="default"/>
    <w:sig w:usb0="00000001" w:usb1="080E0000" w:usb2="00000000" w:usb3="00000000" w:csb0="00040000" w:csb1="00000000"/>
    <w:embedRegular r:id="rId4" w:fontKey="{B8231F3E-295B-4CBE-9F8D-3F9F7B3F7FB3}"/>
  </w:font>
  <w:font w:name="方正仿宋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61611A">
    <w:pPr>
      <w:pStyle w:val="8"/>
      <w:jc w:val="center"/>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38418C">
                          <w:pPr>
                            <w:rPr>
                              <w:rFonts w:hint="default" w:ascii="Times New Roman" w:hAnsi="Times New Roman" w:cs="Times New Roman"/>
                              <w:sz w:val="32"/>
                              <w:szCs w:val="32"/>
                            </w:rPr>
                          </w:pPr>
                          <w:r>
                            <w:rPr>
                              <w:rFonts w:hint="default" w:ascii="Times New Roman" w:hAnsi="Times New Roman" w:cs="Times New Roman"/>
                              <w:sz w:val="32"/>
                              <w:szCs w:val="32"/>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cs="Times New Roman"/>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3jSMsAgAAVw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4feNIywCAABXBAAADgAAAAAAAAABACAAAAAfAQAAZHJzL2Uyb0RvYy54bWxQSwUGAAAAAAYA&#10;BgBZAQAAvQUAAAAA&#10;">
              <v:fill on="f" focussize="0,0"/>
              <v:stroke on="f" weight="0.5pt"/>
              <v:imagedata o:title=""/>
              <o:lock v:ext="edit" aspectratio="f"/>
              <v:textbox inset="0mm,0mm,0mm,0mm" style="mso-fit-shape-to-text:t;">
                <w:txbxContent>
                  <w:p w14:paraId="3B38418C">
                    <w:pPr>
                      <w:rPr>
                        <w:rFonts w:hint="default" w:ascii="Times New Roman" w:hAnsi="Times New Roman" w:cs="Times New Roman"/>
                        <w:sz w:val="32"/>
                        <w:szCs w:val="32"/>
                      </w:rPr>
                    </w:pPr>
                    <w:r>
                      <w:rPr>
                        <w:rFonts w:hint="default" w:ascii="Times New Roman" w:hAnsi="Times New Roman" w:cs="Times New Roman"/>
                        <w:sz w:val="32"/>
                        <w:szCs w:val="32"/>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cs="Times New Roman"/>
                        <w:sz w:val="32"/>
                        <w:szCs w:val="32"/>
                      </w:rPr>
                      <w:t xml:space="preserve"> —</w:t>
                    </w:r>
                  </w:p>
                </w:txbxContent>
              </v:textbox>
            </v:shape>
          </w:pict>
        </mc:Fallback>
      </mc:AlternateContent>
    </w:r>
  </w:p>
  <w:p w14:paraId="51D6DCBD">
    <w:pPr>
      <w:pStyle w:val="8"/>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ED99F">
    <w:pPr>
      <w:pStyle w:val="8"/>
      <w:tabs>
        <w:tab w:val="right" w:pos="8528"/>
        <w:tab w:val="clear" w:pos="4153"/>
      </w:tabs>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E40AC9">
                          <w:pPr>
                            <w:pStyle w:val="8"/>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7FE40AC9">
                    <w:pPr>
                      <w:pStyle w:val="8"/>
                    </w:pPr>
                    <w:r>
                      <w:fldChar w:fldCharType="begin"/>
                    </w:r>
                    <w:r>
                      <w:instrText xml:space="preserve"> PAGE  \* MERGEFORMAT </w:instrText>
                    </w:r>
                    <w:r>
                      <w:fldChar w:fldCharType="separate"/>
                    </w:r>
                    <w:r>
                      <w:t>- 2 -</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CA84D6"/>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1ACA84D6"/>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0A0EC4">
    <w:pPr>
      <w:pStyle w:val="9"/>
      <w:pBdr>
        <w:bottom w:val="none" w:color="auto" w:sz="0" w:space="1"/>
      </w:pBdr>
      <w:ind w:firstLine="0"/>
      <w:jc w:val="both"/>
      <w:rPr>
        <w:sz w:val="21"/>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598787663" name="文本框 59878766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37C25B"/>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s0lY7tAAAAAFAQAADwAAAAAAAAABACAAAAAiAAAAZHJzL2Rvd25yZXYueG1sUEsB&#10;AhQAFAAAAAgAh07iQGB+kcg2AgAAZQQAAA4AAAAAAAAAAQAgAAAAHwEAAGRycy9lMm9Eb2MueG1s&#10;UEsFBgAAAAAGAAYAWQEAAMcFAAAAAA==&#10;">
              <v:fill on="f" focussize="0,0"/>
              <v:stroke on="f" weight="0.5pt"/>
              <v:imagedata o:title=""/>
              <o:lock v:ext="edit" aspectratio="f"/>
              <v:textbox inset="0mm,0mm,0mm,0mm" style="mso-fit-shape-to-text:t;">
                <w:txbxContent>
                  <w:p w14:paraId="0E37C25B"/>
                </w:txbxContent>
              </v:textbox>
            </v:shape>
          </w:pict>
        </mc:Fallback>
      </mc:AlternateContent>
    </w:r>
    <w:r>
      <w:rPr>
        <w:rFonts w:hint="eastAsia" w:eastAsia="宋体"/>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FC39D1"/>
    <w:multiLevelType w:val="singleLevel"/>
    <w:tmpl w:val="8BFC39D1"/>
    <w:lvl w:ilvl="0" w:tentative="0">
      <w:start w:val="8"/>
      <w:numFmt w:val="chineseCounting"/>
      <w:suff w:val="nothing"/>
      <w:lvlText w:val="（%1）"/>
      <w:lvlJc w:val="left"/>
      <w:rPr>
        <w:rFonts w:hint="eastAsia" w:ascii="方正楷体简体" w:hAnsi="方正楷体简体" w:eastAsia="方正楷体简体" w:cs="方正楷体简体"/>
        <w:sz w:val="32"/>
        <w:szCs w:val="32"/>
      </w:rPr>
    </w:lvl>
  </w:abstractNum>
  <w:abstractNum w:abstractNumId="1">
    <w:nsid w:val="EF37DDED"/>
    <w:multiLevelType w:val="singleLevel"/>
    <w:tmpl w:val="EF37DDED"/>
    <w:lvl w:ilvl="0" w:tentative="0">
      <w:start w:val="4"/>
      <w:numFmt w:val="chineseCounting"/>
      <w:suff w:val="nothing"/>
      <w:lvlText w:val="（%1）"/>
      <w:lvlJc w:val="left"/>
      <w:rPr>
        <w:rFonts w:hint="eastAsia" w:ascii="方正楷体简体" w:hAnsi="方正楷体简体" w:eastAsia="方正楷体简体" w:cs="方正楷体简体"/>
        <w:sz w:val="32"/>
        <w:szCs w:val="32"/>
      </w:rPr>
    </w:lvl>
  </w:abstractNum>
  <w:abstractNum w:abstractNumId="2">
    <w:nsid w:val="2676272A"/>
    <w:multiLevelType w:val="multilevel"/>
    <w:tmpl w:val="2676272A"/>
    <w:lvl w:ilvl="0" w:tentative="0">
      <w:start w:val="1"/>
      <w:numFmt w:val="decimal"/>
      <w:suff w:val="nothing"/>
      <w:lvlText w:val="%1."/>
      <w:lvlJc w:val="left"/>
      <w:pPr>
        <w:ind w:left="980" w:hanging="420"/>
      </w:pPr>
      <w:rPr>
        <w:rFonts w:hint="default" w:ascii="Times New Roman" w:hAnsi="Times New Roman" w:eastAsia="仿宋"/>
        <w:b w:val="0"/>
        <w:i w:val="0"/>
        <w:sz w:val="32"/>
        <w:szCs w:val="32"/>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3">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4"/>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40"/>
  <w:drawingGridVerticalSpacing w:val="38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FhZjA1ZDYwZTQyOTVmYzkxZGI0NDg1YWQ3Njk0YjgifQ=="/>
  </w:docVars>
  <w:rsids>
    <w:rsidRoot w:val="00172A27"/>
    <w:rsid w:val="00005700"/>
    <w:rsid w:val="00013131"/>
    <w:rsid w:val="0001396A"/>
    <w:rsid w:val="00022C4D"/>
    <w:rsid w:val="00027CF7"/>
    <w:rsid w:val="000343B9"/>
    <w:rsid w:val="00040F42"/>
    <w:rsid w:val="00065343"/>
    <w:rsid w:val="00065AD5"/>
    <w:rsid w:val="00095EF1"/>
    <w:rsid w:val="000A1D8C"/>
    <w:rsid w:val="000A1E17"/>
    <w:rsid w:val="000B3476"/>
    <w:rsid w:val="000C1FDB"/>
    <w:rsid w:val="000C33E5"/>
    <w:rsid w:val="000C640E"/>
    <w:rsid w:val="000D3132"/>
    <w:rsid w:val="000D4071"/>
    <w:rsid w:val="000D4AF5"/>
    <w:rsid w:val="001148D3"/>
    <w:rsid w:val="00120F9A"/>
    <w:rsid w:val="00127F9D"/>
    <w:rsid w:val="0013065B"/>
    <w:rsid w:val="001344B2"/>
    <w:rsid w:val="00134855"/>
    <w:rsid w:val="001353A8"/>
    <w:rsid w:val="00145CA9"/>
    <w:rsid w:val="00145DD7"/>
    <w:rsid w:val="0014777D"/>
    <w:rsid w:val="00162341"/>
    <w:rsid w:val="001708DE"/>
    <w:rsid w:val="00170905"/>
    <w:rsid w:val="001724D3"/>
    <w:rsid w:val="00172A27"/>
    <w:rsid w:val="00176C04"/>
    <w:rsid w:val="001775C7"/>
    <w:rsid w:val="00180637"/>
    <w:rsid w:val="00185CA6"/>
    <w:rsid w:val="001A7A5A"/>
    <w:rsid w:val="001D1FC2"/>
    <w:rsid w:val="001E4348"/>
    <w:rsid w:val="001E5796"/>
    <w:rsid w:val="001F11FF"/>
    <w:rsid w:val="001F5C32"/>
    <w:rsid w:val="001F63D6"/>
    <w:rsid w:val="00222568"/>
    <w:rsid w:val="00243F87"/>
    <w:rsid w:val="00247BA8"/>
    <w:rsid w:val="002539F8"/>
    <w:rsid w:val="002570D0"/>
    <w:rsid w:val="00260600"/>
    <w:rsid w:val="00266BA5"/>
    <w:rsid w:val="002734D5"/>
    <w:rsid w:val="00275588"/>
    <w:rsid w:val="00287756"/>
    <w:rsid w:val="00293F77"/>
    <w:rsid w:val="002A212C"/>
    <w:rsid w:val="002D6E49"/>
    <w:rsid w:val="002F7B42"/>
    <w:rsid w:val="00302BCD"/>
    <w:rsid w:val="003133F3"/>
    <w:rsid w:val="00317DCF"/>
    <w:rsid w:val="00320D39"/>
    <w:rsid w:val="0032304E"/>
    <w:rsid w:val="00332C7B"/>
    <w:rsid w:val="00336234"/>
    <w:rsid w:val="003401A3"/>
    <w:rsid w:val="0034032B"/>
    <w:rsid w:val="00350333"/>
    <w:rsid w:val="00380FC9"/>
    <w:rsid w:val="00384CF2"/>
    <w:rsid w:val="003942E4"/>
    <w:rsid w:val="003B4758"/>
    <w:rsid w:val="003B50E7"/>
    <w:rsid w:val="003B74AB"/>
    <w:rsid w:val="003C0388"/>
    <w:rsid w:val="003D5286"/>
    <w:rsid w:val="003E2D83"/>
    <w:rsid w:val="003E30D4"/>
    <w:rsid w:val="003F0E80"/>
    <w:rsid w:val="003F24EA"/>
    <w:rsid w:val="003F4549"/>
    <w:rsid w:val="00415B00"/>
    <w:rsid w:val="004255E8"/>
    <w:rsid w:val="00427415"/>
    <w:rsid w:val="004279E2"/>
    <w:rsid w:val="0044122C"/>
    <w:rsid w:val="00443DB6"/>
    <w:rsid w:val="0044580E"/>
    <w:rsid w:val="004549BF"/>
    <w:rsid w:val="00456726"/>
    <w:rsid w:val="004646A3"/>
    <w:rsid w:val="00465D4B"/>
    <w:rsid w:val="00485878"/>
    <w:rsid w:val="00490688"/>
    <w:rsid w:val="004B1E39"/>
    <w:rsid w:val="004B284C"/>
    <w:rsid w:val="004B4E71"/>
    <w:rsid w:val="004E08E6"/>
    <w:rsid w:val="0053054F"/>
    <w:rsid w:val="005512A0"/>
    <w:rsid w:val="00551BFB"/>
    <w:rsid w:val="005570A7"/>
    <w:rsid w:val="00570817"/>
    <w:rsid w:val="00585F86"/>
    <w:rsid w:val="005A2165"/>
    <w:rsid w:val="005A47DD"/>
    <w:rsid w:val="005C6A21"/>
    <w:rsid w:val="005C7878"/>
    <w:rsid w:val="005E33C9"/>
    <w:rsid w:val="005E6F67"/>
    <w:rsid w:val="005E7CEF"/>
    <w:rsid w:val="005F18EA"/>
    <w:rsid w:val="005F30FB"/>
    <w:rsid w:val="00601A94"/>
    <w:rsid w:val="00604A9B"/>
    <w:rsid w:val="00625E84"/>
    <w:rsid w:val="00646411"/>
    <w:rsid w:val="00656DB3"/>
    <w:rsid w:val="0066553B"/>
    <w:rsid w:val="0069157A"/>
    <w:rsid w:val="006965A8"/>
    <w:rsid w:val="006A07AB"/>
    <w:rsid w:val="006C308B"/>
    <w:rsid w:val="006C5F54"/>
    <w:rsid w:val="006F13C3"/>
    <w:rsid w:val="006F2143"/>
    <w:rsid w:val="006F31BB"/>
    <w:rsid w:val="0070573C"/>
    <w:rsid w:val="007118F7"/>
    <w:rsid w:val="007141F1"/>
    <w:rsid w:val="00715D85"/>
    <w:rsid w:val="007178A9"/>
    <w:rsid w:val="007221E5"/>
    <w:rsid w:val="00724CC2"/>
    <w:rsid w:val="007304E9"/>
    <w:rsid w:val="0074590D"/>
    <w:rsid w:val="007510A0"/>
    <w:rsid w:val="00764566"/>
    <w:rsid w:val="00772B64"/>
    <w:rsid w:val="007765A5"/>
    <w:rsid w:val="007A23C2"/>
    <w:rsid w:val="007A714B"/>
    <w:rsid w:val="007B0D55"/>
    <w:rsid w:val="007B5F3A"/>
    <w:rsid w:val="007B6521"/>
    <w:rsid w:val="007C12F8"/>
    <w:rsid w:val="007D13A4"/>
    <w:rsid w:val="007E2E45"/>
    <w:rsid w:val="007E5CD9"/>
    <w:rsid w:val="00804DDE"/>
    <w:rsid w:val="008142C0"/>
    <w:rsid w:val="00816D76"/>
    <w:rsid w:val="00844453"/>
    <w:rsid w:val="00844FFA"/>
    <w:rsid w:val="0085646D"/>
    <w:rsid w:val="008608C4"/>
    <w:rsid w:val="008700E1"/>
    <w:rsid w:val="00870DA1"/>
    <w:rsid w:val="00874752"/>
    <w:rsid w:val="00891D33"/>
    <w:rsid w:val="008B2190"/>
    <w:rsid w:val="008B3C2A"/>
    <w:rsid w:val="008C7942"/>
    <w:rsid w:val="008D1222"/>
    <w:rsid w:val="008F709E"/>
    <w:rsid w:val="00913AAB"/>
    <w:rsid w:val="00915BF4"/>
    <w:rsid w:val="00916CC3"/>
    <w:rsid w:val="00934B72"/>
    <w:rsid w:val="00936B62"/>
    <w:rsid w:val="009469D8"/>
    <w:rsid w:val="00947CAA"/>
    <w:rsid w:val="009519DD"/>
    <w:rsid w:val="00970916"/>
    <w:rsid w:val="00977F0D"/>
    <w:rsid w:val="00982A1F"/>
    <w:rsid w:val="00984364"/>
    <w:rsid w:val="00990626"/>
    <w:rsid w:val="009A14D8"/>
    <w:rsid w:val="009A4E40"/>
    <w:rsid w:val="009B3C14"/>
    <w:rsid w:val="009E5470"/>
    <w:rsid w:val="009F4589"/>
    <w:rsid w:val="00A04271"/>
    <w:rsid w:val="00A150C1"/>
    <w:rsid w:val="00A21DA0"/>
    <w:rsid w:val="00A234C6"/>
    <w:rsid w:val="00A3511F"/>
    <w:rsid w:val="00A40427"/>
    <w:rsid w:val="00A6426B"/>
    <w:rsid w:val="00A649CB"/>
    <w:rsid w:val="00A7593B"/>
    <w:rsid w:val="00A80327"/>
    <w:rsid w:val="00A83D99"/>
    <w:rsid w:val="00A8572E"/>
    <w:rsid w:val="00A97621"/>
    <w:rsid w:val="00AA4146"/>
    <w:rsid w:val="00AB5C77"/>
    <w:rsid w:val="00AC4CCA"/>
    <w:rsid w:val="00AD1C0E"/>
    <w:rsid w:val="00AD64C4"/>
    <w:rsid w:val="00AE0EA5"/>
    <w:rsid w:val="00B0025A"/>
    <w:rsid w:val="00B01FE3"/>
    <w:rsid w:val="00B07D55"/>
    <w:rsid w:val="00B10F18"/>
    <w:rsid w:val="00B238E5"/>
    <w:rsid w:val="00B357F0"/>
    <w:rsid w:val="00B428CC"/>
    <w:rsid w:val="00B54DD1"/>
    <w:rsid w:val="00B61B81"/>
    <w:rsid w:val="00B667D3"/>
    <w:rsid w:val="00B86407"/>
    <w:rsid w:val="00B9416F"/>
    <w:rsid w:val="00B95365"/>
    <w:rsid w:val="00BA2106"/>
    <w:rsid w:val="00BA4573"/>
    <w:rsid w:val="00BB0157"/>
    <w:rsid w:val="00BC1E79"/>
    <w:rsid w:val="00BC3771"/>
    <w:rsid w:val="00BD73FD"/>
    <w:rsid w:val="00BF1745"/>
    <w:rsid w:val="00C0068C"/>
    <w:rsid w:val="00C010DC"/>
    <w:rsid w:val="00C10A63"/>
    <w:rsid w:val="00C15E2B"/>
    <w:rsid w:val="00C2036B"/>
    <w:rsid w:val="00C26C5E"/>
    <w:rsid w:val="00C27DBC"/>
    <w:rsid w:val="00C30AEA"/>
    <w:rsid w:val="00C367CE"/>
    <w:rsid w:val="00C4082F"/>
    <w:rsid w:val="00C42AC9"/>
    <w:rsid w:val="00C46DF1"/>
    <w:rsid w:val="00C473DE"/>
    <w:rsid w:val="00C57E48"/>
    <w:rsid w:val="00C60C5F"/>
    <w:rsid w:val="00C90FAA"/>
    <w:rsid w:val="00C95EE1"/>
    <w:rsid w:val="00CB3663"/>
    <w:rsid w:val="00CC48A9"/>
    <w:rsid w:val="00CD1115"/>
    <w:rsid w:val="00CE47F8"/>
    <w:rsid w:val="00CF1087"/>
    <w:rsid w:val="00CF395F"/>
    <w:rsid w:val="00D0292A"/>
    <w:rsid w:val="00D03F28"/>
    <w:rsid w:val="00D10437"/>
    <w:rsid w:val="00D17FF2"/>
    <w:rsid w:val="00D21234"/>
    <w:rsid w:val="00D32F3D"/>
    <w:rsid w:val="00D40684"/>
    <w:rsid w:val="00D674C9"/>
    <w:rsid w:val="00DA0182"/>
    <w:rsid w:val="00DA2CFE"/>
    <w:rsid w:val="00DB0266"/>
    <w:rsid w:val="00DB4299"/>
    <w:rsid w:val="00DD6F63"/>
    <w:rsid w:val="00DE26C8"/>
    <w:rsid w:val="00DF4201"/>
    <w:rsid w:val="00E12623"/>
    <w:rsid w:val="00E21D9A"/>
    <w:rsid w:val="00E26327"/>
    <w:rsid w:val="00E302B2"/>
    <w:rsid w:val="00E31F42"/>
    <w:rsid w:val="00E47630"/>
    <w:rsid w:val="00E54124"/>
    <w:rsid w:val="00E57013"/>
    <w:rsid w:val="00E81810"/>
    <w:rsid w:val="00EA5C64"/>
    <w:rsid w:val="00EB16FE"/>
    <w:rsid w:val="00EB7419"/>
    <w:rsid w:val="00EB7CC9"/>
    <w:rsid w:val="00EC36B4"/>
    <w:rsid w:val="00EC4E9D"/>
    <w:rsid w:val="00EE02EB"/>
    <w:rsid w:val="00EE1A30"/>
    <w:rsid w:val="00EE3529"/>
    <w:rsid w:val="00EE48FB"/>
    <w:rsid w:val="00EE6953"/>
    <w:rsid w:val="00EE7FC6"/>
    <w:rsid w:val="00EF19CA"/>
    <w:rsid w:val="00F16737"/>
    <w:rsid w:val="00F23DAE"/>
    <w:rsid w:val="00F274AA"/>
    <w:rsid w:val="00F30D9C"/>
    <w:rsid w:val="00F32602"/>
    <w:rsid w:val="00F3509C"/>
    <w:rsid w:val="00F447DD"/>
    <w:rsid w:val="00F46E00"/>
    <w:rsid w:val="00F50B3A"/>
    <w:rsid w:val="00F534D0"/>
    <w:rsid w:val="00F553F5"/>
    <w:rsid w:val="00F755C2"/>
    <w:rsid w:val="00F80E20"/>
    <w:rsid w:val="00FB3728"/>
    <w:rsid w:val="00FC3561"/>
    <w:rsid w:val="00FE38B2"/>
    <w:rsid w:val="00FF3147"/>
    <w:rsid w:val="01056705"/>
    <w:rsid w:val="01AE1362"/>
    <w:rsid w:val="028212C5"/>
    <w:rsid w:val="0295277A"/>
    <w:rsid w:val="030550DE"/>
    <w:rsid w:val="0307791A"/>
    <w:rsid w:val="03810B86"/>
    <w:rsid w:val="0385027D"/>
    <w:rsid w:val="03895C68"/>
    <w:rsid w:val="039D1411"/>
    <w:rsid w:val="03C46413"/>
    <w:rsid w:val="041F4DBF"/>
    <w:rsid w:val="04B51984"/>
    <w:rsid w:val="05370DC3"/>
    <w:rsid w:val="05704583"/>
    <w:rsid w:val="06F515E9"/>
    <w:rsid w:val="074574B7"/>
    <w:rsid w:val="076743EF"/>
    <w:rsid w:val="07B50534"/>
    <w:rsid w:val="0815093A"/>
    <w:rsid w:val="08CA0DBA"/>
    <w:rsid w:val="08DA47AD"/>
    <w:rsid w:val="09D6077C"/>
    <w:rsid w:val="0AA10A64"/>
    <w:rsid w:val="0AF44EAD"/>
    <w:rsid w:val="0B386398"/>
    <w:rsid w:val="0C9B30EF"/>
    <w:rsid w:val="0CC90B55"/>
    <w:rsid w:val="0D7C008D"/>
    <w:rsid w:val="0DA06897"/>
    <w:rsid w:val="0DF462ED"/>
    <w:rsid w:val="0E19564B"/>
    <w:rsid w:val="0E22759B"/>
    <w:rsid w:val="0E5E23AA"/>
    <w:rsid w:val="0E7F3C56"/>
    <w:rsid w:val="0EF610D2"/>
    <w:rsid w:val="0FCEE19E"/>
    <w:rsid w:val="0FEDD33C"/>
    <w:rsid w:val="10C177C0"/>
    <w:rsid w:val="10FB12CE"/>
    <w:rsid w:val="11A54F88"/>
    <w:rsid w:val="12F71BB3"/>
    <w:rsid w:val="134E407D"/>
    <w:rsid w:val="139E2AFC"/>
    <w:rsid w:val="144B4CE8"/>
    <w:rsid w:val="14791264"/>
    <w:rsid w:val="14F52C04"/>
    <w:rsid w:val="155B04E5"/>
    <w:rsid w:val="15762967"/>
    <w:rsid w:val="15FF6AB8"/>
    <w:rsid w:val="16B348F3"/>
    <w:rsid w:val="16BA737C"/>
    <w:rsid w:val="17404D18"/>
    <w:rsid w:val="179E79D9"/>
    <w:rsid w:val="186A5A33"/>
    <w:rsid w:val="18A93AFC"/>
    <w:rsid w:val="18C55A5F"/>
    <w:rsid w:val="18DD5A8A"/>
    <w:rsid w:val="19430B61"/>
    <w:rsid w:val="196B6F54"/>
    <w:rsid w:val="19CD71FA"/>
    <w:rsid w:val="1A94413A"/>
    <w:rsid w:val="1AC82436"/>
    <w:rsid w:val="1BAA0BEC"/>
    <w:rsid w:val="1BDF6BC8"/>
    <w:rsid w:val="1C535707"/>
    <w:rsid w:val="1D4F18C5"/>
    <w:rsid w:val="1D5C6857"/>
    <w:rsid w:val="1D9444AE"/>
    <w:rsid w:val="1D9A1CE4"/>
    <w:rsid w:val="1E222CBC"/>
    <w:rsid w:val="1EBF8E91"/>
    <w:rsid w:val="1ED35C04"/>
    <w:rsid w:val="1F406C39"/>
    <w:rsid w:val="1F5275D0"/>
    <w:rsid w:val="1FE92B41"/>
    <w:rsid w:val="20CB7E98"/>
    <w:rsid w:val="222D5CA1"/>
    <w:rsid w:val="235D6114"/>
    <w:rsid w:val="23F46FD7"/>
    <w:rsid w:val="24101808"/>
    <w:rsid w:val="24283899"/>
    <w:rsid w:val="248C4080"/>
    <w:rsid w:val="257C14F2"/>
    <w:rsid w:val="262D6E6F"/>
    <w:rsid w:val="26331263"/>
    <w:rsid w:val="265058AE"/>
    <w:rsid w:val="273B0505"/>
    <w:rsid w:val="277338DD"/>
    <w:rsid w:val="27FF4D71"/>
    <w:rsid w:val="282B56B9"/>
    <w:rsid w:val="28317601"/>
    <w:rsid w:val="2851064C"/>
    <w:rsid w:val="2892137F"/>
    <w:rsid w:val="28EA1A45"/>
    <w:rsid w:val="294B0B24"/>
    <w:rsid w:val="29581F66"/>
    <w:rsid w:val="29942B89"/>
    <w:rsid w:val="2A14341E"/>
    <w:rsid w:val="2A210B04"/>
    <w:rsid w:val="2A2368F1"/>
    <w:rsid w:val="2A7F945E"/>
    <w:rsid w:val="2A817549"/>
    <w:rsid w:val="2ACD2201"/>
    <w:rsid w:val="2AF467D7"/>
    <w:rsid w:val="2B8F2245"/>
    <w:rsid w:val="2BBE5215"/>
    <w:rsid w:val="2BD8212D"/>
    <w:rsid w:val="2BFDA77C"/>
    <w:rsid w:val="2C66157A"/>
    <w:rsid w:val="2CED406D"/>
    <w:rsid w:val="2CF33CB4"/>
    <w:rsid w:val="2D324D1A"/>
    <w:rsid w:val="2D525A3B"/>
    <w:rsid w:val="2D6319D3"/>
    <w:rsid w:val="2DF126AA"/>
    <w:rsid w:val="2DF91330"/>
    <w:rsid w:val="2EAB4317"/>
    <w:rsid w:val="2EBDC04F"/>
    <w:rsid w:val="2F3274A5"/>
    <w:rsid w:val="2F552ED6"/>
    <w:rsid w:val="2F70357F"/>
    <w:rsid w:val="2FF755DD"/>
    <w:rsid w:val="3052247A"/>
    <w:rsid w:val="3090670D"/>
    <w:rsid w:val="30D4086C"/>
    <w:rsid w:val="312B48AF"/>
    <w:rsid w:val="318F0210"/>
    <w:rsid w:val="31F02F3C"/>
    <w:rsid w:val="32660A28"/>
    <w:rsid w:val="32A47AB4"/>
    <w:rsid w:val="32AC5D7B"/>
    <w:rsid w:val="32CB27BC"/>
    <w:rsid w:val="32FC75D4"/>
    <w:rsid w:val="33D34794"/>
    <w:rsid w:val="347C0EBF"/>
    <w:rsid w:val="34B42BB5"/>
    <w:rsid w:val="34C73C1C"/>
    <w:rsid w:val="34C957E7"/>
    <w:rsid w:val="34EE2BB5"/>
    <w:rsid w:val="36001598"/>
    <w:rsid w:val="360308FA"/>
    <w:rsid w:val="36783E87"/>
    <w:rsid w:val="36870F62"/>
    <w:rsid w:val="369B1CB2"/>
    <w:rsid w:val="369F01D5"/>
    <w:rsid w:val="36AF3103"/>
    <w:rsid w:val="36BF54EC"/>
    <w:rsid w:val="36DC449D"/>
    <w:rsid w:val="36EDA54C"/>
    <w:rsid w:val="372D446F"/>
    <w:rsid w:val="373C7A80"/>
    <w:rsid w:val="377DC02A"/>
    <w:rsid w:val="37BB122C"/>
    <w:rsid w:val="37E36263"/>
    <w:rsid w:val="37F72B7F"/>
    <w:rsid w:val="38D85C62"/>
    <w:rsid w:val="391FD347"/>
    <w:rsid w:val="3A3949DD"/>
    <w:rsid w:val="3A4C3409"/>
    <w:rsid w:val="3A5F4A38"/>
    <w:rsid w:val="3AE5274E"/>
    <w:rsid w:val="3B3522AA"/>
    <w:rsid w:val="3B3D6F96"/>
    <w:rsid w:val="3B626037"/>
    <w:rsid w:val="3B6A3F8A"/>
    <w:rsid w:val="3BA9E31C"/>
    <w:rsid w:val="3D1F22E5"/>
    <w:rsid w:val="3D997564"/>
    <w:rsid w:val="3DD12550"/>
    <w:rsid w:val="3E432DCF"/>
    <w:rsid w:val="3E8E1632"/>
    <w:rsid w:val="3E9FF9E4"/>
    <w:rsid w:val="3EEF2905"/>
    <w:rsid w:val="3EEF87E3"/>
    <w:rsid w:val="3FB5575F"/>
    <w:rsid w:val="3FB57775"/>
    <w:rsid w:val="3FBFEC52"/>
    <w:rsid w:val="3FCE5EC9"/>
    <w:rsid w:val="3FFD6C8D"/>
    <w:rsid w:val="400D7690"/>
    <w:rsid w:val="40354A4B"/>
    <w:rsid w:val="4069560F"/>
    <w:rsid w:val="415A6585"/>
    <w:rsid w:val="41DC7289"/>
    <w:rsid w:val="41FD2ABB"/>
    <w:rsid w:val="42440BA3"/>
    <w:rsid w:val="425C18F8"/>
    <w:rsid w:val="4294088C"/>
    <w:rsid w:val="42982F61"/>
    <w:rsid w:val="42A2347D"/>
    <w:rsid w:val="42E77859"/>
    <w:rsid w:val="42EB7271"/>
    <w:rsid w:val="43802285"/>
    <w:rsid w:val="43D2284D"/>
    <w:rsid w:val="43ED42A2"/>
    <w:rsid w:val="44865DC2"/>
    <w:rsid w:val="44A86EA6"/>
    <w:rsid w:val="44FE2B7A"/>
    <w:rsid w:val="452477C4"/>
    <w:rsid w:val="455812EC"/>
    <w:rsid w:val="455851CB"/>
    <w:rsid w:val="45761D23"/>
    <w:rsid w:val="459B16D3"/>
    <w:rsid w:val="462654C2"/>
    <w:rsid w:val="462A15BD"/>
    <w:rsid w:val="477AA038"/>
    <w:rsid w:val="481D51B8"/>
    <w:rsid w:val="48B40588"/>
    <w:rsid w:val="48D56225"/>
    <w:rsid w:val="49605DAC"/>
    <w:rsid w:val="49FFC2D1"/>
    <w:rsid w:val="4A3F0AC3"/>
    <w:rsid w:val="4AFA2C7B"/>
    <w:rsid w:val="4B404837"/>
    <w:rsid w:val="4B6B11A9"/>
    <w:rsid w:val="4B863FDA"/>
    <w:rsid w:val="4BC23D1C"/>
    <w:rsid w:val="4BDE4024"/>
    <w:rsid w:val="4C907F6D"/>
    <w:rsid w:val="4CAE35BE"/>
    <w:rsid w:val="4D6E449B"/>
    <w:rsid w:val="4E7F4CED"/>
    <w:rsid w:val="4F7241B1"/>
    <w:rsid w:val="4FFFCD54"/>
    <w:rsid w:val="507D0BBC"/>
    <w:rsid w:val="507E6B2A"/>
    <w:rsid w:val="51290B58"/>
    <w:rsid w:val="51381763"/>
    <w:rsid w:val="52265F38"/>
    <w:rsid w:val="52EF2BDF"/>
    <w:rsid w:val="53D138E8"/>
    <w:rsid w:val="53FE2BF5"/>
    <w:rsid w:val="543748C0"/>
    <w:rsid w:val="55AC2CD2"/>
    <w:rsid w:val="55B812E3"/>
    <w:rsid w:val="561A2F05"/>
    <w:rsid w:val="563D0083"/>
    <w:rsid w:val="56934204"/>
    <w:rsid w:val="56A7003A"/>
    <w:rsid w:val="56DC53F6"/>
    <w:rsid w:val="56F7792F"/>
    <w:rsid w:val="575D29C4"/>
    <w:rsid w:val="577B4EF8"/>
    <w:rsid w:val="579A41D9"/>
    <w:rsid w:val="57BD0169"/>
    <w:rsid w:val="57E13BCA"/>
    <w:rsid w:val="57F939E1"/>
    <w:rsid w:val="584F0184"/>
    <w:rsid w:val="5864421C"/>
    <w:rsid w:val="58B97342"/>
    <w:rsid w:val="58CA26BF"/>
    <w:rsid w:val="5901172B"/>
    <w:rsid w:val="59065CB4"/>
    <w:rsid w:val="596C2DB0"/>
    <w:rsid w:val="59821BED"/>
    <w:rsid w:val="5AB4383C"/>
    <w:rsid w:val="5ABB2895"/>
    <w:rsid w:val="5B3C271A"/>
    <w:rsid w:val="5B9952E7"/>
    <w:rsid w:val="5C5537BA"/>
    <w:rsid w:val="5C694A22"/>
    <w:rsid w:val="5D07484F"/>
    <w:rsid w:val="5D2B089F"/>
    <w:rsid w:val="5D3C5456"/>
    <w:rsid w:val="5D5BF516"/>
    <w:rsid w:val="5DE363B4"/>
    <w:rsid w:val="5FE31B11"/>
    <w:rsid w:val="5FF4FC2B"/>
    <w:rsid w:val="5FFBCD3B"/>
    <w:rsid w:val="5FFD34BB"/>
    <w:rsid w:val="5FFE5558"/>
    <w:rsid w:val="6020741B"/>
    <w:rsid w:val="60280523"/>
    <w:rsid w:val="608914CC"/>
    <w:rsid w:val="60C364F2"/>
    <w:rsid w:val="615C16D6"/>
    <w:rsid w:val="61876B95"/>
    <w:rsid w:val="618A3DC3"/>
    <w:rsid w:val="619F4477"/>
    <w:rsid w:val="627C5614"/>
    <w:rsid w:val="62B74F26"/>
    <w:rsid w:val="62BA758E"/>
    <w:rsid w:val="62BB6119"/>
    <w:rsid w:val="62DB2B6C"/>
    <w:rsid w:val="634E45C9"/>
    <w:rsid w:val="63A71F74"/>
    <w:rsid w:val="63AF6478"/>
    <w:rsid w:val="63DDBBBB"/>
    <w:rsid w:val="65A32AFE"/>
    <w:rsid w:val="65C7404D"/>
    <w:rsid w:val="65F17436"/>
    <w:rsid w:val="66B18282"/>
    <w:rsid w:val="66EE54A9"/>
    <w:rsid w:val="67551304"/>
    <w:rsid w:val="675C7C9C"/>
    <w:rsid w:val="67AB4C59"/>
    <w:rsid w:val="67BDF9D3"/>
    <w:rsid w:val="67C647C0"/>
    <w:rsid w:val="684306E9"/>
    <w:rsid w:val="68723580"/>
    <w:rsid w:val="68994500"/>
    <w:rsid w:val="697F1380"/>
    <w:rsid w:val="699A1F8A"/>
    <w:rsid w:val="69A93917"/>
    <w:rsid w:val="69AC355D"/>
    <w:rsid w:val="69E5B8E5"/>
    <w:rsid w:val="6A4A3BFD"/>
    <w:rsid w:val="6ACA2779"/>
    <w:rsid w:val="6B1029D1"/>
    <w:rsid w:val="6B536C73"/>
    <w:rsid w:val="6BD9F023"/>
    <w:rsid w:val="6C75429C"/>
    <w:rsid w:val="6C82343C"/>
    <w:rsid w:val="6CD785FD"/>
    <w:rsid w:val="6D8E68B6"/>
    <w:rsid w:val="6DBA7515"/>
    <w:rsid w:val="6DFF3390"/>
    <w:rsid w:val="6E761153"/>
    <w:rsid w:val="6ECD033A"/>
    <w:rsid w:val="6EF36040"/>
    <w:rsid w:val="6EFF2B7B"/>
    <w:rsid w:val="6F493902"/>
    <w:rsid w:val="6FBF7F56"/>
    <w:rsid w:val="6FC06BC3"/>
    <w:rsid w:val="6FEB4FEB"/>
    <w:rsid w:val="6FEF29B3"/>
    <w:rsid w:val="6FF2CBB9"/>
    <w:rsid w:val="6FF658FB"/>
    <w:rsid w:val="70066BB1"/>
    <w:rsid w:val="711A3103"/>
    <w:rsid w:val="711F09A7"/>
    <w:rsid w:val="71D4087A"/>
    <w:rsid w:val="71DDC9F2"/>
    <w:rsid w:val="71E34413"/>
    <w:rsid w:val="71FFC0C1"/>
    <w:rsid w:val="727D4F24"/>
    <w:rsid w:val="72A70FAA"/>
    <w:rsid w:val="73113F43"/>
    <w:rsid w:val="734944D8"/>
    <w:rsid w:val="73B7ADB8"/>
    <w:rsid w:val="740A1865"/>
    <w:rsid w:val="747FFD7A"/>
    <w:rsid w:val="74B54142"/>
    <w:rsid w:val="74E42203"/>
    <w:rsid w:val="74FD5FED"/>
    <w:rsid w:val="75101AA2"/>
    <w:rsid w:val="758650B4"/>
    <w:rsid w:val="75A97E24"/>
    <w:rsid w:val="75DD4904"/>
    <w:rsid w:val="75FA3F3B"/>
    <w:rsid w:val="76778448"/>
    <w:rsid w:val="77245415"/>
    <w:rsid w:val="775C6ABD"/>
    <w:rsid w:val="7771949D"/>
    <w:rsid w:val="77BF2551"/>
    <w:rsid w:val="77BFD273"/>
    <w:rsid w:val="77EDB0D9"/>
    <w:rsid w:val="782E0A91"/>
    <w:rsid w:val="788D4C3C"/>
    <w:rsid w:val="78EDD24C"/>
    <w:rsid w:val="7922343B"/>
    <w:rsid w:val="7926388B"/>
    <w:rsid w:val="79521C10"/>
    <w:rsid w:val="795E17F1"/>
    <w:rsid w:val="79D42C0A"/>
    <w:rsid w:val="7A727261"/>
    <w:rsid w:val="7A83401C"/>
    <w:rsid w:val="7B204EC5"/>
    <w:rsid w:val="7B7EBDF0"/>
    <w:rsid w:val="7B8E17E2"/>
    <w:rsid w:val="7B93031C"/>
    <w:rsid w:val="7B9FD11C"/>
    <w:rsid w:val="7BBFBDE8"/>
    <w:rsid w:val="7BCC39B7"/>
    <w:rsid w:val="7BEB4051"/>
    <w:rsid w:val="7CDE1835"/>
    <w:rsid w:val="7CFC4664"/>
    <w:rsid w:val="7D4E5235"/>
    <w:rsid w:val="7D7B5896"/>
    <w:rsid w:val="7D7BD595"/>
    <w:rsid w:val="7E6B12CB"/>
    <w:rsid w:val="7E7273D9"/>
    <w:rsid w:val="7E77D991"/>
    <w:rsid w:val="7EB151EC"/>
    <w:rsid w:val="7EBDF124"/>
    <w:rsid w:val="7EBF5C24"/>
    <w:rsid w:val="7ED5A2C4"/>
    <w:rsid w:val="7EFB3570"/>
    <w:rsid w:val="7EFF5ED8"/>
    <w:rsid w:val="7F4375B9"/>
    <w:rsid w:val="7F4B6054"/>
    <w:rsid w:val="7F5137E2"/>
    <w:rsid w:val="7F696F3C"/>
    <w:rsid w:val="7F7EA9D2"/>
    <w:rsid w:val="7F824F8C"/>
    <w:rsid w:val="7F9955B4"/>
    <w:rsid w:val="7FB7E12A"/>
    <w:rsid w:val="7FDFE08E"/>
    <w:rsid w:val="7FEB5C58"/>
    <w:rsid w:val="7FF999A7"/>
    <w:rsid w:val="7FFBA9C2"/>
    <w:rsid w:val="7FFBEE05"/>
    <w:rsid w:val="7FFD3163"/>
    <w:rsid w:val="7FFFADCF"/>
    <w:rsid w:val="8FB52647"/>
    <w:rsid w:val="8FD1C878"/>
    <w:rsid w:val="8FEF4A8D"/>
    <w:rsid w:val="971D1DFF"/>
    <w:rsid w:val="97F6179A"/>
    <w:rsid w:val="9AECA37B"/>
    <w:rsid w:val="9BBC560B"/>
    <w:rsid w:val="9DD91B26"/>
    <w:rsid w:val="9F977CEE"/>
    <w:rsid w:val="9FFDD58A"/>
    <w:rsid w:val="A797FD14"/>
    <w:rsid w:val="AAAB3E80"/>
    <w:rsid w:val="AEFF0EDB"/>
    <w:rsid w:val="B6F5E0B7"/>
    <w:rsid w:val="BADD304E"/>
    <w:rsid w:val="BCDB95F6"/>
    <w:rsid w:val="BE749C9D"/>
    <w:rsid w:val="BEB561CE"/>
    <w:rsid w:val="BEB79207"/>
    <w:rsid w:val="BEE77723"/>
    <w:rsid w:val="BEF64A81"/>
    <w:rsid w:val="BFEFC32C"/>
    <w:rsid w:val="C7DED0D6"/>
    <w:rsid w:val="D15AC55A"/>
    <w:rsid w:val="D27B3645"/>
    <w:rsid w:val="D3FB50D6"/>
    <w:rsid w:val="D7E377CF"/>
    <w:rsid w:val="D7EF0BF7"/>
    <w:rsid w:val="DAED115C"/>
    <w:rsid w:val="DB5F406F"/>
    <w:rsid w:val="DBE7F8B4"/>
    <w:rsid w:val="DE3FCB91"/>
    <w:rsid w:val="DEBF1326"/>
    <w:rsid w:val="DEDD909B"/>
    <w:rsid w:val="DEFE8B6C"/>
    <w:rsid w:val="DFBDAD35"/>
    <w:rsid w:val="DFBE8F09"/>
    <w:rsid w:val="DFDF7B42"/>
    <w:rsid w:val="DFF3CC59"/>
    <w:rsid w:val="DFFD93F7"/>
    <w:rsid w:val="DFFE9052"/>
    <w:rsid w:val="E74775F6"/>
    <w:rsid w:val="E7FF1066"/>
    <w:rsid w:val="E9EFB32A"/>
    <w:rsid w:val="EADDC9B6"/>
    <w:rsid w:val="EADEFAB7"/>
    <w:rsid w:val="EB73FA1C"/>
    <w:rsid w:val="EBC9EB1D"/>
    <w:rsid w:val="EBDF4FC7"/>
    <w:rsid w:val="EBFF197F"/>
    <w:rsid w:val="EDFC2E87"/>
    <w:rsid w:val="EF7FFE34"/>
    <w:rsid w:val="EFD629E5"/>
    <w:rsid w:val="EFFB475C"/>
    <w:rsid w:val="F1F9609C"/>
    <w:rsid w:val="F1FFFF88"/>
    <w:rsid w:val="F39947E1"/>
    <w:rsid w:val="F3D71110"/>
    <w:rsid w:val="F3FDFFF2"/>
    <w:rsid w:val="F47A67D3"/>
    <w:rsid w:val="F576167A"/>
    <w:rsid w:val="F5F59530"/>
    <w:rsid w:val="F7A799C3"/>
    <w:rsid w:val="F7FE8233"/>
    <w:rsid w:val="F9EF6DC5"/>
    <w:rsid w:val="F9FF718F"/>
    <w:rsid w:val="FAF94D1D"/>
    <w:rsid w:val="FAFE9232"/>
    <w:rsid w:val="FB8BADB6"/>
    <w:rsid w:val="FBB99A53"/>
    <w:rsid w:val="FDCBE75C"/>
    <w:rsid w:val="FDFF248A"/>
    <w:rsid w:val="FE79B20B"/>
    <w:rsid w:val="FE7F4B05"/>
    <w:rsid w:val="FEEFD47F"/>
    <w:rsid w:val="FEF179B6"/>
    <w:rsid w:val="FF7DD536"/>
    <w:rsid w:val="FF7FFDFB"/>
    <w:rsid w:val="FFBBF062"/>
    <w:rsid w:val="FFBC43AB"/>
    <w:rsid w:val="FFD5D44E"/>
    <w:rsid w:val="FFF3D0AA"/>
    <w:rsid w:val="FFF9648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_GB2312" w:asciiTheme="minorHAnsi" w:hAnsiTheme="minorHAnsi" w:cstheme="minorBidi"/>
      <w:kern w:val="2"/>
      <w:sz w:val="28"/>
      <w:szCs w:val="22"/>
      <w:lang w:val="en-US" w:eastAsia="zh-CN" w:bidi="ar-SA"/>
    </w:rPr>
  </w:style>
  <w:style w:type="paragraph" w:styleId="3">
    <w:name w:val="heading 2"/>
    <w:basedOn w:val="1"/>
    <w:next w:val="1"/>
    <w:link w:val="3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qFormat/>
    <w:uiPriority w:val="0"/>
    <w:pPr>
      <w:keepNext/>
      <w:keepLines/>
      <w:numPr>
        <w:ilvl w:val="2"/>
        <w:numId w:val="1"/>
      </w:numPr>
      <w:spacing w:line="560" w:lineRule="exact"/>
      <w:ind w:firstLine="880" w:firstLineChars="200"/>
      <w:outlineLvl w:val="2"/>
    </w:pPr>
    <w:rPr>
      <w:b/>
      <w:bCs/>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hAnsi="Calibri"/>
      <w:kern w:val="0"/>
      <w:szCs w:val="20"/>
    </w:rPr>
  </w:style>
  <w:style w:type="paragraph" w:styleId="5">
    <w:name w:val="annotation text"/>
    <w:basedOn w:val="1"/>
    <w:semiHidden/>
    <w:unhideWhenUsed/>
    <w:qFormat/>
    <w:uiPriority w:val="99"/>
    <w:pPr>
      <w:jc w:val="left"/>
    </w:pPr>
  </w:style>
  <w:style w:type="paragraph" w:styleId="6">
    <w:name w:val="Salutation"/>
    <w:basedOn w:val="1"/>
    <w:next w:val="1"/>
    <w:qFormat/>
    <w:uiPriority w:val="0"/>
  </w:style>
  <w:style w:type="paragraph" w:styleId="7">
    <w:name w:val="toc 3"/>
    <w:basedOn w:val="1"/>
    <w:next w:val="1"/>
    <w:semiHidden/>
    <w:unhideWhenUsed/>
    <w:qFormat/>
    <w:uiPriority w:val="39"/>
    <w:pPr>
      <w:ind w:left="840" w:leftChars="400"/>
    </w:p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pPr>
      <w:tabs>
        <w:tab w:val="left" w:pos="709"/>
        <w:tab w:val="right" w:leader="dot" w:pos="8296"/>
      </w:tabs>
    </w:pPr>
  </w:style>
  <w:style w:type="paragraph" w:styleId="11">
    <w:name w:val="toc 2"/>
    <w:basedOn w:val="1"/>
    <w:next w:val="1"/>
    <w:unhideWhenUsed/>
    <w:qFormat/>
    <w:uiPriority w:val="39"/>
    <w:pPr>
      <w:ind w:left="420" w:leftChars="200"/>
    </w:pPr>
  </w:style>
  <w:style w:type="paragraph" w:styleId="12">
    <w:name w:val="Normal (Web)"/>
    <w:basedOn w:val="1"/>
    <w:unhideWhenUsed/>
    <w:qFormat/>
    <w:uiPriority w:val="99"/>
    <w:pPr>
      <w:spacing w:before="100" w:beforeAutospacing="1" w:after="100" w:afterAutospacing="1"/>
      <w:jc w:val="left"/>
    </w:pPr>
    <w:rPr>
      <w:rFonts w:cs="Times New Roman"/>
      <w:kern w:val="0"/>
      <w:sz w:val="24"/>
    </w:rPr>
  </w:style>
  <w:style w:type="table" w:styleId="14">
    <w:name w:val="Table Grid"/>
    <w:basedOn w:val="13"/>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Emphasis"/>
    <w:basedOn w:val="15"/>
    <w:qFormat/>
    <w:uiPriority w:val="20"/>
    <w:rPr>
      <w:i/>
    </w:rPr>
  </w:style>
  <w:style w:type="character" w:styleId="17">
    <w:name w:val="Hyperlink"/>
    <w:unhideWhenUsed/>
    <w:qFormat/>
    <w:uiPriority w:val="99"/>
    <w:rPr>
      <w:color w:val="4D4D4D"/>
      <w:u w:val="none"/>
    </w:rPr>
  </w:style>
  <w:style w:type="character" w:styleId="18">
    <w:name w:val="annotation reference"/>
    <w:basedOn w:val="15"/>
    <w:semiHidden/>
    <w:unhideWhenUsed/>
    <w:qFormat/>
    <w:uiPriority w:val="99"/>
    <w:rPr>
      <w:sz w:val="21"/>
      <w:szCs w:val="21"/>
    </w:rPr>
  </w:style>
  <w:style w:type="character" w:customStyle="1" w:styleId="19">
    <w:name w:val="页眉 字符"/>
    <w:basedOn w:val="15"/>
    <w:link w:val="9"/>
    <w:qFormat/>
    <w:uiPriority w:val="99"/>
    <w:rPr>
      <w:sz w:val="18"/>
      <w:szCs w:val="18"/>
    </w:rPr>
  </w:style>
  <w:style w:type="character" w:customStyle="1" w:styleId="20">
    <w:name w:val="页脚 字符"/>
    <w:basedOn w:val="15"/>
    <w:link w:val="8"/>
    <w:qFormat/>
    <w:uiPriority w:val="99"/>
    <w:rPr>
      <w:sz w:val="18"/>
      <w:szCs w:val="18"/>
    </w:rPr>
  </w:style>
  <w:style w:type="character" w:customStyle="1" w:styleId="21">
    <w:name w:val="font11"/>
    <w:basedOn w:val="15"/>
    <w:qFormat/>
    <w:uiPriority w:val="0"/>
    <w:rPr>
      <w:rFonts w:hint="eastAsia" w:ascii="宋体" w:hAnsi="宋体" w:eastAsia="宋体" w:cs="宋体"/>
      <w:color w:val="000000"/>
      <w:sz w:val="21"/>
      <w:szCs w:val="21"/>
      <w:u w:val="none"/>
    </w:rPr>
  </w:style>
  <w:style w:type="character" w:customStyle="1" w:styleId="22">
    <w:name w:val="font01"/>
    <w:basedOn w:val="15"/>
    <w:qFormat/>
    <w:uiPriority w:val="0"/>
    <w:rPr>
      <w:rFonts w:hint="default" w:ascii="Calibri" w:hAnsi="Calibri" w:cs="Calibri"/>
      <w:color w:val="000000"/>
      <w:sz w:val="21"/>
      <w:szCs w:val="21"/>
      <w:u w:val="none"/>
    </w:rPr>
  </w:style>
  <w:style w:type="character" w:customStyle="1" w:styleId="23">
    <w:name w:val="font71"/>
    <w:basedOn w:val="15"/>
    <w:qFormat/>
    <w:uiPriority w:val="0"/>
    <w:rPr>
      <w:rFonts w:hint="eastAsia" w:ascii="仿宋" w:hAnsi="仿宋" w:eastAsia="仿宋" w:cs="仿宋"/>
      <w:b/>
      <w:color w:val="000000"/>
      <w:sz w:val="24"/>
      <w:szCs w:val="24"/>
      <w:u w:val="none"/>
    </w:rPr>
  </w:style>
  <w:style w:type="character" w:customStyle="1" w:styleId="24">
    <w:name w:val="font51"/>
    <w:basedOn w:val="15"/>
    <w:qFormat/>
    <w:uiPriority w:val="0"/>
    <w:rPr>
      <w:rFonts w:hint="eastAsia" w:ascii="仿宋" w:hAnsi="仿宋" w:eastAsia="仿宋" w:cs="仿宋"/>
      <w:color w:val="000000"/>
      <w:sz w:val="24"/>
      <w:szCs w:val="24"/>
      <w:u w:val="none"/>
    </w:rPr>
  </w:style>
  <w:style w:type="character" w:customStyle="1" w:styleId="25">
    <w:name w:val="font31"/>
    <w:basedOn w:val="15"/>
    <w:qFormat/>
    <w:uiPriority w:val="0"/>
    <w:rPr>
      <w:rFonts w:hint="eastAsia" w:ascii="宋体" w:hAnsi="宋体" w:eastAsia="宋体" w:cs="宋体"/>
      <w:b/>
      <w:color w:val="000000"/>
      <w:sz w:val="22"/>
      <w:szCs w:val="22"/>
      <w:u w:val="none"/>
    </w:rPr>
  </w:style>
  <w:style w:type="character" w:customStyle="1" w:styleId="26">
    <w:name w:val="font21"/>
    <w:basedOn w:val="15"/>
    <w:qFormat/>
    <w:uiPriority w:val="0"/>
    <w:rPr>
      <w:rFonts w:hint="eastAsia" w:ascii="宋体" w:hAnsi="宋体" w:eastAsia="宋体" w:cs="宋体"/>
      <w:color w:val="000000"/>
      <w:sz w:val="20"/>
      <w:szCs w:val="20"/>
      <w:u w:val="none"/>
    </w:rPr>
  </w:style>
  <w:style w:type="character" w:customStyle="1" w:styleId="27">
    <w:name w:val="font41"/>
    <w:basedOn w:val="15"/>
    <w:qFormat/>
    <w:uiPriority w:val="0"/>
    <w:rPr>
      <w:rFonts w:hint="default" w:ascii="Times New Roman" w:hAnsi="Times New Roman" w:cs="Times New Roman"/>
      <w:b/>
      <w:color w:val="000000"/>
      <w:sz w:val="20"/>
      <w:szCs w:val="20"/>
      <w:u w:val="none"/>
    </w:rPr>
  </w:style>
  <w:style w:type="paragraph" w:customStyle="1" w:styleId="28">
    <w:name w:val="WPSOffice手动目录 1"/>
    <w:qFormat/>
    <w:uiPriority w:val="0"/>
    <w:rPr>
      <w:rFonts w:ascii="Times New Roman" w:hAnsi="Times New Roman" w:eastAsia="宋体" w:cs="Times New Roman"/>
      <w:lang w:val="en-US" w:eastAsia="zh-CN" w:bidi="ar-SA"/>
    </w:rPr>
  </w:style>
  <w:style w:type="paragraph" w:customStyle="1" w:styleId="2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0">
    <w:name w:val="修订1"/>
    <w:hidden/>
    <w:semiHidden/>
    <w:qFormat/>
    <w:uiPriority w:val="99"/>
    <w:rPr>
      <w:rFonts w:eastAsia="仿宋_GB2312" w:asciiTheme="minorHAnsi" w:hAnsiTheme="minorHAnsi" w:cstheme="minorBidi"/>
      <w:kern w:val="2"/>
      <w:sz w:val="28"/>
      <w:szCs w:val="22"/>
      <w:lang w:val="en-US" w:eastAsia="zh-CN" w:bidi="ar-SA"/>
    </w:rPr>
  </w:style>
  <w:style w:type="paragraph" w:customStyle="1" w:styleId="31">
    <w:name w:val="修订2"/>
    <w:hidden/>
    <w:unhideWhenUsed/>
    <w:qFormat/>
    <w:uiPriority w:val="99"/>
    <w:rPr>
      <w:rFonts w:eastAsia="仿宋_GB2312" w:asciiTheme="minorHAnsi" w:hAnsiTheme="minorHAnsi" w:cstheme="minorBidi"/>
      <w:kern w:val="2"/>
      <w:sz w:val="28"/>
      <w:szCs w:val="22"/>
      <w:lang w:val="en-US" w:eastAsia="zh-CN" w:bidi="ar-SA"/>
    </w:rPr>
  </w:style>
  <w:style w:type="character" w:customStyle="1" w:styleId="32">
    <w:name w:val="标题 2 字符"/>
    <w:basedOn w:val="15"/>
    <w:link w:val="3"/>
    <w:qFormat/>
    <w:uiPriority w:val="9"/>
    <w:rPr>
      <w:rFonts w:asciiTheme="majorHAnsi" w:hAnsiTheme="majorHAnsi" w:eastAsiaTheme="majorEastAsia" w:cstheme="majorBidi"/>
      <w:b/>
      <w:bCs/>
      <w:kern w:val="2"/>
      <w:sz w:val="32"/>
      <w:szCs w:val="32"/>
    </w:rPr>
  </w:style>
  <w:style w:type="paragraph" w:customStyle="1" w:styleId="33">
    <w:name w:val="修订3"/>
    <w:hidden/>
    <w:unhideWhenUsed/>
    <w:qFormat/>
    <w:uiPriority w:val="99"/>
    <w:rPr>
      <w:rFonts w:eastAsia="仿宋_GB2312" w:asciiTheme="minorHAnsi" w:hAnsiTheme="minorHAnsi" w:cstheme="minorBidi"/>
      <w:kern w:val="2"/>
      <w:sz w:val="28"/>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1147</Words>
  <Characters>1255</Characters>
  <Lines>46</Lines>
  <Paragraphs>13</Paragraphs>
  <TotalTime>0</TotalTime>
  <ScaleCrop>false</ScaleCrop>
  <LinksUpToDate>false</LinksUpToDate>
  <CharactersWithSpaces>1259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2020-04-07T07:49:00Z</dcterms:created>
  <dc:creator>ZC</dc:creator>
  <cp:lastModifiedBy>李国宝</cp:lastModifiedBy>
  <cp:lastPrinted>2024-11-06T09:01:00Z</cp:lastPrinted>
  <dcterms:modified xsi:type="dcterms:W3CDTF">2025-01-08T01:37:33Z</dcterms:modified>
  <cp:revision>167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0323C17550B84971857CA4630E76FAC8</vt:lpwstr>
  </property>
  <property fmtid="{D5CDD505-2E9C-101B-9397-08002B2CF9AE}" pid="4" name="KSOTemplateDocerSaveRecord">
    <vt:lpwstr>eyJoZGlkIjoiYmY5MTQzM2Y2MjhkOWQ1NmZmZTE1NGI0MjUxY2FhMTEiLCJ1c2VySWQiOiIxNDU4NzAyMTI0In0=</vt:lpwstr>
  </property>
</Properties>
</file>