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0358D3">
      <w:pPr>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简体" w:cs="Times New Roman"/>
          <w:sz w:val="32"/>
          <w:szCs w:val="32"/>
        </w:rPr>
      </w:pPr>
      <w:bookmarkStart w:id="0" w:name="_Toc30862"/>
      <w:bookmarkStart w:id="1" w:name="_Toc32467"/>
      <w:bookmarkStart w:id="2" w:name="_Toc22314"/>
      <w:bookmarkStart w:id="3" w:name="_Toc29524"/>
      <w:bookmarkStart w:id="4" w:name="_Toc14462_WPSOffice_Level1"/>
    </w:p>
    <w:p w14:paraId="527361BB">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rPr>
      </w:pPr>
    </w:p>
    <w:p w14:paraId="2F791CE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rPr>
      </w:pPr>
    </w:p>
    <w:p w14:paraId="54576958">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color w:val="333333"/>
          <w:kern w:val="0"/>
          <w:sz w:val="32"/>
          <w:szCs w:val="32"/>
        </w:rPr>
      </w:pPr>
    </w:p>
    <w:p w14:paraId="3871261E">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rPr>
      </w:pPr>
      <w:r>
        <w:rPr>
          <w:rFonts w:hint="eastAsia" w:ascii="方正黑体简体" w:hAnsi="方正黑体简体" w:eastAsia="方正黑体简体" w:cs="方正黑体简体"/>
          <w:color w:val="333333"/>
          <w:kern w:val="0"/>
          <w:sz w:val="44"/>
          <w:szCs w:val="44"/>
        </w:rPr>
        <w:t>绩效评价报告</w:t>
      </w:r>
    </w:p>
    <w:p w14:paraId="67D01BDF">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rPr>
      </w:pPr>
    </w:p>
    <w:p w14:paraId="35CA251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rPr>
      </w:pPr>
    </w:p>
    <w:p w14:paraId="26FD862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rPr>
      </w:pPr>
    </w:p>
    <w:p w14:paraId="670F37E3">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default" w:ascii="Times New Roman" w:hAnsi="Times New Roman" w:eastAsia="方正仿宋简体" w:cs="Times New Roman"/>
          <w:color w:val="333333"/>
          <w:kern w:val="0"/>
          <w:sz w:val="32"/>
          <w:szCs w:val="32"/>
        </w:rPr>
      </w:pPr>
    </w:p>
    <w:p w14:paraId="3695D7FF">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250CB88C">
      <w:pPr>
        <w:keepNext w:val="0"/>
        <w:keepLines w:val="0"/>
        <w:pageBreakBefore w:val="0"/>
        <w:widowControl/>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简体" w:cs="Times New Roman"/>
          <w:color w:val="333333"/>
          <w:kern w:val="0"/>
          <w:sz w:val="32"/>
          <w:szCs w:val="32"/>
        </w:rPr>
      </w:pPr>
      <w:r>
        <w:rPr>
          <w:rFonts w:hint="default" w:ascii="Times New Roman" w:hAnsi="Times New Roman" w:eastAsia="方正仿宋简体" w:cs="Times New Roman"/>
          <w:color w:val="333333"/>
          <w:kern w:val="0"/>
          <w:sz w:val="32"/>
          <w:szCs w:val="32"/>
        </w:rPr>
        <w:t>被评价单位名称：泸定县综合行政执法局</w:t>
      </w:r>
    </w:p>
    <w:p w14:paraId="74108A4E">
      <w:pPr>
        <w:keepNext w:val="0"/>
        <w:keepLines w:val="0"/>
        <w:pageBreakBefore w:val="0"/>
        <w:widowControl/>
        <w:kinsoku/>
        <w:wordWrap/>
        <w:overflowPunct/>
        <w:topLinePunct w:val="0"/>
        <w:autoSpaceDE/>
        <w:autoSpaceDN/>
        <w:bidi w:val="0"/>
        <w:adjustRightInd/>
        <w:snapToGrid/>
        <w:spacing w:line="600" w:lineRule="exact"/>
        <w:ind w:left="1600" w:leftChars="0" w:hanging="1600" w:hangingChars="500"/>
        <w:jc w:val="left"/>
        <w:textAlignment w:val="auto"/>
        <w:rPr>
          <w:rFonts w:hint="default" w:ascii="Times New Roman" w:hAnsi="Times New Roman" w:eastAsia="方正仿宋简体" w:cs="Times New Roman"/>
          <w:color w:val="333333"/>
          <w:kern w:val="0"/>
          <w:sz w:val="32"/>
          <w:szCs w:val="32"/>
        </w:rPr>
      </w:pPr>
      <w:r>
        <w:rPr>
          <w:rFonts w:hint="default" w:ascii="Times New Roman" w:hAnsi="Times New Roman" w:eastAsia="方正仿宋简体" w:cs="Times New Roman"/>
          <w:color w:val="333333"/>
          <w:kern w:val="0"/>
          <w:sz w:val="32"/>
          <w:szCs w:val="32"/>
        </w:rPr>
        <w:t>评价项目：城市基础设施维护费项目</w:t>
      </w:r>
    </w:p>
    <w:p w14:paraId="732485E5">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default" w:ascii="Times New Roman" w:hAnsi="Times New Roman" w:eastAsia="方正仿宋简体" w:cs="Times New Roman"/>
          <w:sz w:val="32"/>
          <w:szCs w:val="32"/>
        </w:rPr>
      </w:pPr>
    </w:p>
    <w:p w14:paraId="5B31955B">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default" w:ascii="Times New Roman" w:hAnsi="Times New Roman" w:eastAsia="方正仿宋简体" w:cs="Times New Roman"/>
          <w:sz w:val="32"/>
          <w:szCs w:val="32"/>
        </w:rPr>
      </w:pPr>
    </w:p>
    <w:p w14:paraId="054A7428">
      <w:pPr>
        <w:keepNext w:val="0"/>
        <w:keepLines w:val="0"/>
        <w:pageBreakBefore w:val="0"/>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简体" w:cs="Times New Roman"/>
          <w:sz w:val="32"/>
          <w:szCs w:val="32"/>
        </w:rPr>
      </w:pPr>
    </w:p>
    <w:p w14:paraId="0E68600A">
      <w:pPr>
        <w:pStyle w:val="2"/>
        <w:rPr>
          <w:rFonts w:hint="default" w:ascii="Times New Roman" w:hAnsi="Times New Roman" w:eastAsia="方正仿宋简体" w:cs="Times New Roman"/>
          <w:sz w:val="32"/>
          <w:szCs w:val="32"/>
        </w:rPr>
      </w:pPr>
    </w:p>
    <w:p w14:paraId="1172A7B0">
      <w:pPr>
        <w:rPr>
          <w:rFonts w:hint="default" w:ascii="Times New Roman" w:hAnsi="Times New Roman" w:eastAsia="方正仿宋简体" w:cs="Times New Roman"/>
          <w:sz w:val="32"/>
          <w:szCs w:val="32"/>
        </w:rPr>
      </w:pPr>
    </w:p>
    <w:p w14:paraId="7F5D13B7">
      <w:pPr>
        <w:pStyle w:val="2"/>
        <w:rPr>
          <w:rFonts w:hint="default" w:ascii="Times New Roman" w:hAnsi="Times New Roman" w:eastAsia="方正仿宋简体" w:cs="Times New Roman"/>
          <w:sz w:val="32"/>
          <w:szCs w:val="32"/>
        </w:rPr>
      </w:pPr>
    </w:p>
    <w:p w14:paraId="64CFE9F1">
      <w:pPr>
        <w:rPr>
          <w:rFonts w:hint="default" w:ascii="Times New Roman" w:hAnsi="Times New Roman" w:eastAsia="方正仿宋简体" w:cs="Times New Roman"/>
          <w:sz w:val="32"/>
          <w:szCs w:val="32"/>
        </w:rPr>
      </w:pPr>
    </w:p>
    <w:p w14:paraId="510E6C86">
      <w:pPr>
        <w:pStyle w:val="2"/>
        <w:rPr>
          <w:rFonts w:hint="default" w:ascii="Times New Roman" w:hAnsi="Times New Roman" w:eastAsia="方正仿宋简体" w:cs="Times New Roman"/>
          <w:sz w:val="32"/>
          <w:szCs w:val="32"/>
        </w:rPr>
      </w:pPr>
    </w:p>
    <w:p w14:paraId="415CA1F4">
      <w:pPr>
        <w:rPr>
          <w:rFonts w:hint="default" w:ascii="Times New Roman" w:hAnsi="Times New Roman" w:eastAsia="方正仿宋简体" w:cs="Times New Roman"/>
          <w:sz w:val="32"/>
          <w:szCs w:val="32"/>
        </w:rPr>
      </w:pPr>
    </w:p>
    <w:p w14:paraId="4E167B6A">
      <w:pPr>
        <w:pStyle w:val="2"/>
        <w:rPr>
          <w:rFonts w:hint="default"/>
        </w:rPr>
      </w:pPr>
    </w:p>
    <w:p w14:paraId="0B79F2F6">
      <w:pPr>
        <w:keepNext w:val="0"/>
        <w:keepLines w:val="0"/>
        <w:pageBreakBefore w:val="0"/>
        <w:kinsoku/>
        <w:wordWrap/>
        <w:overflowPunct/>
        <w:topLinePunct w:val="0"/>
        <w:autoSpaceDE/>
        <w:autoSpaceDN/>
        <w:bidi w:val="0"/>
        <w:adjustRightInd/>
        <w:snapToGrid/>
        <w:spacing w:line="600" w:lineRule="exact"/>
        <w:ind w:left="0" w:leftChars="0"/>
        <w:jc w:val="center"/>
        <w:textAlignment w:val="auto"/>
        <w:outlineLvl w:val="0"/>
        <w:rPr>
          <w:rFonts w:hint="default" w:ascii="Times New Roman" w:hAnsi="Times New Roman" w:eastAsia="方正仿宋简体" w:cs="Times New Roman"/>
          <w:sz w:val="32"/>
          <w:szCs w:val="32"/>
        </w:rPr>
      </w:pPr>
    </w:p>
    <w:p w14:paraId="490D8438">
      <w:pPr>
        <w:keepNext w:val="0"/>
        <w:keepLines w:val="0"/>
        <w:pageBreakBefore w:val="0"/>
        <w:kinsoku/>
        <w:wordWrap/>
        <w:overflowPunct/>
        <w:topLinePunct w:val="0"/>
        <w:autoSpaceDE/>
        <w:autoSpaceDN/>
        <w:bidi w:val="0"/>
        <w:spacing w:line="600" w:lineRule="exact"/>
        <w:ind w:left="0" w:leftChars="0"/>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泸定县综合行政执法局</w:t>
      </w:r>
      <w:bookmarkEnd w:id="0"/>
    </w:p>
    <w:bookmarkEnd w:id="1"/>
    <w:p w14:paraId="708A349E">
      <w:pPr>
        <w:keepNext w:val="0"/>
        <w:keepLines w:val="0"/>
        <w:pageBreakBefore w:val="0"/>
        <w:kinsoku/>
        <w:wordWrap/>
        <w:overflowPunct/>
        <w:topLinePunct w:val="0"/>
        <w:autoSpaceDE/>
        <w:autoSpaceDN/>
        <w:bidi w:val="0"/>
        <w:spacing w:line="600" w:lineRule="exact"/>
        <w:ind w:left="0" w:leftChars="0"/>
        <w:jc w:val="center"/>
        <w:outlineLvl w:val="0"/>
        <w:rPr>
          <w:rFonts w:hint="eastAsia" w:ascii="方正小标宋简体" w:hAnsi="方正小标宋简体" w:eastAsia="方正小标宋简体" w:cs="方正小标宋简体"/>
          <w:sz w:val="44"/>
          <w:szCs w:val="44"/>
        </w:rPr>
      </w:pPr>
      <w:bookmarkStart w:id="5" w:name="_Toc15252"/>
      <w:bookmarkStart w:id="6" w:name="_Toc27398"/>
      <w:r>
        <w:rPr>
          <w:rFonts w:hint="eastAsia" w:ascii="方正小标宋简体" w:hAnsi="方正小标宋简体" w:eastAsia="方正小标宋简体" w:cs="方正小标宋简体"/>
          <w:sz w:val="44"/>
          <w:szCs w:val="44"/>
        </w:rPr>
        <w:t>城市基础设施维护费项目绩效评价报告</w:t>
      </w:r>
      <w:bookmarkEnd w:id="2"/>
      <w:bookmarkEnd w:id="3"/>
      <w:bookmarkEnd w:id="5"/>
      <w:bookmarkEnd w:id="6"/>
    </w:p>
    <w:p w14:paraId="195C3AA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center"/>
        <w:rPr>
          <w:rFonts w:hint="eastAsia" w:ascii="方正仿宋简体" w:hAnsi="方正仿宋简体" w:eastAsia="方正仿宋简体" w:cs="方正仿宋简体"/>
          <w:sz w:val="32"/>
          <w:szCs w:val="32"/>
        </w:rPr>
      </w:pPr>
    </w:p>
    <w:p w14:paraId="79B60FC6">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lang w:val="fr-FR"/>
        </w:rPr>
      </w:pPr>
      <w:bookmarkStart w:id="7" w:name="_Toc26210"/>
      <w:bookmarkStart w:id="8" w:name="_Toc8938"/>
      <w:bookmarkStart w:id="9" w:name="_Toc6252"/>
    </w:p>
    <w:p w14:paraId="62912685">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highlight w:val="none"/>
          <w:lang w:val="en-US" w:eastAsia="zh-CN"/>
        </w:rPr>
        <w:t>依据</w:t>
      </w:r>
      <w:r>
        <w:rPr>
          <w:rFonts w:hint="default" w:ascii="Times New Roman" w:hAnsi="Times New Roman" w:eastAsia="方正仿宋简体" w:cs="Times New Roman"/>
          <w:sz w:val="32"/>
          <w:szCs w:val="32"/>
          <w:highlight w:val="none"/>
        </w:rPr>
        <w:t>《泸定县财政局关于开展2024年政府性基金预算绩效评价工作</w:t>
      </w:r>
      <w:r>
        <w:rPr>
          <w:rFonts w:hint="eastAsia" w:ascii="方正仿宋简体" w:hAnsi="方正仿宋简体" w:eastAsia="方正仿宋简体" w:cs="方正仿宋简体"/>
          <w:sz w:val="32"/>
          <w:szCs w:val="32"/>
          <w:highlight w:val="none"/>
        </w:rPr>
        <w:t>的通知》（泸财〔</w:t>
      </w:r>
      <w:r>
        <w:rPr>
          <w:rFonts w:hint="default" w:ascii="Times New Roman" w:hAnsi="Times New Roman" w:eastAsia="方正仿宋简体" w:cs="Times New Roman"/>
          <w:sz w:val="32"/>
          <w:szCs w:val="32"/>
          <w:highlight w:val="none"/>
        </w:rPr>
        <w:t>2024〕39</w:t>
      </w:r>
      <w:r>
        <w:rPr>
          <w:rFonts w:hint="eastAsia" w:ascii="方正仿宋简体" w:hAnsi="方正仿宋简体" w:eastAsia="方正仿宋简体" w:cs="方正仿宋简体"/>
          <w:sz w:val="32"/>
          <w:szCs w:val="32"/>
          <w:highlight w:val="none"/>
        </w:rPr>
        <w:t>号）</w:t>
      </w:r>
      <w:r>
        <w:rPr>
          <w:rFonts w:hint="eastAsia" w:ascii="方正仿宋简体" w:hAnsi="方正仿宋简体" w:eastAsia="方正仿宋简体" w:cs="方正仿宋简体"/>
          <w:sz w:val="32"/>
          <w:szCs w:val="32"/>
          <w:highlight w:val="none"/>
          <w:lang w:val="fr-FR"/>
        </w:rPr>
        <w:t>文件要求，</w:t>
      </w:r>
      <w:r>
        <w:rPr>
          <w:rFonts w:hint="eastAsia" w:ascii="方正仿宋简体" w:hAnsi="方正仿宋简体" w:eastAsia="方正仿宋简体" w:cs="方正仿宋简体"/>
          <w:sz w:val="32"/>
          <w:szCs w:val="32"/>
          <w:highlight w:val="none"/>
          <w:lang w:val="en-US" w:eastAsia="zh-CN"/>
        </w:rPr>
        <w:t>我单位</w:t>
      </w:r>
      <w:r>
        <w:rPr>
          <w:rFonts w:hint="eastAsia" w:ascii="方正仿宋简体" w:hAnsi="方正仿宋简体" w:eastAsia="方正仿宋简体" w:cs="方正仿宋简体"/>
          <w:sz w:val="32"/>
          <w:szCs w:val="32"/>
          <w:lang w:val="fr-FR"/>
        </w:rPr>
        <w:t>对</w:t>
      </w:r>
      <w:r>
        <w:rPr>
          <w:rFonts w:hint="eastAsia" w:ascii="方正仿宋简体" w:hAnsi="方正仿宋简体" w:eastAsia="方正仿宋简体" w:cs="方正仿宋简体"/>
          <w:sz w:val="32"/>
          <w:szCs w:val="32"/>
        </w:rPr>
        <w:t>泸定县综合行政执法局“城市基础设施维护费项目”进行</w:t>
      </w:r>
      <w:r>
        <w:rPr>
          <w:rFonts w:hint="eastAsia" w:ascii="方正仿宋简体" w:hAnsi="方正仿宋简体" w:eastAsia="方正仿宋简体" w:cs="方正仿宋简体"/>
          <w:sz w:val="32"/>
          <w:szCs w:val="32"/>
          <w:lang w:val="fr-FR"/>
        </w:rPr>
        <w:t>绩效评价。</w:t>
      </w:r>
      <w:r>
        <w:rPr>
          <w:rFonts w:hint="eastAsia" w:ascii="方正仿宋简体" w:hAnsi="方正仿宋简体" w:eastAsia="方正仿宋简体" w:cs="方正仿宋简体"/>
          <w:sz w:val="32"/>
          <w:szCs w:val="32"/>
        </w:rPr>
        <w:t>泸定县综合行政执法局</w:t>
      </w:r>
      <w:r>
        <w:rPr>
          <w:rFonts w:hint="eastAsia" w:ascii="方正仿宋简体" w:hAnsi="方正仿宋简体" w:eastAsia="方正仿宋简体" w:cs="方正仿宋简体"/>
          <w:sz w:val="32"/>
          <w:szCs w:val="32"/>
          <w:lang w:val="fr-FR"/>
        </w:rPr>
        <w:t>对其提供的绩效评价相关资料的真实性、合法性和完整性负责；我们的责任是依据《中共中央</w:t>
      </w:r>
      <w:r>
        <w:rPr>
          <w:rFonts w:hint="eastAsia" w:ascii="方正仿宋简体" w:hAnsi="方正仿宋简体" w:eastAsia="方正仿宋简体" w:cs="方正仿宋简体"/>
          <w:sz w:val="32"/>
          <w:szCs w:val="32"/>
        </w:rPr>
        <w:t xml:space="preserve"> </w:t>
      </w:r>
      <w:r>
        <w:rPr>
          <w:rFonts w:hint="eastAsia" w:ascii="方正仿宋简体" w:hAnsi="方正仿宋简体" w:eastAsia="方正仿宋简体" w:cs="方正仿宋简体"/>
          <w:sz w:val="32"/>
          <w:szCs w:val="32"/>
          <w:lang w:val="fr-FR"/>
        </w:rPr>
        <w:t>国务院关于全面实施预算绩效管理的意见》（中发</w:t>
      </w:r>
      <w:r>
        <w:rPr>
          <w:rFonts w:hint="default" w:ascii="Times New Roman" w:hAnsi="Times New Roman" w:eastAsia="方正仿宋简体" w:cs="Times New Roman"/>
          <w:sz w:val="32"/>
          <w:szCs w:val="32"/>
          <w:lang w:val="fr-FR"/>
        </w:rPr>
        <w:t>〔2018〕34号）、《中共四川省委 四川省人民政府关于全面实施预算绩效管理的实施意见》（川委发〔201</w:t>
      </w:r>
      <w:r>
        <w:rPr>
          <w:rFonts w:hint="default" w:ascii="Times New Roman" w:hAnsi="Times New Roman" w:eastAsia="方正仿宋简体" w:cs="Times New Roman"/>
          <w:sz w:val="32"/>
          <w:szCs w:val="32"/>
        </w:rPr>
        <w:t>9</w:t>
      </w:r>
      <w:r>
        <w:rPr>
          <w:rFonts w:hint="default" w:ascii="Times New Roman" w:hAnsi="Times New Roman" w:eastAsia="方正仿宋简体" w:cs="Times New Roman"/>
          <w:sz w:val="32"/>
          <w:szCs w:val="32"/>
          <w:lang w:val="fr-FR"/>
        </w:rPr>
        <w:t>〕8号</w:t>
      </w:r>
      <w:r>
        <w:rPr>
          <w:rFonts w:hint="eastAsia" w:ascii="方正仿宋简体" w:hAnsi="方正仿宋简体" w:eastAsia="方正仿宋简体" w:cs="方正仿宋简体"/>
          <w:sz w:val="32"/>
          <w:szCs w:val="32"/>
          <w:lang w:val="fr-FR"/>
        </w:rPr>
        <w:t>）、《中共甘孜州委办公室 甘孜州人民政府办公室关于印发</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fr-FR"/>
        </w:rPr>
        <w:t>甘孜州全面实施预算绩效管理工作实施方案</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fr-FR"/>
        </w:rPr>
        <w:t>的通知》</w:t>
      </w:r>
      <w:r>
        <w:rPr>
          <w:rFonts w:hint="default" w:ascii="Times New Roman" w:hAnsi="Times New Roman" w:eastAsia="方正仿宋简体" w:cs="Times New Roman"/>
          <w:sz w:val="32"/>
          <w:szCs w:val="32"/>
          <w:lang w:val="fr-FR"/>
        </w:rPr>
        <w:t>（甘委办〔201</w:t>
      </w:r>
      <w:r>
        <w:rPr>
          <w:rFonts w:hint="default" w:ascii="Times New Roman" w:hAnsi="Times New Roman" w:eastAsia="方正仿宋简体" w:cs="Times New Roman"/>
          <w:sz w:val="32"/>
          <w:szCs w:val="32"/>
        </w:rPr>
        <w:t>9</w:t>
      </w:r>
      <w:r>
        <w:rPr>
          <w:rFonts w:hint="default" w:ascii="Times New Roman" w:hAnsi="Times New Roman" w:eastAsia="方正仿宋简体" w:cs="Times New Roman"/>
          <w:sz w:val="32"/>
          <w:szCs w:val="32"/>
          <w:lang w:val="fr-FR"/>
        </w:rPr>
        <w:t>〕120号）</w:t>
      </w:r>
      <w:r>
        <w:rPr>
          <w:rFonts w:hint="default" w:ascii="Times New Roman" w:hAnsi="Times New Roman" w:eastAsia="方正仿宋简体" w:cs="Times New Roman"/>
          <w:sz w:val="32"/>
          <w:szCs w:val="32"/>
        </w:rPr>
        <w:t>和《泸定县财政局关于开展2024年政府性基金预算绩效评价工作的通知》（泸财〔2024〕39号）</w:t>
      </w:r>
      <w:r>
        <w:rPr>
          <w:rFonts w:hint="eastAsia" w:ascii="方正仿宋简体" w:hAnsi="方正仿宋简体" w:eastAsia="方正仿宋简体" w:cs="方正仿宋简体"/>
          <w:sz w:val="32"/>
          <w:szCs w:val="32"/>
          <w:lang w:val="fr-FR"/>
        </w:rPr>
        <w:t>文件要求，结合</w:t>
      </w:r>
      <w:r>
        <w:rPr>
          <w:rFonts w:hint="eastAsia" w:ascii="方正仿宋简体" w:hAnsi="方正仿宋简体" w:eastAsia="方正仿宋简体" w:cs="方正仿宋简体"/>
          <w:sz w:val="32"/>
          <w:szCs w:val="32"/>
        </w:rPr>
        <w:t>泸定县综合行政执法局“城市基础设施维护费项目</w:t>
      </w:r>
      <w:r>
        <w:rPr>
          <w:rFonts w:hint="eastAsia" w:ascii="方正仿宋简体" w:hAnsi="方正仿宋简体" w:eastAsia="方正仿宋简体" w:cs="方正仿宋简体"/>
          <w:sz w:val="32"/>
          <w:szCs w:val="32"/>
          <w:lang w:val="fr-FR"/>
        </w:rPr>
        <w:t>”的实际情况，对该项目进行绩效评价，并出具绩效评价报告，现将相关情况报告如下：</w:t>
      </w:r>
    </w:p>
    <w:bookmarkEnd w:id="7"/>
    <w:bookmarkEnd w:id="8"/>
    <w:bookmarkEnd w:id="9"/>
    <w:p w14:paraId="757FAE7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0" w:name="_Toc8555"/>
      <w:bookmarkStart w:id="11" w:name="_Toc1220804308"/>
      <w:bookmarkStart w:id="12" w:name="_Toc1399960540"/>
      <w:bookmarkStart w:id="13" w:name="_Toc839625728"/>
      <w:bookmarkStart w:id="14" w:name="_Toc176352289"/>
      <w:bookmarkStart w:id="15" w:name="_Toc10380"/>
      <w:bookmarkStart w:id="16" w:name="_Toc15054"/>
      <w:bookmarkStart w:id="17" w:name="_Toc12185"/>
      <w:r>
        <w:rPr>
          <w:rFonts w:hint="eastAsia" w:ascii="方正黑体简体" w:hAnsi="方正黑体简体" w:eastAsia="方正黑体简体" w:cs="方正黑体简体"/>
          <w:color w:val="000000"/>
          <w:kern w:val="0"/>
          <w:sz w:val="32"/>
          <w:szCs w:val="32"/>
          <w:shd w:val="clear" w:color="auto" w:fill="FFFFFF"/>
        </w:rPr>
        <w:t>一、</w:t>
      </w:r>
      <w:bookmarkEnd w:id="10"/>
      <w:r>
        <w:rPr>
          <w:rFonts w:hint="eastAsia" w:ascii="方正黑体简体" w:hAnsi="方正黑体简体" w:eastAsia="方正黑体简体" w:cs="方正黑体简体"/>
          <w:color w:val="000000"/>
          <w:kern w:val="0"/>
          <w:sz w:val="32"/>
          <w:szCs w:val="32"/>
          <w:shd w:val="clear" w:color="auto" w:fill="FFFFFF"/>
        </w:rPr>
        <w:t>项目基本情况</w:t>
      </w:r>
      <w:bookmarkEnd w:id="11"/>
      <w:bookmarkEnd w:id="12"/>
      <w:bookmarkEnd w:id="13"/>
      <w:bookmarkEnd w:id="14"/>
      <w:bookmarkEnd w:id="15"/>
      <w:bookmarkEnd w:id="16"/>
      <w:bookmarkEnd w:id="17"/>
    </w:p>
    <w:p w14:paraId="3E552B34">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8" w:name="_Toc16549"/>
      <w:bookmarkStart w:id="19" w:name="_Toc431776514"/>
      <w:bookmarkStart w:id="20" w:name="_Toc21873"/>
      <w:bookmarkStart w:id="21" w:name="_Toc30550"/>
      <w:bookmarkStart w:id="22" w:name="_Toc176352290"/>
      <w:bookmarkStart w:id="23" w:name="_Toc2076172284"/>
      <w:bookmarkStart w:id="24" w:name="_Toc102061818"/>
      <w:bookmarkStart w:id="25" w:name="_Toc28085"/>
      <w:r>
        <w:rPr>
          <w:rFonts w:hint="eastAsia" w:ascii="方正楷体简体" w:hAnsi="方正楷体简体" w:eastAsia="方正楷体简体" w:cs="方正楷体简体"/>
          <w:color w:val="000000"/>
          <w:kern w:val="0"/>
          <w:sz w:val="32"/>
          <w:szCs w:val="32"/>
          <w:shd w:val="clear" w:color="auto" w:fill="FFFFFF"/>
          <w:lang w:val="zh-CN"/>
        </w:rPr>
        <w:t>（一）</w:t>
      </w:r>
      <w:bookmarkEnd w:id="18"/>
      <w:r>
        <w:rPr>
          <w:rFonts w:hint="eastAsia" w:ascii="方正楷体简体" w:hAnsi="方正楷体简体" w:eastAsia="方正楷体简体" w:cs="方正楷体简体"/>
          <w:color w:val="000000"/>
          <w:kern w:val="0"/>
          <w:sz w:val="32"/>
          <w:szCs w:val="32"/>
          <w:shd w:val="clear" w:color="auto" w:fill="FFFFFF"/>
        </w:rPr>
        <w:t>项目概况</w:t>
      </w:r>
      <w:bookmarkEnd w:id="19"/>
      <w:bookmarkEnd w:id="20"/>
      <w:bookmarkEnd w:id="21"/>
      <w:bookmarkEnd w:id="22"/>
      <w:bookmarkEnd w:id="23"/>
      <w:bookmarkEnd w:id="24"/>
      <w:bookmarkEnd w:id="25"/>
    </w:p>
    <w:p w14:paraId="64673C3C">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outlineLvl w:val="2"/>
        <w:rPr>
          <w:rFonts w:hint="default" w:ascii="Times New Roman" w:hAnsi="Times New Roman" w:eastAsia="方正仿宋简体" w:cs="Times New Roman"/>
          <w:sz w:val="32"/>
          <w:szCs w:val="32"/>
        </w:rPr>
      </w:pPr>
      <w:bookmarkStart w:id="26" w:name="_Toc12470"/>
      <w:r>
        <w:rPr>
          <w:rFonts w:hint="default" w:ascii="Times New Roman" w:hAnsi="Times New Roman" w:eastAsia="方正仿宋简体" w:cs="Times New Roman"/>
          <w:sz w:val="32"/>
          <w:szCs w:val="32"/>
        </w:rPr>
        <w:t>1.被评价单位</w:t>
      </w:r>
    </w:p>
    <w:p w14:paraId="677EBB89">
      <w:pPr>
        <w:pStyle w:val="2"/>
        <w:keepNext w:val="0"/>
        <w:keepLines w:val="0"/>
        <w:pageBreakBefore w:val="0"/>
        <w:kinsoku/>
        <w:wordWrap/>
        <w:overflowPunct/>
        <w:topLinePunct w:val="0"/>
        <w:autoSpaceDE/>
        <w:autoSpaceDN/>
        <w:bidi w:val="0"/>
        <w:spacing w:after="0" w:line="600" w:lineRule="exact"/>
        <w:ind w:left="0" w:leftChars="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 xml:space="preserve">    泸定县综合行政执法局，机构性质：机关；统一社会信用代码：11513322MB15847225，机构地址：泸定县泸桥镇将军街20号；负责人：何归江。</w:t>
      </w:r>
    </w:p>
    <w:p w14:paraId="03ED6CA3">
      <w:pPr>
        <w:keepNext w:val="0"/>
        <w:keepLines w:val="0"/>
        <w:pageBreakBefore w:val="0"/>
        <w:kinsoku/>
        <w:wordWrap/>
        <w:overflowPunct/>
        <w:topLinePunct w:val="0"/>
        <w:autoSpaceDE/>
        <w:autoSpaceDN/>
        <w:bidi w:val="0"/>
        <w:adjustRightInd w:val="0"/>
        <w:snapToGrid w:val="0"/>
        <w:spacing w:line="600" w:lineRule="exact"/>
        <w:ind w:left="0" w:leftChars="0" w:firstLine="640" w:firstLineChars="200"/>
        <w:outlineLvl w:val="2"/>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.项目背景</w:t>
      </w:r>
      <w:bookmarkEnd w:id="26"/>
    </w:p>
    <w:p w14:paraId="466D51FA">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27" w:name="_Hlk143095508"/>
      <w:r>
        <w:rPr>
          <w:rFonts w:hint="eastAsia" w:ascii="方正仿宋简体" w:hAnsi="方正仿宋简体" w:eastAsia="方正仿宋简体" w:cs="方正仿宋简体"/>
          <w:sz w:val="32"/>
          <w:szCs w:val="32"/>
        </w:rPr>
        <w:t>城市基础设施的维护和升级是泸定县县城正常运行、提高县城综合承载能力、确保县城可持续发展的重要因素。随着城市化进程的加快，对基础设施的依赖日益增加，这不仅包括道路、桥梁、公共交通、供水供电等传统基础设施，还包括新兴的信息网络、智慧城市建设等新型基础设施</w:t>
      </w:r>
      <w:r>
        <w:rPr>
          <w:rFonts w:hint="eastAsia" w:ascii="方正仿宋简体" w:hAnsi="方正仿宋简体" w:eastAsia="方正仿宋简体" w:cs="方正仿宋简体"/>
          <w:color w:val="000000" w:themeColor="text1"/>
          <w:sz w:val="32"/>
          <w:szCs w:val="32"/>
          <w14:textFill>
            <w14:solidFill>
              <w14:schemeClr w14:val="tx1"/>
            </w14:solidFill>
          </w14:textFill>
        </w:rPr>
        <w:t>。随着基础设施的老化和磨损问题逐渐显现，县城部分基础设施已经达到或超过了设计使用年限，继续维持其正常运行需要不断的检测、维修和更新。</w:t>
      </w:r>
    </w:p>
    <w:bookmarkEnd w:id="27"/>
    <w:p w14:paraId="6AEEB677">
      <w:pPr>
        <w:keepNext w:val="0"/>
        <w:keepLines w:val="0"/>
        <w:pageBreakBefore w:val="0"/>
        <w:kinsoku/>
        <w:wordWrap/>
        <w:overflowPunct/>
        <w:topLinePunct w:val="0"/>
        <w:autoSpaceDE/>
        <w:autoSpaceDN/>
        <w:bidi w:val="0"/>
        <w:spacing w:line="600" w:lineRule="exact"/>
        <w:ind w:left="0" w:leftChars="0" w:firstLine="640" w:firstLineChars="20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3.项目实施情况</w:t>
      </w:r>
    </w:p>
    <w:p w14:paraId="31872E0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bookmarkStart w:id="28" w:name="_Toc1137465073"/>
      <w:r>
        <w:rPr>
          <w:rFonts w:hint="default" w:ascii="Times New Roman" w:hAnsi="Times New Roman" w:eastAsia="方正仿宋简体" w:cs="Times New Roman"/>
          <w:sz w:val="32"/>
          <w:szCs w:val="32"/>
        </w:rPr>
        <w:t>泸定县2023年城市基础设施维护费项目，按照《国务院关于加强城市基础设施建设的意见》（国发〔2013〕36号）文件精神与《甘孜藏族自治州人民政府办公室关于印发甘孜州建制镇市政基础设施及公共服务设施配置参考标准的通知》（甘办函〔2014〕227号）指示进行实</w:t>
      </w:r>
      <w:r>
        <w:rPr>
          <w:rFonts w:hint="eastAsia" w:ascii="方正仿宋简体" w:hAnsi="方正仿宋简体" w:eastAsia="方正仿宋简体" w:cs="方正仿宋简体"/>
          <w:sz w:val="32"/>
          <w:szCs w:val="32"/>
        </w:rPr>
        <w:t>施，包含道路、交通、照明、环卫、绿化等，保证城市亮化工程的正常运行。</w:t>
      </w:r>
    </w:p>
    <w:p w14:paraId="00FC8637">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lang w:val="zh-CN"/>
        </w:rPr>
      </w:pPr>
      <w:bookmarkStart w:id="29" w:name="_Toc1872624354"/>
      <w:bookmarkStart w:id="30" w:name="_Toc176352291"/>
      <w:bookmarkStart w:id="31" w:name="_Toc10502"/>
      <w:bookmarkStart w:id="32" w:name="_Toc11275"/>
      <w:bookmarkStart w:id="33" w:name="_Toc373335861"/>
      <w:r>
        <w:rPr>
          <w:rFonts w:hint="eastAsia" w:ascii="方正楷体简体" w:hAnsi="方正楷体简体" w:eastAsia="方正楷体简体" w:cs="方正楷体简体"/>
          <w:color w:val="000000"/>
          <w:kern w:val="0"/>
          <w:sz w:val="32"/>
          <w:szCs w:val="32"/>
          <w:shd w:val="clear" w:color="auto" w:fill="FFFFFF"/>
          <w:lang w:val="zh-CN"/>
        </w:rPr>
        <w:t>（</w:t>
      </w:r>
      <w:r>
        <w:rPr>
          <w:rFonts w:hint="eastAsia" w:ascii="方正楷体简体" w:hAnsi="方正楷体简体" w:eastAsia="方正楷体简体" w:cs="方正楷体简体"/>
          <w:color w:val="000000"/>
          <w:kern w:val="0"/>
          <w:sz w:val="32"/>
          <w:szCs w:val="32"/>
          <w:shd w:val="clear" w:color="auto" w:fill="FFFFFF"/>
        </w:rPr>
        <w:t>二</w:t>
      </w:r>
      <w:r>
        <w:rPr>
          <w:rFonts w:hint="eastAsia" w:ascii="方正楷体简体" w:hAnsi="方正楷体简体" w:eastAsia="方正楷体简体" w:cs="方正楷体简体"/>
          <w:color w:val="000000"/>
          <w:kern w:val="0"/>
          <w:sz w:val="32"/>
          <w:szCs w:val="32"/>
          <w:shd w:val="clear" w:color="auto" w:fill="FFFFFF"/>
          <w:lang w:val="zh-CN"/>
        </w:rPr>
        <w:t>）资金投入及使用情况</w:t>
      </w:r>
      <w:bookmarkEnd w:id="28"/>
      <w:bookmarkEnd w:id="29"/>
      <w:bookmarkEnd w:id="30"/>
      <w:bookmarkEnd w:id="31"/>
      <w:bookmarkEnd w:id="32"/>
      <w:bookmarkEnd w:id="33"/>
    </w:p>
    <w:p w14:paraId="72B5A42D">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rPr>
          <w:rFonts w:hint="eastAsia" w:ascii="方正仿宋简体" w:hAnsi="方正仿宋简体" w:eastAsia="方正仿宋简体" w:cs="方正仿宋简体"/>
          <w:color w:val="000000" w:themeColor="text1"/>
          <w:sz w:val="32"/>
          <w:szCs w:val="32"/>
          <w14:textFill>
            <w14:solidFill>
              <w14:schemeClr w14:val="tx1"/>
            </w14:solidFill>
          </w14:textFill>
        </w:rPr>
      </w:pPr>
      <w:bookmarkStart w:id="34" w:name="_Toc92"/>
      <w:r>
        <w:rPr>
          <w:rFonts w:hint="eastAsia" w:ascii="方正仿宋简体" w:hAnsi="方正仿宋简体" w:eastAsia="方正仿宋简体" w:cs="方正仿宋简体"/>
          <w:color w:val="000000" w:themeColor="text1"/>
          <w:sz w:val="32"/>
          <w:szCs w:val="32"/>
          <w14:textFill>
            <w14:solidFill>
              <w14:schemeClr w14:val="tx1"/>
            </w14:solidFill>
          </w14:textFill>
        </w:rPr>
        <w:t>城市基础设施维护费项目</w:t>
      </w:r>
      <w:r>
        <w:rPr>
          <w:rFonts w:hint="default" w:ascii="Times New Roman" w:hAnsi="Times New Roman" w:eastAsia="方正仿宋简体" w:cs="Times New Roman"/>
          <w:color w:val="000000" w:themeColor="text1"/>
          <w:sz w:val="32"/>
          <w:szCs w:val="32"/>
          <w14:textFill>
            <w14:solidFill>
              <w14:schemeClr w14:val="tx1"/>
            </w14:solidFill>
          </w14:textFill>
        </w:rPr>
        <w:t>2023年年初申请并下达县级政府性基金预算资金160.00万元，当年共支出159.57万</w:t>
      </w:r>
      <w:r>
        <w:rPr>
          <w:rFonts w:hint="eastAsia" w:ascii="方正仿宋简体" w:hAnsi="方正仿宋简体" w:eastAsia="方正仿宋简体" w:cs="方正仿宋简体"/>
          <w:color w:val="000000" w:themeColor="text1"/>
          <w:sz w:val="32"/>
          <w:szCs w:val="32"/>
          <w14:textFill>
            <w14:solidFill>
              <w14:schemeClr w14:val="tx1"/>
            </w14:solidFill>
          </w14:textFill>
        </w:rPr>
        <w:t xml:space="preserve">元，用于城市亮化、市政维修等。 </w:t>
      </w:r>
    </w:p>
    <w:p w14:paraId="3D683508">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35" w:name="_Toc15993"/>
      <w:bookmarkStart w:id="36" w:name="_Toc2013461402"/>
      <w:bookmarkStart w:id="37" w:name="_Toc176352292"/>
      <w:bookmarkStart w:id="38" w:name="_Toc1475229012"/>
      <w:bookmarkStart w:id="39" w:name="_Toc823786307"/>
      <w:bookmarkStart w:id="40" w:name="_Toc16650"/>
      <w:r>
        <w:rPr>
          <w:rFonts w:hint="eastAsia" w:ascii="方正黑体简体" w:hAnsi="方正黑体简体" w:eastAsia="方正黑体简体" w:cs="方正黑体简体"/>
          <w:color w:val="000000"/>
          <w:kern w:val="0"/>
          <w:sz w:val="32"/>
          <w:szCs w:val="32"/>
          <w:shd w:val="clear" w:color="auto" w:fill="FFFFFF"/>
        </w:rPr>
        <w:t>二、评价工作开展情况</w:t>
      </w:r>
      <w:bookmarkEnd w:id="34"/>
      <w:bookmarkEnd w:id="35"/>
      <w:bookmarkEnd w:id="36"/>
      <w:bookmarkEnd w:id="37"/>
      <w:bookmarkEnd w:id="38"/>
      <w:bookmarkEnd w:id="39"/>
      <w:bookmarkEnd w:id="40"/>
    </w:p>
    <w:p w14:paraId="61C73B76">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41" w:name="_Toc26040"/>
      <w:bookmarkStart w:id="42" w:name="_Toc374873874"/>
      <w:bookmarkStart w:id="43" w:name="_Toc176352293"/>
      <w:bookmarkStart w:id="44" w:name="_Toc552897559"/>
      <w:bookmarkStart w:id="45" w:name="_Toc7544"/>
      <w:bookmarkStart w:id="46" w:name="_Toc1526787527"/>
      <w:bookmarkStart w:id="47" w:name="_Toc3977"/>
      <w:r>
        <w:rPr>
          <w:rFonts w:hint="eastAsia" w:ascii="方正楷体简体" w:hAnsi="方正楷体简体" w:eastAsia="方正楷体简体" w:cs="方正楷体简体"/>
          <w:color w:val="000000"/>
          <w:kern w:val="0"/>
          <w:sz w:val="32"/>
          <w:szCs w:val="32"/>
          <w:shd w:val="clear" w:color="auto" w:fill="FFFFFF"/>
        </w:rPr>
        <w:t>（一）评价范围</w:t>
      </w:r>
      <w:bookmarkEnd w:id="41"/>
      <w:bookmarkEnd w:id="42"/>
      <w:bookmarkEnd w:id="43"/>
      <w:bookmarkEnd w:id="44"/>
      <w:bookmarkEnd w:id="45"/>
      <w:bookmarkEnd w:id="46"/>
      <w:bookmarkEnd w:id="47"/>
    </w:p>
    <w:p w14:paraId="3341099D">
      <w:pPr>
        <w:pStyle w:val="2"/>
        <w:keepNext w:val="0"/>
        <w:keepLines w:val="0"/>
        <w:pageBreakBefore w:val="0"/>
        <w:kinsoku/>
        <w:wordWrap/>
        <w:overflowPunct/>
        <w:topLinePunct w:val="0"/>
        <w:autoSpaceDE/>
        <w:autoSpaceDN/>
        <w:bidi w:val="0"/>
        <w:spacing w:after="0" w:line="600" w:lineRule="exact"/>
        <w:ind w:left="0" w:leftChars="0" w:firstLine="640" w:firstLineChars="200"/>
        <w:rPr>
          <w:rFonts w:hint="eastAsia" w:ascii="方正仿宋简体" w:hAnsi="方正仿宋简体" w:eastAsia="方正仿宋简体" w:cs="方正仿宋简体"/>
          <w:color w:val="000000"/>
          <w:kern w:val="2"/>
          <w:sz w:val="32"/>
          <w:szCs w:val="32"/>
          <w:shd w:val="clear" w:color="auto" w:fill="FFFFFF"/>
        </w:rPr>
      </w:pPr>
      <w:r>
        <w:rPr>
          <w:rFonts w:hint="eastAsia" w:ascii="方正仿宋简体" w:hAnsi="方正仿宋简体" w:eastAsia="方正仿宋简体" w:cs="方正仿宋简体"/>
          <w:color w:val="000000"/>
          <w:kern w:val="2"/>
          <w:sz w:val="32"/>
          <w:szCs w:val="32"/>
          <w:shd w:val="clear" w:color="auto" w:fill="FFFFFF"/>
        </w:rPr>
        <w:t>对泸定县综合行政执法局城市基础设施维护费项目进行绩效评价。</w:t>
      </w:r>
    </w:p>
    <w:p w14:paraId="611AAD84">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48" w:name="_Toc29352"/>
      <w:bookmarkStart w:id="49" w:name="_Toc176352294"/>
      <w:r>
        <w:rPr>
          <w:rFonts w:hint="eastAsia" w:ascii="方正楷体简体" w:hAnsi="方正楷体简体" w:eastAsia="方正楷体简体" w:cs="方正楷体简体"/>
          <w:color w:val="000000"/>
          <w:kern w:val="0"/>
          <w:sz w:val="32"/>
          <w:szCs w:val="32"/>
          <w:shd w:val="clear" w:color="auto" w:fill="FFFFFF"/>
        </w:rPr>
        <w:t>（二）评价目的</w:t>
      </w:r>
      <w:bookmarkEnd w:id="48"/>
      <w:bookmarkEnd w:id="49"/>
    </w:p>
    <w:p w14:paraId="577F86DB">
      <w:pPr>
        <w:pStyle w:val="2"/>
        <w:keepNext w:val="0"/>
        <w:keepLines w:val="0"/>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通过对城市基础设施维护费项目进行绩效评价，发现项目实施过程存在的问题，并督促被评价单位及时整改。同时对城市基础设施维护费项目绩效评价主要目的是发挥绩效评价对决策信息的反馈作用，建立一种科学、明确的绩效目标作为预算编制依据，将绩效评价融入整个预算编制过程，为规范和加强财政支出管理，强化支出责任，建立科学、规范的财政支出绩效评价管理体系，提高财政资金使用效益</w:t>
      </w:r>
      <w:r>
        <w:rPr>
          <w:rFonts w:hint="eastAsia" w:ascii="方正仿宋简体" w:hAnsi="方正仿宋简体" w:eastAsia="方正仿宋简体" w:cs="方正仿宋简体"/>
          <w:color w:val="000000"/>
          <w:sz w:val="32"/>
          <w:szCs w:val="32"/>
          <w:shd w:val="clear" w:color="auto" w:fill="FFFFFF"/>
        </w:rPr>
        <w:t>。</w:t>
      </w:r>
      <w:bookmarkStart w:id="50" w:name="_Toc25044"/>
    </w:p>
    <w:p w14:paraId="52655A98">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51" w:name="_Toc69892372"/>
      <w:bookmarkStart w:id="52" w:name="_Toc695837166"/>
      <w:bookmarkStart w:id="53" w:name="_Toc4506"/>
      <w:bookmarkStart w:id="54" w:name="_Toc256358140"/>
      <w:bookmarkStart w:id="55" w:name="_Toc176352295"/>
      <w:bookmarkStart w:id="56" w:name="_Toc27649"/>
      <w:r>
        <w:rPr>
          <w:rFonts w:hint="eastAsia" w:ascii="方正楷体简体" w:hAnsi="方正楷体简体" w:eastAsia="方正楷体简体" w:cs="方正楷体简体"/>
          <w:color w:val="000000"/>
          <w:kern w:val="0"/>
          <w:sz w:val="32"/>
          <w:szCs w:val="32"/>
          <w:shd w:val="clear" w:color="auto" w:fill="FFFFFF"/>
        </w:rPr>
        <w:t>（三）</w:t>
      </w:r>
      <w:bookmarkEnd w:id="50"/>
      <w:bookmarkEnd w:id="51"/>
      <w:bookmarkEnd w:id="52"/>
      <w:bookmarkEnd w:id="53"/>
      <w:bookmarkEnd w:id="54"/>
      <w:r>
        <w:rPr>
          <w:rFonts w:hint="eastAsia" w:ascii="方正楷体简体" w:hAnsi="方正楷体简体" w:eastAsia="方正楷体简体" w:cs="方正楷体简体"/>
          <w:color w:val="000000"/>
          <w:kern w:val="0"/>
          <w:sz w:val="32"/>
          <w:szCs w:val="32"/>
          <w:shd w:val="clear" w:color="auto" w:fill="FFFFFF"/>
        </w:rPr>
        <w:t>评价依据</w:t>
      </w:r>
      <w:bookmarkEnd w:id="55"/>
      <w:bookmarkEnd w:id="56"/>
    </w:p>
    <w:p w14:paraId="15516DA9">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640" w:firstLineChars="200"/>
        <w:rPr>
          <w:rFonts w:hint="default" w:ascii="Times New Roman" w:hAnsi="Times New Roman" w:eastAsia="方正仿宋简体" w:cs="Times New Roman"/>
          <w:sz w:val="32"/>
          <w:szCs w:val="32"/>
        </w:rPr>
      </w:pPr>
      <w:bookmarkStart w:id="57" w:name="_Toc12644"/>
      <w:bookmarkStart w:id="58" w:name="_Toc1431999818"/>
      <w:bookmarkStart w:id="59" w:name="_Toc1283387961"/>
      <w:bookmarkStart w:id="60" w:name="_Toc2131644227"/>
      <w:bookmarkStart w:id="61" w:name="_Toc24122"/>
      <w:r>
        <w:rPr>
          <w:rFonts w:hint="eastAsia" w:ascii="方正仿宋简体" w:hAnsi="方正仿宋简体" w:eastAsia="方正仿宋简体" w:cs="方正仿宋简体"/>
          <w:sz w:val="32"/>
          <w:szCs w:val="32"/>
        </w:rPr>
        <w:t>《关于推进预算绩效管理的指导意见》（财预</w:t>
      </w:r>
      <w:r>
        <w:rPr>
          <w:rFonts w:hint="default" w:ascii="Times New Roman" w:hAnsi="Times New Roman" w:eastAsia="方正仿宋简体" w:cs="Times New Roman"/>
          <w:sz w:val="32"/>
          <w:szCs w:val="32"/>
        </w:rPr>
        <w:t>〔2011〕416号）；</w:t>
      </w:r>
    </w:p>
    <w:p w14:paraId="6FE8AA35">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《财政部〈关于印发项目支出绩效评价管理办法〉的通知》（财预〔2020〕10号）；</w:t>
      </w:r>
    </w:p>
    <w:p w14:paraId="4BD6ADD6">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《中共中央 国务院关于全面实施预算绩效管理的意见》（中发〔2018〕34号）；</w:t>
      </w:r>
    </w:p>
    <w:p w14:paraId="05D7CAE1">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《中共四川省委 四川省人民政府关于全面实施预算绩效管理的实施意见》（川委发〔2019〕8 号）；</w:t>
      </w:r>
    </w:p>
    <w:p w14:paraId="428ECEF0">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《四川省省级项目支出绩效管理办法》（川财绩〔2019〕14 号）；</w:t>
      </w:r>
    </w:p>
    <w:p w14:paraId="377A6A57">
      <w:pPr>
        <w:pStyle w:val="2"/>
        <w:keepNext w:val="0"/>
        <w:keepLines w:val="0"/>
        <w:pageBreakBefore w:val="0"/>
        <w:numPr>
          <w:ilvl w:val="0"/>
          <w:numId w:val="2"/>
        </w:numPr>
        <w:kinsoku/>
        <w:wordWrap/>
        <w:overflowPunct/>
        <w:topLinePunct w:val="0"/>
        <w:autoSpaceDE/>
        <w:autoSpaceDN/>
        <w:bidi w:val="0"/>
        <w:spacing w:after="0" w:line="600" w:lineRule="exact"/>
        <w:ind w:left="0" w:leftChars="0" w:firstLine="640" w:firstLineChars="20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《泸定县财政局关于开展2024年政府性基金预算绩效评价工作的通知》（泸财〔2024〕39号）；</w:t>
      </w:r>
    </w:p>
    <w:p w14:paraId="6E4E5316">
      <w:pPr>
        <w:pStyle w:val="2"/>
        <w:keepNext w:val="0"/>
        <w:keepLines w:val="0"/>
        <w:pageBreakBefore w:val="0"/>
        <w:kinsoku/>
        <w:wordWrap/>
        <w:overflowPunct/>
        <w:topLinePunct w:val="0"/>
        <w:autoSpaceDE/>
        <w:autoSpaceDN/>
        <w:bidi w:val="0"/>
        <w:spacing w:after="0"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 其他相关法规及操作规范。</w:t>
      </w:r>
    </w:p>
    <w:p w14:paraId="4DD657C5">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62" w:name="_Toc26348"/>
      <w:bookmarkStart w:id="63" w:name="_Toc176352296"/>
      <w:r>
        <w:rPr>
          <w:rFonts w:hint="eastAsia" w:ascii="方正楷体简体" w:hAnsi="方正楷体简体" w:eastAsia="方正楷体简体" w:cs="方正楷体简体"/>
          <w:color w:val="000000"/>
          <w:kern w:val="0"/>
          <w:sz w:val="32"/>
          <w:szCs w:val="32"/>
          <w:shd w:val="clear" w:color="auto" w:fill="FFFFFF"/>
        </w:rPr>
        <w:t>（四）绩效评价指标体系</w:t>
      </w:r>
      <w:bookmarkEnd w:id="62"/>
      <w:bookmarkEnd w:id="63"/>
    </w:p>
    <w:p w14:paraId="32F2063F">
      <w:pPr>
        <w:pStyle w:val="2"/>
        <w:keepNext w:val="0"/>
        <w:keepLines w:val="0"/>
        <w:pageBreakBefore w:val="0"/>
        <w:kinsoku/>
        <w:wordWrap/>
        <w:overflowPunct/>
        <w:topLinePunct w:val="0"/>
        <w:autoSpaceDE/>
        <w:autoSpaceDN/>
        <w:bidi w:val="0"/>
        <w:spacing w:after="0" w:line="600" w:lineRule="exact"/>
        <w:ind w:left="0" w:leftChars="0" w:firstLine="564"/>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根据《泸定县财政局</w:t>
      </w:r>
      <w:r>
        <w:rPr>
          <w:rFonts w:hint="default" w:ascii="Times New Roman" w:hAnsi="Times New Roman" w:eastAsia="方正仿宋简体" w:cs="Times New Roman"/>
          <w:sz w:val="32"/>
          <w:szCs w:val="32"/>
        </w:rPr>
        <w:t>关于开展2024年政府性基金预算绩效评价工作的通知》（泸财〔2024〕39号</w:t>
      </w:r>
      <w:r>
        <w:rPr>
          <w:rFonts w:hint="eastAsia" w:ascii="方正仿宋简体" w:hAnsi="方正仿宋简体" w:eastAsia="方正仿宋简体" w:cs="方正仿宋简体"/>
          <w:sz w:val="32"/>
          <w:szCs w:val="32"/>
        </w:rPr>
        <w:t>）等相关规定的评价指标体系和该项目的实际情况，评价组将绩效评价指标体系中共性指标设定为：</w:t>
      </w:r>
      <w:r>
        <w:rPr>
          <w:rFonts w:hint="eastAsia" w:ascii="方正仿宋简体" w:hAnsi="方正仿宋简体" w:eastAsia="方正仿宋简体" w:cs="方正仿宋简体"/>
          <w:sz w:val="32"/>
          <w:szCs w:val="32"/>
          <w:lang w:val="en-US" w:eastAsia="zh-CN"/>
        </w:rPr>
        <w:t>功能性、配套性</w:t>
      </w:r>
      <w:r>
        <w:rPr>
          <w:rFonts w:hint="eastAsia" w:ascii="方正仿宋简体" w:hAnsi="方正仿宋简体" w:eastAsia="方正仿宋简体" w:cs="方正仿宋简体"/>
          <w:sz w:val="32"/>
          <w:szCs w:val="32"/>
        </w:rPr>
        <w:t>，特性指标设定为：完成质量、社会效益、社区满意度，个性指标设定为：生态效益。设定评价指标及权重如下：</w:t>
      </w:r>
    </w:p>
    <w:p w14:paraId="09E66506">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1.项目决策：含</w:t>
      </w:r>
      <w:bookmarkStart w:id="64" w:name="_Hlk142489161"/>
      <w:r>
        <w:rPr>
          <w:rFonts w:hint="default" w:ascii="Times New Roman" w:hAnsi="Times New Roman" w:eastAsia="方正仿宋简体" w:cs="Times New Roman"/>
          <w:sz w:val="32"/>
          <w:szCs w:val="32"/>
        </w:rPr>
        <w:t>程序严密、规划合理、制度完备</w:t>
      </w:r>
      <w:bookmarkEnd w:id="64"/>
      <w:r>
        <w:rPr>
          <w:rFonts w:hint="default" w:ascii="Times New Roman" w:hAnsi="Times New Roman" w:eastAsia="方正仿宋简体" w:cs="Times New Roman"/>
          <w:sz w:val="32"/>
          <w:szCs w:val="32"/>
        </w:rPr>
        <w:t>三个二级指标，权重合计为12.00分。</w:t>
      </w:r>
    </w:p>
    <w:p w14:paraId="66BE4B41">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2.项目实施：含分配合理、使用合规、执行有效三个二级指标，权重合计为11.00分。</w:t>
      </w:r>
    </w:p>
    <w:p w14:paraId="2D59DFAC">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3.完成结果：含预算完成、目标完成、完成及时、违规记录四个二级指标，权重合计为17.00分。</w:t>
      </w:r>
    </w:p>
    <w:p w14:paraId="6BE681E7">
      <w:pPr>
        <w:keepNext w:val="0"/>
        <w:keepLines w:val="0"/>
        <w:pageBreakBefore w:val="0"/>
        <w:kinsoku/>
        <w:wordWrap/>
        <w:overflowPunct/>
        <w:topLinePunct w:val="0"/>
        <w:autoSpaceDE/>
        <w:autoSpaceDN/>
        <w:bidi w:val="0"/>
        <w:spacing w:line="600" w:lineRule="exact"/>
        <w:ind w:left="0" w:leftChars="0" w:firstLine="564"/>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4.项目效果：含功能性、配套性两个二级指标，权重合计为</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0.00分。</w:t>
      </w:r>
    </w:p>
    <w:p w14:paraId="05127282">
      <w:pPr>
        <w:pStyle w:val="2"/>
        <w:keepNext w:val="0"/>
        <w:keepLines w:val="0"/>
        <w:pageBreakBefore w:val="0"/>
        <w:kinsoku/>
        <w:wordWrap/>
        <w:overflowPunct/>
        <w:topLinePunct w:val="0"/>
        <w:autoSpaceDE/>
        <w:autoSpaceDN/>
        <w:bidi w:val="0"/>
        <w:spacing w:after="0" w:line="600" w:lineRule="exact"/>
        <w:ind w:left="0" w:leftChars="0" w:firstLine="564"/>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5.完成质量：含质量达标一个二级指标，权重合计为10.00分。</w:t>
      </w:r>
    </w:p>
    <w:p w14:paraId="2FBF94CF">
      <w:pPr>
        <w:keepNext w:val="0"/>
        <w:keepLines w:val="0"/>
        <w:pageBreakBefore w:val="0"/>
        <w:kinsoku/>
        <w:wordWrap/>
        <w:overflowPunct/>
        <w:topLinePunct w:val="0"/>
        <w:autoSpaceDE/>
        <w:autoSpaceDN/>
        <w:bidi w:val="0"/>
        <w:spacing w:line="600" w:lineRule="exact"/>
        <w:ind w:left="0" w:leftChars="0" w:firstLine="564"/>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6.社会效益：含运行效率一个二级指标，权重合计为10.00分。</w:t>
      </w:r>
    </w:p>
    <w:p w14:paraId="671D447D">
      <w:pPr>
        <w:keepNext w:val="0"/>
        <w:keepLines w:val="0"/>
        <w:pageBreakBefore w:val="0"/>
        <w:kinsoku/>
        <w:wordWrap/>
        <w:overflowPunct/>
        <w:topLinePunct w:val="0"/>
        <w:autoSpaceDE/>
        <w:autoSpaceDN/>
        <w:bidi w:val="0"/>
        <w:spacing w:line="600" w:lineRule="exact"/>
        <w:ind w:left="0" w:leftChars="0" w:firstLine="564"/>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7.社区满意度：含居民满意度一个二级指标，权重合计为10.00分。</w:t>
      </w:r>
    </w:p>
    <w:p w14:paraId="63BC89C9">
      <w:pPr>
        <w:keepNext w:val="0"/>
        <w:keepLines w:val="0"/>
        <w:pageBreakBefore w:val="0"/>
        <w:kinsoku/>
        <w:wordWrap/>
        <w:overflowPunct/>
        <w:topLinePunct w:val="0"/>
        <w:autoSpaceDE/>
        <w:autoSpaceDN/>
        <w:bidi w:val="0"/>
        <w:spacing w:line="600" w:lineRule="exact"/>
        <w:ind w:left="0" w:leftChars="0" w:firstLine="564"/>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8.生态效益：含人居环境改善一个二级指标，权重合计为10.00分。</w:t>
      </w:r>
    </w:p>
    <w:p w14:paraId="52FED3E3">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65" w:name="_Toc3128"/>
      <w:r>
        <w:rPr>
          <w:rFonts w:hint="eastAsia" w:ascii="方正黑体简体" w:hAnsi="方正黑体简体" w:eastAsia="方正黑体简体" w:cs="方正黑体简体"/>
          <w:color w:val="000000"/>
          <w:kern w:val="0"/>
          <w:sz w:val="32"/>
          <w:szCs w:val="32"/>
          <w:shd w:val="clear" w:color="auto" w:fill="FFFFFF"/>
        </w:rPr>
        <w:t>三、评价情况及结论</w:t>
      </w:r>
      <w:bookmarkEnd w:id="57"/>
      <w:bookmarkEnd w:id="58"/>
      <w:bookmarkEnd w:id="59"/>
      <w:bookmarkEnd w:id="60"/>
      <w:bookmarkEnd w:id="61"/>
      <w:bookmarkEnd w:id="65"/>
    </w:p>
    <w:p w14:paraId="15138C93">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本项目实施后，通过对城市基础设施设备进行维护、升级、改造，提高了城市生产生活质量水平，增强了泸定县人民的幸福感；保证城市亮化工程的正常运行，提高了泸定县夜间道路车辆行驶和行人通行安全。</w:t>
      </w:r>
    </w:p>
    <w:p w14:paraId="2A04A677">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综上所述，按照设定的评价指标体系，通过对城市基础设施维护费项目在项目决策、项目实施、完成结果、项目效果、完成质量、社会效益、社区满意度和生态效益进行综合评价，“城市基础设施维护费项目”绩效评价得分为</w:t>
      </w:r>
      <w:r>
        <w:rPr>
          <w:rFonts w:hint="default" w:ascii="Times New Roman" w:hAnsi="Times New Roman" w:eastAsia="方正仿宋简体" w:cs="Times New Roman"/>
          <w:sz w:val="32"/>
          <w:szCs w:val="32"/>
          <w:lang w:val="en-US" w:eastAsia="zh-CN"/>
        </w:rPr>
        <w:t>84.80</w:t>
      </w:r>
      <w:r>
        <w:rPr>
          <w:rFonts w:hint="eastAsia" w:ascii="方正仿宋简体" w:hAnsi="方正仿宋简体" w:eastAsia="方正仿宋简体" w:cs="方正仿宋简体"/>
          <w:sz w:val="32"/>
          <w:szCs w:val="32"/>
        </w:rPr>
        <w:t>分，详见下表：</w:t>
      </w:r>
    </w:p>
    <w:tbl>
      <w:tblPr>
        <w:tblStyle w:val="1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2259"/>
        <w:gridCol w:w="2266"/>
        <w:gridCol w:w="2266"/>
      </w:tblGrid>
      <w:tr w14:paraId="236D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F72EC83">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一级指标</w:t>
            </w:r>
          </w:p>
        </w:tc>
        <w:tc>
          <w:tcPr>
            <w:tcW w:w="1247" w:type="pct"/>
            <w:vAlign w:val="center"/>
          </w:tcPr>
          <w:p w14:paraId="46E829C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分值</w:t>
            </w:r>
          </w:p>
        </w:tc>
        <w:tc>
          <w:tcPr>
            <w:tcW w:w="1251" w:type="pct"/>
            <w:vAlign w:val="center"/>
          </w:tcPr>
          <w:p w14:paraId="5398202B">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得分</w:t>
            </w:r>
          </w:p>
        </w:tc>
        <w:tc>
          <w:tcPr>
            <w:tcW w:w="1251" w:type="pct"/>
            <w:vAlign w:val="center"/>
          </w:tcPr>
          <w:p w14:paraId="0E170025">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color w:val="000000"/>
                <w:sz w:val="32"/>
                <w:szCs w:val="32"/>
                <w:shd w:val="clear" w:color="auto" w:fill="FFFFFF"/>
              </w:rPr>
              <w:t>得分率</w:t>
            </w:r>
          </w:p>
        </w:tc>
      </w:tr>
      <w:tr w14:paraId="3A0D1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09DB459">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项目决策</w:t>
            </w:r>
          </w:p>
        </w:tc>
        <w:tc>
          <w:tcPr>
            <w:tcW w:w="2125" w:type="dxa"/>
            <w:vAlign w:val="center"/>
          </w:tcPr>
          <w:p w14:paraId="2D1C7CDF">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color w:val="000000"/>
                <w:sz w:val="32"/>
                <w:szCs w:val="32"/>
                <w:shd w:val="clear" w:color="auto" w:fill="FFFFFF"/>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12.00 </w:t>
            </w:r>
          </w:p>
        </w:tc>
        <w:tc>
          <w:tcPr>
            <w:tcW w:w="2132" w:type="dxa"/>
            <w:vAlign w:val="center"/>
          </w:tcPr>
          <w:p w14:paraId="38EF35E1">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5.00 </w:t>
            </w:r>
          </w:p>
        </w:tc>
        <w:tc>
          <w:tcPr>
            <w:tcW w:w="2132" w:type="dxa"/>
            <w:vAlign w:val="center"/>
          </w:tcPr>
          <w:p w14:paraId="4BF2BB6D">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41.67%</w:t>
            </w:r>
          </w:p>
        </w:tc>
      </w:tr>
      <w:tr w14:paraId="2879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26156DD">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项目实施</w:t>
            </w:r>
          </w:p>
        </w:tc>
        <w:tc>
          <w:tcPr>
            <w:tcW w:w="2125" w:type="dxa"/>
            <w:vAlign w:val="center"/>
          </w:tcPr>
          <w:p w14:paraId="0B4E29D7">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color w:val="000000"/>
                <w:sz w:val="32"/>
                <w:szCs w:val="32"/>
                <w:shd w:val="clear" w:color="auto" w:fill="FFFFFF"/>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11.00 </w:t>
            </w:r>
          </w:p>
        </w:tc>
        <w:tc>
          <w:tcPr>
            <w:tcW w:w="2132" w:type="dxa"/>
            <w:vAlign w:val="center"/>
          </w:tcPr>
          <w:p w14:paraId="50A7D081">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9.00 </w:t>
            </w:r>
          </w:p>
        </w:tc>
        <w:tc>
          <w:tcPr>
            <w:tcW w:w="2132" w:type="dxa"/>
            <w:vAlign w:val="center"/>
          </w:tcPr>
          <w:p w14:paraId="50F6D5EE">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81.82%</w:t>
            </w:r>
          </w:p>
        </w:tc>
      </w:tr>
      <w:tr w14:paraId="1D829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67EB664E">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完成结果</w:t>
            </w:r>
          </w:p>
        </w:tc>
        <w:tc>
          <w:tcPr>
            <w:tcW w:w="2125" w:type="dxa"/>
            <w:vAlign w:val="center"/>
          </w:tcPr>
          <w:p w14:paraId="4CC0B3F9">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color w:val="000000"/>
                <w:sz w:val="32"/>
                <w:szCs w:val="32"/>
                <w:shd w:val="clear" w:color="auto" w:fill="FFFFFF"/>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17.00 </w:t>
            </w:r>
          </w:p>
        </w:tc>
        <w:tc>
          <w:tcPr>
            <w:tcW w:w="2132" w:type="dxa"/>
            <w:vAlign w:val="center"/>
          </w:tcPr>
          <w:p w14:paraId="17C5380B">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17.00 </w:t>
            </w:r>
          </w:p>
        </w:tc>
        <w:tc>
          <w:tcPr>
            <w:tcW w:w="2132" w:type="dxa"/>
            <w:vAlign w:val="center"/>
          </w:tcPr>
          <w:p w14:paraId="0403B6A5">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99.94%</w:t>
            </w:r>
          </w:p>
        </w:tc>
      </w:tr>
      <w:tr w14:paraId="5CD6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602C45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项目效果</w:t>
            </w:r>
          </w:p>
        </w:tc>
        <w:tc>
          <w:tcPr>
            <w:tcW w:w="2125" w:type="dxa"/>
            <w:vAlign w:val="center"/>
          </w:tcPr>
          <w:p w14:paraId="2332D8F5">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color w:val="000000"/>
                <w:sz w:val="32"/>
                <w:szCs w:val="32"/>
                <w:shd w:val="clear" w:color="auto" w:fill="FFFFFF"/>
              </w:rPr>
            </w:pPr>
            <w:r>
              <w:rPr>
                <w:rFonts w:hint="default" w:ascii="Times New Roman" w:hAnsi="Times New Roman" w:eastAsia="方正仿宋简体" w:cs="Times New Roman"/>
                <w:i w:val="0"/>
                <w:iCs w:val="0"/>
                <w:color w:val="000000"/>
                <w:kern w:val="0"/>
                <w:sz w:val="32"/>
                <w:szCs w:val="32"/>
                <w:u w:val="none"/>
                <w:lang w:val="en-US" w:eastAsia="zh-CN" w:bidi="ar"/>
              </w:rPr>
              <w:t xml:space="preserve"> 20.00 </w:t>
            </w:r>
          </w:p>
        </w:tc>
        <w:tc>
          <w:tcPr>
            <w:tcW w:w="2132" w:type="dxa"/>
            <w:vAlign w:val="center"/>
          </w:tcPr>
          <w:p w14:paraId="70B9EDF1">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18.00 </w:t>
            </w:r>
          </w:p>
        </w:tc>
        <w:tc>
          <w:tcPr>
            <w:tcW w:w="2132" w:type="dxa"/>
            <w:vAlign w:val="center"/>
          </w:tcPr>
          <w:p w14:paraId="27EA2692">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90.00%</w:t>
            </w:r>
          </w:p>
        </w:tc>
      </w:tr>
      <w:tr w14:paraId="43B33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370CC5EF">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完成质量</w:t>
            </w:r>
          </w:p>
        </w:tc>
        <w:tc>
          <w:tcPr>
            <w:tcW w:w="2125" w:type="dxa"/>
            <w:vAlign w:val="center"/>
          </w:tcPr>
          <w:p w14:paraId="00122A6F">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10.00 </w:t>
            </w:r>
          </w:p>
        </w:tc>
        <w:tc>
          <w:tcPr>
            <w:tcW w:w="2132" w:type="dxa"/>
            <w:vAlign w:val="center"/>
          </w:tcPr>
          <w:p w14:paraId="53F2982C">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10.00 </w:t>
            </w:r>
          </w:p>
        </w:tc>
        <w:tc>
          <w:tcPr>
            <w:tcW w:w="2132" w:type="dxa"/>
            <w:vAlign w:val="center"/>
          </w:tcPr>
          <w:p w14:paraId="1CC4C480">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100.00%</w:t>
            </w:r>
          </w:p>
        </w:tc>
      </w:tr>
      <w:tr w14:paraId="0B58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2ABE8EE6">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社会效益</w:t>
            </w:r>
          </w:p>
        </w:tc>
        <w:tc>
          <w:tcPr>
            <w:tcW w:w="2125" w:type="dxa"/>
            <w:vAlign w:val="center"/>
          </w:tcPr>
          <w:p w14:paraId="6B7CD376">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color w:val="000000"/>
                <w:sz w:val="32"/>
                <w:szCs w:val="32"/>
                <w:shd w:val="clear" w:color="auto" w:fill="FFFFFF"/>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10.00 </w:t>
            </w:r>
          </w:p>
        </w:tc>
        <w:tc>
          <w:tcPr>
            <w:tcW w:w="2132" w:type="dxa"/>
            <w:vAlign w:val="center"/>
          </w:tcPr>
          <w:p w14:paraId="2EC941C4">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8.00 </w:t>
            </w:r>
          </w:p>
        </w:tc>
        <w:tc>
          <w:tcPr>
            <w:tcW w:w="2132" w:type="dxa"/>
            <w:vAlign w:val="center"/>
          </w:tcPr>
          <w:p w14:paraId="79ECC541">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80.00%</w:t>
            </w:r>
          </w:p>
        </w:tc>
      </w:tr>
      <w:tr w14:paraId="54AD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56671327">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社区满意度</w:t>
            </w:r>
          </w:p>
        </w:tc>
        <w:tc>
          <w:tcPr>
            <w:tcW w:w="2125" w:type="dxa"/>
            <w:vAlign w:val="center"/>
          </w:tcPr>
          <w:p w14:paraId="4B569423">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color w:val="000000"/>
                <w:kern w:val="0"/>
                <w:sz w:val="32"/>
                <w:szCs w:val="32"/>
                <w:lang w:bidi="ar"/>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10.00 </w:t>
            </w:r>
          </w:p>
        </w:tc>
        <w:tc>
          <w:tcPr>
            <w:tcW w:w="2132" w:type="dxa"/>
            <w:vAlign w:val="center"/>
          </w:tcPr>
          <w:p w14:paraId="537DDBCE">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lang w:val="en-US"/>
              </w:rPr>
            </w:pPr>
            <w:r>
              <w:rPr>
                <w:rFonts w:hint="default" w:ascii="Times New Roman" w:hAnsi="Times New Roman" w:eastAsia="方正仿宋简体" w:cs="Times New Roman"/>
                <w:i w:val="0"/>
                <w:iCs w:val="0"/>
                <w:color w:val="000000"/>
                <w:kern w:val="0"/>
                <w:sz w:val="32"/>
                <w:szCs w:val="32"/>
                <w:u w:val="none"/>
                <w:lang w:val="en-US" w:eastAsia="zh-CN" w:bidi="ar"/>
              </w:rPr>
              <w:t>9.80</w:t>
            </w:r>
          </w:p>
        </w:tc>
        <w:tc>
          <w:tcPr>
            <w:tcW w:w="2132" w:type="dxa"/>
            <w:vAlign w:val="center"/>
          </w:tcPr>
          <w:p w14:paraId="1E66468E">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98.00%</w:t>
            </w:r>
          </w:p>
        </w:tc>
      </w:tr>
      <w:tr w14:paraId="20B6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1C005859">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生态效益</w:t>
            </w:r>
          </w:p>
        </w:tc>
        <w:tc>
          <w:tcPr>
            <w:tcW w:w="2125" w:type="dxa"/>
            <w:vAlign w:val="center"/>
          </w:tcPr>
          <w:p w14:paraId="544A16F0">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10.00 </w:t>
            </w:r>
          </w:p>
        </w:tc>
        <w:tc>
          <w:tcPr>
            <w:tcW w:w="2132" w:type="dxa"/>
            <w:vAlign w:val="center"/>
          </w:tcPr>
          <w:p w14:paraId="395ECF67">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8.00 </w:t>
            </w:r>
          </w:p>
        </w:tc>
        <w:tc>
          <w:tcPr>
            <w:tcW w:w="2132" w:type="dxa"/>
            <w:vAlign w:val="center"/>
          </w:tcPr>
          <w:p w14:paraId="05477092">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80.00%</w:t>
            </w:r>
          </w:p>
        </w:tc>
      </w:tr>
      <w:tr w14:paraId="6A68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50" w:type="pct"/>
            <w:vAlign w:val="center"/>
          </w:tcPr>
          <w:p w14:paraId="0E074FC1">
            <w:pPr>
              <w:keepNext w:val="0"/>
              <w:keepLines w:val="0"/>
              <w:pageBreakBefore w:val="0"/>
              <w:kinsoku/>
              <w:wordWrap/>
              <w:overflowPunct/>
              <w:topLinePunct w:val="0"/>
              <w:autoSpaceDE/>
              <w:autoSpaceDN/>
              <w:bidi w:val="0"/>
              <w:spacing w:line="600" w:lineRule="exact"/>
              <w:ind w:left="0" w:leftChars="0"/>
              <w:jc w:val="center"/>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合计</w:t>
            </w:r>
          </w:p>
        </w:tc>
        <w:tc>
          <w:tcPr>
            <w:tcW w:w="2125" w:type="dxa"/>
            <w:vAlign w:val="center"/>
          </w:tcPr>
          <w:p w14:paraId="498B5942">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color w:val="000000"/>
                <w:sz w:val="32"/>
                <w:szCs w:val="32"/>
                <w:shd w:val="clear" w:color="auto" w:fill="FFFFFF"/>
              </w:rPr>
            </w:pPr>
            <w:r>
              <w:rPr>
                <w:rFonts w:hint="default" w:ascii="Times New Roman" w:hAnsi="Times New Roman" w:eastAsia="方正仿宋简体" w:cs="Times New Roman"/>
                <w:i w:val="0"/>
                <w:iCs w:val="0"/>
                <w:color w:val="000000"/>
                <w:kern w:val="0"/>
                <w:sz w:val="32"/>
                <w:szCs w:val="32"/>
                <w:u w:val="none"/>
                <w:lang w:val="en-US" w:eastAsia="zh-CN" w:bidi="ar"/>
              </w:rPr>
              <w:t xml:space="preserve"> 100.00 </w:t>
            </w:r>
          </w:p>
        </w:tc>
        <w:tc>
          <w:tcPr>
            <w:tcW w:w="2132" w:type="dxa"/>
            <w:vAlign w:val="center"/>
          </w:tcPr>
          <w:p w14:paraId="01EC1105">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 xml:space="preserve"> 84.80 </w:t>
            </w:r>
          </w:p>
        </w:tc>
        <w:tc>
          <w:tcPr>
            <w:tcW w:w="2132" w:type="dxa"/>
            <w:vAlign w:val="center"/>
          </w:tcPr>
          <w:p w14:paraId="5855B0B3">
            <w:pPr>
              <w:keepNext w:val="0"/>
              <w:keepLines w:val="0"/>
              <w:pageBreakBefore w:val="0"/>
              <w:widowControl/>
              <w:suppressLineNumbers w:val="0"/>
              <w:kinsoku/>
              <w:wordWrap/>
              <w:overflowPunct/>
              <w:topLinePunct w:val="0"/>
              <w:autoSpaceDE/>
              <w:autoSpaceDN/>
              <w:bidi w:val="0"/>
              <w:spacing w:line="600" w:lineRule="exact"/>
              <w:ind w:left="0" w:leftChars="0"/>
              <w:jc w:val="right"/>
              <w:textAlignment w:val="center"/>
              <w:rPr>
                <w:rFonts w:hint="default" w:ascii="Times New Roman" w:hAnsi="Times New Roman" w:eastAsia="方正仿宋简体" w:cs="Times New Roman"/>
                <w:sz w:val="32"/>
                <w:szCs w:val="32"/>
              </w:rPr>
            </w:pPr>
            <w:r>
              <w:rPr>
                <w:rFonts w:hint="default" w:ascii="Times New Roman" w:hAnsi="Times New Roman" w:eastAsia="方正仿宋简体" w:cs="Times New Roman"/>
                <w:i w:val="0"/>
                <w:iCs w:val="0"/>
                <w:color w:val="000000"/>
                <w:kern w:val="0"/>
                <w:sz w:val="32"/>
                <w:szCs w:val="32"/>
                <w:u w:val="none"/>
                <w:lang w:val="en-US" w:eastAsia="zh-CN" w:bidi="ar"/>
              </w:rPr>
              <w:t>84.80%</w:t>
            </w:r>
          </w:p>
        </w:tc>
      </w:tr>
    </w:tbl>
    <w:p w14:paraId="4D9873D1">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66" w:name="_Toc176352297"/>
      <w:bookmarkStart w:id="67" w:name="_Toc14681"/>
      <w:bookmarkStart w:id="68" w:name="_Toc488092938"/>
      <w:bookmarkStart w:id="69" w:name="_Toc121121045"/>
      <w:bookmarkStart w:id="70" w:name="_Toc13308"/>
      <w:bookmarkStart w:id="71" w:name="_Toc21540"/>
      <w:bookmarkStart w:id="72" w:name="_Toc2038909009"/>
      <w:r>
        <w:rPr>
          <w:rFonts w:hint="eastAsia" w:ascii="方正黑体简体" w:hAnsi="方正黑体简体" w:eastAsia="方正黑体简体" w:cs="方正黑体简体"/>
          <w:color w:val="000000"/>
          <w:kern w:val="0"/>
          <w:sz w:val="32"/>
          <w:szCs w:val="32"/>
          <w:shd w:val="clear" w:color="auto" w:fill="FFFFFF"/>
        </w:rPr>
        <w:t>四、绩效结果应用</w:t>
      </w:r>
      <w:bookmarkEnd w:id="66"/>
      <w:bookmarkEnd w:id="67"/>
    </w:p>
    <w:p w14:paraId="6CA009C4">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综合行政执法局使用政府性基金预算用于保障城市亮化工程正常运行及市政维修维护，经评价组事后评价，该项目实施较好，效益发挥良好，绩效等级为“良”。秉承科学公正、统筹兼顾、激励约束和公开透明财政绩效原则。</w:t>
      </w:r>
      <w:r>
        <w:rPr>
          <w:rFonts w:hint="eastAsia" w:ascii="方正仿宋简体" w:hAnsi="方正仿宋简体" w:eastAsia="方正仿宋简体" w:cs="方正仿宋简体"/>
          <w:sz w:val="32"/>
          <w:szCs w:val="32"/>
          <w:lang w:eastAsia="zh-CN"/>
        </w:rPr>
        <w:t>我单位</w:t>
      </w:r>
      <w:r>
        <w:rPr>
          <w:rFonts w:hint="eastAsia" w:ascii="方正仿宋简体" w:hAnsi="方正仿宋简体" w:eastAsia="方正仿宋简体" w:cs="方正仿宋简体"/>
          <w:sz w:val="32"/>
          <w:szCs w:val="32"/>
        </w:rPr>
        <w:t>建议泸定县财政局针对政府性基金预算项目管理，进一步要求泸定县综合行政执法局完善项目管理制度、指导意见、实施细则，提升项目实施效益。</w:t>
      </w:r>
    </w:p>
    <w:p w14:paraId="52A3932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73" w:name="_Toc176352298"/>
      <w:bookmarkStart w:id="74" w:name="_Toc32086"/>
      <w:r>
        <w:rPr>
          <w:rFonts w:hint="eastAsia" w:ascii="方正黑体简体" w:hAnsi="方正黑体简体" w:eastAsia="方正黑体简体" w:cs="方正黑体简体"/>
          <w:color w:val="000000"/>
          <w:kern w:val="0"/>
          <w:sz w:val="32"/>
          <w:szCs w:val="32"/>
          <w:shd w:val="clear" w:color="auto" w:fill="FFFFFF"/>
        </w:rPr>
        <w:t>五、绩效评价指标分析</w:t>
      </w:r>
      <w:bookmarkEnd w:id="68"/>
      <w:bookmarkEnd w:id="69"/>
      <w:bookmarkEnd w:id="70"/>
      <w:bookmarkEnd w:id="71"/>
      <w:bookmarkEnd w:id="72"/>
      <w:bookmarkEnd w:id="73"/>
      <w:bookmarkEnd w:id="74"/>
    </w:p>
    <w:bookmarkEnd w:id="4"/>
    <w:p w14:paraId="6851D945">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75" w:name="_Toc12635"/>
      <w:bookmarkStart w:id="76" w:name="_Toc1889406865"/>
      <w:bookmarkStart w:id="77" w:name="_Toc31799"/>
      <w:bookmarkStart w:id="78" w:name="_Toc314064335"/>
      <w:bookmarkStart w:id="79" w:name="_Toc10228"/>
      <w:bookmarkStart w:id="80" w:name="_Toc142913852"/>
      <w:bookmarkStart w:id="81" w:name="_Toc176352299"/>
      <w:bookmarkStart w:id="82" w:name="_Toc1228970844"/>
      <w:bookmarkStart w:id="83" w:name="_Toc30800"/>
      <w:bookmarkStart w:id="84" w:name="_Toc1409505349"/>
      <w:bookmarkStart w:id="85" w:name="_Toc1568235950"/>
      <w:r>
        <w:rPr>
          <w:rFonts w:hint="eastAsia" w:ascii="方正楷体简体" w:hAnsi="方正楷体简体" w:eastAsia="方正楷体简体" w:cs="方正楷体简体"/>
          <w:color w:val="000000"/>
          <w:kern w:val="0"/>
          <w:sz w:val="32"/>
          <w:szCs w:val="32"/>
          <w:shd w:val="clear" w:color="auto" w:fill="FFFFFF"/>
        </w:rPr>
        <w:t>（一）项目</w:t>
      </w:r>
      <w:bookmarkEnd w:id="75"/>
      <w:bookmarkEnd w:id="76"/>
      <w:bookmarkEnd w:id="77"/>
      <w:bookmarkEnd w:id="78"/>
      <w:bookmarkStart w:id="86" w:name="_Toc23796"/>
      <w:r>
        <w:rPr>
          <w:rFonts w:hint="eastAsia" w:ascii="方正楷体简体" w:hAnsi="方正楷体简体" w:eastAsia="方正楷体简体" w:cs="方正楷体简体"/>
          <w:color w:val="000000"/>
          <w:kern w:val="0"/>
          <w:sz w:val="32"/>
          <w:szCs w:val="32"/>
          <w:shd w:val="clear" w:color="auto" w:fill="FFFFFF"/>
        </w:rPr>
        <w:t>决策</w:t>
      </w:r>
      <w:bookmarkEnd w:id="79"/>
      <w:bookmarkEnd w:id="80"/>
      <w:bookmarkEnd w:id="81"/>
    </w:p>
    <w:p w14:paraId="2709278D">
      <w:pPr>
        <w:keepNext w:val="0"/>
        <w:keepLines w:val="0"/>
        <w:pageBreakBefore w:val="0"/>
        <w:numPr>
          <w:ilvl w:val="1"/>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指标“项目决策”下设三个三级指标分别为：</w:t>
      </w:r>
      <w:bookmarkEnd w:id="86"/>
      <w:r>
        <w:rPr>
          <w:rFonts w:hint="eastAsia" w:ascii="方正仿宋简体" w:hAnsi="方正仿宋简体" w:eastAsia="方正仿宋简体" w:cs="方正仿宋简体"/>
          <w:sz w:val="32"/>
          <w:szCs w:val="32"/>
        </w:rPr>
        <w:t>立项程序严密性、规划合理性、管理制度完备性。</w:t>
      </w:r>
    </w:p>
    <w:p w14:paraId="253F0CE3">
      <w:pPr>
        <w:pStyle w:val="2"/>
        <w:keepNext w:val="0"/>
        <w:keepLines w:val="0"/>
        <w:pageBreakBefore w:val="0"/>
        <w:kinsoku/>
        <w:wordWrap/>
        <w:overflowPunct/>
        <w:topLinePunct w:val="0"/>
        <w:autoSpaceDE/>
        <w:autoSpaceDN/>
        <w:bidi w:val="0"/>
        <w:spacing w:after="0"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1.立项程序严密性</w:t>
      </w:r>
      <w:bookmarkStart w:id="87" w:name="_Toc18487"/>
    </w:p>
    <w:p w14:paraId="7EDE30EF">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该项目按照《国务院关于加强城市基础设施建设的意见》（国发〔2013〕36号）文件精神与《甘孜藏族自治州人民政府办公室关于印发甘孜州建制镇市政基础设施及公共服务设施配置参考标准的通知》（甘办函〔2014〕227号）指</w:t>
      </w:r>
      <w:r>
        <w:rPr>
          <w:rFonts w:hint="eastAsia" w:ascii="方正仿宋简体" w:hAnsi="方正仿宋简体" w:eastAsia="方正仿宋简体" w:cs="方正仿宋简体"/>
          <w:sz w:val="32"/>
          <w:szCs w:val="32"/>
        </w:rPr>
        <w:t>示组织实施，符合国家、自治州的有关决策部署。泸定县综合行政执法局针对城市基础设施维护费项目进行了事前评估，通过对项目立项必要性、投入经济性、目标科学性、方案可行性、筹资合规性进行了评估，本项目的实施符合项目设立的基本规范和程序要求与部门职责相符。</w:t>
      </w:r>
    </w:p>
    <w:bookmarkEnd w:id="87"/>
    <w:p w14:paraId="2D08442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88" w:name="_Toc4104"/>
      <w:r>
        <w:rPr>
          <w:rFonts w:hint="default" w:ascii="Times New Roman" w:hAnsi="Times New Roman" w:eastAsia="方正仿宋简体" w:cs="Times New Roman"/>
          <w:sz w:val="32"/>
          <w:szCs w:val="32"/>
        </w:rPr>
        <w:t>指标分为3.00分，扣除0.00分，得分为3.00分</w:t>
      </w:r>
      <w:r>
        <w:rPr>
          <w:rFonts w:hint="eastAsia" w:ascii="方正仿宋简体" w:hAnsi="方正仿宋简体" w:eastAsia="方正仿宋简体" w:cs="方正仿宋简体"/>
          <w:sz w:val="32"/>
          <w:szCs w:val="32"/>
        </w:rPr>
        <w:t>。</w:t>
      </w:r>
      <w:bookmarkEnd w:id="88"/>
    </w:p>
    <w:p w14:paraId="312C35DC">
      <w:pPr>
        <w:keepNext w:val="0"/>
        <w:keepLines w:val="0"/>
        <w:pageBreakBefore w:val="0"/>
        <w:kinsoku/>
        <w:wordWrap/>
        <w:overflowPunct/>
        <w:topLinePunct w:val="0"/>
        <w:autoSpaceDE/>
        <w:autoSpaceDN/>
        <w:bidi w:val="0"/>
        <w:spacing w:line="600" w:lineRule="exact"/>
        <w:ind w:left="0" w:leftChars="0" w:firstLine="560"/>
        <w:outlineLvl w:val="2"/>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2</w:t>
      </w:r>
      <w:r>
        <w:rPr>
          <w:rFonts w:hint="eastAsia" w:ascii="方正仿宋简体" w:hAnsi="方正仿宋简体" w:eastAsia="方正仿宋简体" w:cs="方正仿宋简体"/>
          <w:sz w:val="32"/>
          <w:szCs w:val="32"/>
        </w:rPr>
        <w:t>.规划合理性</w:t>
      </w:r>
    </w:p>
    <w:p w14:paraId="081B05A7">
      <w:pPr>
        <w:keepNext w:val="0"/>
        <w:keepLines w:val="0"/>
        <w:pageBreakBefore w:val="0"/>
        <w:kinsoku/>
        <w:wordWrap/>
        <w:overflowPunct/>
        <w:topLinePunct w:val="0"/>
        <w:autoSpaceDE/>
        <w:autoSpaceDN/>
        <w:bidi w:val="0"/>
        <w:spacing w:line="600" w:lineRule="exact"/>
        <w:ind w:left="0" w:leftChars="0" w:firstLine="560"/>
        <w:rPr>
          <w:rFonts w:hint="default" w:ascii="Times New Roman" w:hAnsi="Times New Roman" w:eastAsia="方正仿宋简体" w:cs="Times New Roman"/>
          <w:sz w:val="32"/>
          <w:szCs w:val="32"/>
        </w:rPr>
      </w:pPr>
      <w:r>
        <w:rPr>
          <w:rFonts w:hint="eastAsia" w:ascii="方正仿宋简体" w:hAnsi="方正仿宋简体" w:eastAsia="方正仿宋简体" w:cs="方正仿宋简体"/>
          <w:sz w:val="32"/>
          <w:szCs w:val="32"/>
        </w:rPr>
        <w:t>评价组查阅了泸定县综合行政执法局项目</w:t>
      </w:r>
      <w:r>
        <w:rPr>
          <w:rFonts w:hint="eastAsia" w:ascii="方正仿宋简体" w:hAnsi="方正仿宋简体" w:eastAsia="方正仿宋简体" w:cs="方正仿宋简体"/>
          <w:sz w:val="32"/>
          <w:szCs w:val="32"/>
          <w:lang w:val="en-US" w:eastAsia="zh-CN"/>
        </w:rPr>
        <w:t>事前</w:t>
      </w:r>
      <w:r>
        <w:rPr>
          <w:rFonts w:hint="eastAsia" w:ascii="方正仿宋简体" w:hAnsi="方正仿宋简体" w:eastAsia="方正仿宋简体" w:cs="方正仿宋简体"/>
          <w:sz w:val="32"/>
          <w:szCs w:val="32"/>
        </w:rPr>
        <w:t>绩效评估报告和项目绩效目标申报表，项目实施符合州委、州政府重大决策部署和宏观政策规划，项目实施与现实需求基本匹配</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但经查本项目目标申报表发现，数量指标设置中存在“规范城市面貌的统一性：是”“保证城市亮化工程的正常运行：是”等情况，指标量化严重不足，导致本项目直观数量指标考核无法明确，扣除</w:t>
      </w:r>
      <w:r>
        <w:rPr>
          <w:rFonts w:hint="default" w:ascii="Times New Roman" w:hAnsi="Times New Roman" w:eastAsia="方正仿宋简体" w:cs="Times New Roman"/>
          <w:sz w:val="32"/>
          <w:szCs w:val="32"/>
          <w:lang w:val="en-US" w:eastAsia="zh-CN"/>
        </w:rPr>
        <w:t>5.00分</w:t>
      </w:r>
      <w:r>
        <w:rPr>
          <w:rFonts w:hint="default" w:ascii="Times New Roman" w:hAnsi="Times New Roman" w:eastAsia="方正仿宋简体" w:cs="Times New Roman"/>
          <w:sz w:val="32"/>
          <w:szCs w:val="32"/>
        </w:rPr>
        <w:t>。</w:t>
      </w:r>
    </w:p>
    <w:p w14:paraId="0FB48B26">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指标分为5.00分，扣除</w:t>
      </w:r>
      <w:r>
        <w:rPr>
          <w:rFonts w:hint="default"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rPr>
        <w:t>.00分，得分为</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.00分。</w:t>
      </w:r>
    </w:p>
    <w:p w14:paraId="1C4ADC1E">
      <w:pPr>
        <w:keepNext w:val="0"/>
        <w:keepLines w:val="0"/>
        <w:pageBreakBefore w:val="0"/>
        <w:kinsoku/>
        <w:wordWrap/>
        <w:overflowPunct/>
        <w:topLinePunct w:val="0"/>
        <w:autoSpaceDE/>
        <w:autoSpaceDN/>
        <w:bidi w:val="0"/>
        <w:spacing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3.管理制度完备性</w:t>
      </w:r>
    </w:p>
    <w:p w14:paraId="7EEB1DEC">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泸定县综合行政执法局未制定</w:t>
      </w:r>
      <w:r>
        <w:rPr>
          <w:rFonts w:hint="default" w:ascii="Times New Roman" w:hAnsi="Times New Roman" w:eastAsia="方正仿宋简体" w:cs="Times New Roman"/>
          <w:sz w:val="32"/>
          <w:szCs w:val="32"/>
          <w:lang w:val="en-US" w:eastAsia="zh-CN"/>
        </w:rPr>
        <w:t>与</w:t>
      </w:r>
      <w:r>
        <w:rPr>
          <w:rFonts w:hint="default" w:ascii="Times New Roman" w:hAnsi="Times New Roman" w:eastAsia="方正仿宋简体" w:cs="Times New Roman"/>
          <w:sz w:val="32"/>
          <w:szCs w:val="32"/>
        </w:rPr>
        <w:t>项目</w:t>
      </w:r>
      <w:r>
        <w:rPr>
          <w:rFonts w:hint="default" w:ascii="Times New Roman" w:hAnsi="Times New Roman" w:eastAsia="方正仿宋简体" w:cs="Times New Roman"/>
          <w:sz w:val="32"/>
          <w:szCs w:val="32"/>
          <w:lang w:val="en-US" w:eastAsia="zh-CN"/>
        </w:rPr>
        <w:t>实施</w:t>
      </w:r>
      <w:r>
        <w:rPr>
          <w:rFonts w:hint="default" w:ascii="Times New Roman" w:hAnsi="Times New Roman" w:eastAsia="方正仿宋简体" w:cs="Times New Roman"/>
          <w:sz w:val="32"/>
          <w:szCs w:val="32"/>
        </w:rPr>
        <w:t>相关</w:t>
      </w:r>
      <w:r>
        <w:rPr>
          <w:rFonts w:hint="default" w:ascii="Times New Roman" w:hAnsi="Times New Roman" w:eastAsia="方正仿宋简体" w:cs="Times New Roman"/>
          <w:sz w:val="32"/>
          <w:szCs w:val="32"/>
          <w:lang w:val="en-US" w:eastAsia="zh-CN"/>
        </w:rPr>
        <w:t>的</w:t>
      </w:r>
      <w:r>
        <w:rPr>
          <w:rFonts w:hint="default" w:ascii="Times New Roman" w:hAnsi="Times New Roman" w:eastAsia="方正仿宋简体" w:cs="Times New Roman"/>
          <w:sz w:val="32"/>
          <w:szCs w:val="32"/>
        </w:rPr>
        <w:t>指导意见、管理办法、申报指南、实施细则等管理制度。此项扣</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.00分。</w:t>
      </w:r>
    </w:p>
    <w:p w14:paraId="1CE7DB5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指标分为4.00分，扣除</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.00分，得分为</w:t>
      </w:r>
      <w:r>
        <w:rPr>
          <w:rFonts w:hint="default" w:ascii="Times New Roman" w:hAnsi="Times New Roman" w:eastAsia="方正仿宋简体" w:cs="Times New Roman"/>
          <w:sz w:val="32"/>
          <w:szCs w:val="32"/>
          <w:lang w:val="en-US" w:eastAsia="zh-CN"/>
        </w:rPr>
        <w:t>2</w:t>
      </w:r>
      <w:r>
        <w:rPr>
          <w:rFonts w:hint="default" w:ascii="Times New Roman" w:hAnsi="Times New Roman" w:eastAsia="方正仿宋简体" w:cs="Times New Roman"/>
          <w:sz w:val="32"/>
          <w:szCs w:val="32"/>
        </w:rPr>
        <w:t>.00分</w:t>
      </w:r>
      <w:r>
        <w:rPr>
          <w:rFonts w:hint="eastAsia" w:ascii="方正仿宋简体" w:hAnsi="方正仿宋简体" w:eastAsia="方正仿宋简体" w:cs="方正仿宋简体"/>
          <w:sz w:val="32"/>
          <w:szCs w:val="32"/>
        </w:rPr>
        <w:t>。</w:t>
      </w:r>
    </w:p>
    <w:p w14:paraId="05D5CAE9">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89" w:name="_Toc88957765"/>
      <w:bookmarkStart w:id="90" w:name="_Toc32636"/>
      <w:bookmarkStart w:id="91" w:name="_Toc31125"/>
      <w:bookmarkStart w:id="92" w:name="_Toc1541608668"/>
      <w:bookmarkStart w:id="93" w:name="_Toc32247"/>
      <w:bookmarkStart w:id="94" w:name="_Toc14016"/>
      <w:bookmarkStart w:id="95" w:name="_Toc142913853"/>
      <w:bookmarkStart w:id="96" w:name="_Toc176352300"/>
      <w:bookmarkStart w:id="97" w:name="_Toc31307"/>
      <w:bookmarkStart w:id="98" w:name="_Toc319507675_WPSOffice_Level3"/>
      <w:r>
        <w:rPr>
          <w:rFonts w:hint="eastAsia" w:ascii="方正楷体简体" w:hAnsi="方正楷体简体" w:eastAsia="方正楷体简体" w:cs="方正楷体简体"/>
          <w:color w:val="000000"/>
          <w:kern w:val="0"/>
          <w:sz w:val="32"/>
          <w:szCs w:val="32"/>
          <w:shd w:val="clear" w:color="auto" w:fill="FFFFFF"/>
        </w:rPr>
        <w:t>（二）</w:t>
      </w:r>
      <w:bookmarkEnd w:id="89"/>
      <w:bookmarkEnd w:id="90"/>
      <w:bookmarkEnd w:id="91"/>
      <w:bookmarkEnd w:id="92"/>
      <w:bookmarkEnd w:id="93"/>
      <w:bookmarkEnd w:id="94"/>
      <w:r>
        <w:rPr>
          <w:rFonts w:hint="eastAsia" w:ascii="方正楷体简体" w:hAnsi="方正楷体简体" w:eastAsia="方正楷体简体" w:cs="方正楷体简体"/>
          <w:color w:val="000000"/>
          <w:kern w:val="0"/>
          <w:sz w:val="32"/>
          <w:szCs w:val="32"/>
          <w:shd w:val="clear" w:color="auto" w:fill="FFFFFF"/>
        </w:rPr>
        <w:t>项目实施</w:t>
      </w:r>
      <w:bookmarkEnd w:id="95"/>
      <w:bookmarkEnd w:id="96"/>
      <w:bookmarkEnd w:id="97"/>
    </w:p>
    <w:p w14:paraId="75D5F241">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99" w:name="_Toc4448"/>
      <w:r>
        <w:rPr>
          <w:rFonts w:hint="eastAsia" w:ascii="方正仿宋简体" w:hAnsi="方正仿宋简体" w:eastAsia="方正仿宋简体" w:cs="方正仿宋简体"/>
          <w:sz w:val="32"/>
          <w:szCs w:val="32"/>
        </w:rPr>
        <w:t>指标“项目实施”下设三个三级指标分别为：资金分配合理性、资金使用合规性、项目执行有效性。</w:t>
      </w:r>
      <w:bookmarkEnd w:id="99"/>
    </w:p>
    <w:p w14:paraId="2BBBAEDC">
      <w:pPr>
        <w:pStyle w:val="2"/>
        <w:keepNext w:val="0"/>
        <w:keepLines w:val="0"/>
        <w:pageBreakBefore w:val="0"/>
        <w:kinsoku/>
        <w:wordWrap/>
        <w:overflowPunct/>
        <w:topLinePunct w:val="0"/>
        <w:autoSpaceDE/>
        <w:autoSpaceDN/>
        <w:bidi w:val="0"/>
        <w:spacing w:after="0"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1.资金分配合理性</w:t>
      </w:r>
    </w:p>
    <w:p w14:paraId="5A300284">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城市基础设施维护费项目年初申请政府性基金预算资金160.00万元，实际分配资金160.00万元，预算资金全部及时到位，分配与计划基本保持一致</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但根据项目目标申报表显示：城市基础设施建设、维护基本成本70%，城市亮化工程运行成本30%，泸定县综合行政执法局未针对该成本数据进行统筹考核，扣除1.50分</w:t>
      </w:r>
      <w:r>
        <w:rPr>
          <w:rFonts w:hint="default" w:ascii="Times New Roman" w:hAnsi="Times New Roman" w:eastAsia="方正仿宋简体" w:cs="Times New Roman"/>
          <w:sz w:val="32"/>
          <w:szCs w:val="32"/>
        </w:rPr>
        <w:t>。</w:t>
      </w:r>
    </w:p>
    <w:p w14:paraId="7EDD5E90">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指标分为5.00分，扣除</w:t>
      </w:r>
      <w:r>
        <w:rPr>
          <w:rFonts w:hint="default"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rPr>
        <w:t>0分，得分为</w:t>
      </w:r>
      <w:r>
        <w:rPr>
          <w:rFonts w:hint="default" w:ascii="Times New Roman" w:hAnsi="Times New Roman" w:eastAsia="方正仿宋简体" w:cs="Times New Roman"/>
          <w:sz w:val="32"/>
          <w:szCs w:val="32"/>
          <w:lang w:val="en-US" w:eastAsia="zh-CN"/>
        </w:rPr>
        <w:t>3</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val="en-US" w:eastAsia="zh-CN"/>
        </w:rPr>
        <w:t>5</w:t>
      </w:r>
      <w:r>
        <w:rPr>
          <w:rFonts w:hint="default" w:ascii="Times New Roman" w:hAnsi="Times New Roman" w:eastAsia="方正仿宋简体" w:cs="Times New Roman"/>
          <w:sz w:val="32"/>
          <w:szCs w:val="32"/>
        </w:rPr>
        <w:t>0分</w:t>
      </w:r>
      <w:r>
        <w:rPr>
          <w:rFonts w:hint="eastAsia" w:ascii="方正仿宋简体" w:hAnsi="方正仿宋简体" w:eastAsia="方正仿宋简体" w:cs="方正仿宋简体"/>
          <w:sz w:val="32"/>
          <w:szCs w:val="32"/>
        </w:rPr>
        <w:t>。</w:t>
      </w:r>
    </w:p>
    <w:p w14:paraId="0D81A7A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2.资金使用合规性</w:t>
      </w:r>
    </w:p>
    <w:p w14:paraId="4208CC4A">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泸定县综合行政执法局对项目资金的使用符合国家财经法规和财务管理制度及有关专项资金管理办法规定；资金拨付有完整的审批程序和手续；符合项目预算批复或合同规定用途；不存在截留、挤占、挪用、虚列支出等情况。</w:t>
      </w:r>
    </w:p>
    <w:p w14:paraId="669215F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指标分为4.00分，扣除0.00分，得分为4.00分。</w:t>
      </w:r>
    </w:p>
    <w:p w14:paraId="0D6076F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3.项目执行有效性</w:t>
      </w:r>
    </w:p>
    <w:p w14:paraId="48C0FFAE">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default" w:ascii="Times New Roman" w:hAnsi="Times New Roman" w:eastAsia="方正仿宋简体" w:cs="Times New Roman"/>
          <w:sz w:val="32"/>
          <w:szCs w:val="32"/>
        </w:rPr>
      </w:pPr>
      <w:bookmarkStart w:id="100" w:name="_Toc1369"/>
      <w:r>
        <w:rPr>
          <w:rFonts w:hint="default" w:ascii="Times New Roman" w:hAnsi="Times New Roman" w:eastAsia="方正仿宋简体" w:cs="Times New Roman"/>
          <w:sz w:val="32"/>
          <w:szCs w:val="32"/>
        </w:rPr>
        <w:t>该项目的实施符合相关法律法规，未发生项目调整，但存在部分项目合同、验收报告等资料</w:t>
      </w:r>
      <w:r>
        <w:rPr>
          <w:rFonts w:hint="default" w:ascii="Times New Roman" w:hAnsi="Times New Roman" w:eastAsia="方正仿宋简体" w:cs="Times New Roman"/>
          <w:sz w:val="32"/>
          <w:szCs w:val="32"/>
          <w:lang w:val="en-US" w:eastAsia="zh-CN"/>
        </w:rPr>
        <w:t>不完整</w:t>
      </w:r>
      <w:r>
        <w:rPr>
          <w:rFonts w:hint="default" w:ascii="Times New Roman" w:hAnsi="Times New Roman" w:eastAsia="方正仿宋简体" w:cs="Times New Roman"/>
          <w:sz w:val="32"/>
          <w:szCs w:val="32"/>
        </w:rPr>
        <w:t>并</w:t>
      </w:r>
      <w:r>
        <w:rPr>
          <w:rFonts w:hint="default" w:ascii="Times New Roman" w:hAnsi="Times New Roman" w:eastAsia="方正仿宋简体" w:cs="Times New Roman"/>
          <w:sz w:val="32"/>
          <w:szCs w:val="32"/>
          <w:lang w:val="en-US" w:eastAsia="zh-CN"/>
        </w:rPr>
        <w:t>未</w:t>
      </w:r>
      <w:r>
        <w:rPr>
          <w:rFonts w:hint="default" w:ascii="Times New Roman" w:hAnsi="Times New Roman" w:eastAsia="方正仿宋简体" w:cs="Times New Roman"/>
          <w:sz w:val="32"/>
          <w:szCs w:val="32"/>
        </w:rPr>
        <w:t>及时归档的情况</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扣除0.50分</w:t>
      </w:r>
      <w:r>
        <w:rPr>
          <w:rFonts w:hint="default" w:ascii="Times New Roman" w:hAnsi="Times New Roman" w:eastAsia="方正仿宋简体" w:cs="Times New Roman"/>
          <w:sz w:val="32"/>
          <w:szCs w:val="32"/>
        </w:rPr>
        <w:t>。</w:t>
      </w:r>
    </w:p>
    <w:p w14:paraId="2F1D8C28">
      <w:pPr>
        <w:pStyle w:val="2"/>
        <w:keepNext w:val="0"/>
        <w:keepLines w:val="0"/>
        <w:pageBreakBefore w:val="0"/>
        <w:widowControl w:val="0"/>
        <w:kinsoku/>
        <w:wordWrap/>
        <w:overflowPunct/>
        <w:topLinePunct w:val="0"/>
        <w:autoSpaceDE/>
        <w:autoSpaceDN/>
        <w:bidi w:val="0"/>
        <w:adjustRightInd/>
        <w:snapToGrid/>
        <w:spacing w:after="0" w:line="600" w:lineRule="exact"/>
        <w:ind w:left="0" w:leftChars="0" w:firstLine="640" w:firstLineChars="200"/>
        <w:textAlignment w:val="auto"/>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指标分为2.00分，扣除0.50分，得分为1.50分。</w:t>
      </w:r>
      <w:bookmarkEnd w:id="100"/>
    </w:p>
    <w:p w14:paraId="1B969B1F">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01" w:name="_Toc1142577582"/>
      <w:bookmarkStart w:id="102" w:name="_Toc2043726100"/>
      <w:bookmarkStart w:id="103" w:name="_Toc16444"/>
      <w:bookmarkStart w:id="104" w:name="_Toc32069"/>
      <w:bookmarkStart w:id="105" w:name="_Toc142913854"/>
      <w:bookmarkStart w:id="106" w:name="_Toc176352301"/>
      <w:bookmarkStart w:id="107" w:name="_Toc10978"/>
      <w:r>
        <w:rPr>
          <w:rFonts w:hint="eastAsia" w:ascii="方正楷体简体" w:hAnsi="方正楷体简体" w:eastAsia="方正楷体简体" w:cs="方正楷体简体"/>
          <w:color w:val="000000"/>
          <w:kern w:val="0"/>
          <w:sz w:val="32"/>
          <w:szCs w:val="32"/>
          <w:shd w:val="clear" w:color="auto" w:fill="FFFFFF"/>
        </w:rPr>
        <w:t>（三）</w:t>
      </w:r>
      <w:bookmarkEnd w:id="101"/>
      <w:bookmarkEnd w:id="102"/>
      <w:bookmarkEnd w:id="103"/>
      <w:bookmarkEnd w:id="104"/>
      <w:r>
        <w:rPr>
          <w:rFonts w:hint="eastAsia" w:ascii="方正楷体简体" w:hAnsi="方正楷体简体" w:eastAsia="方正楷体简体" w:cs="方正楷体简体"/>
          <w:color w:val="000000"/>
          <w:kern w:val="0"/>
          <w:sz w:val="32"/>
          <w:szCs w:val="32"/>
          <w:shd w:val="clear" w:color="auto" w:fill="FFFFFF"/>
        </w:rPr>
        <w:t>完成结果</w:t>
      </w:r>
      <w:bookmarkEnd w:id="105"/>
      <w:bookmarkEnd w:id="106"/>
      <w:bookmarkEnd w:id="107"/>
    </w:p>
    <w:p w14:paraId="7BC9BDC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108" w:name="_Toc1661"/>
      <w:r>
        <w:rPr>
          <w:rFonts w:hint="eastAsia" w:ascii="方正仿宋简体" w:hAnsi="方正仿宋简体" w:eastAsia="方正仿宋简体" w:cs="方正仿宋简体"/>
          <w:sz w:val="32"/>
          <w:szCs w:val="32"/>
        </w:rPr>
        <w:t>指标“完成结果”下设四个三级指标分别为：预算完成率、目标完成率、</w:t>
      </w:r>
      <w:bookmarkStart w:id="109" w:name="_Hlk142494591"/>
      <w:r>
        <w:rPr>
          <w:rFonts w:hint="eastAsia" w:ascii="方正仿宋简体" w:hAnsi="方正仿宋简体" w:eastAsia="方正仿宋简体" w:cs="方正仿宋简体"/>
          <w:sz w:val="32"/>
          <w:szCs w:val="32"/>
        </w:rPr>
        <w:t>完成</w:t>
      </w:r>
      <w:bookmarkEnd w:id="109"/>
      <w:r>
        <w:rPr>
          <w:rFonts w:hint="eastAsia" w:ascii="方正仿宋简体" w:hAnsi="方正仿宋简体" w:eastAsia="方正仿宋简体" w:cs="方正仿宋简体"/>
          <w:sz w:val="32"/>
          <w:szCs w:val="32"/>
        </w:rPr>
        <w:t>及时率、违规记录。</w:t>
      </w:r>
      <w:bookmarkEnd w:id="108"/>
    </w:p>
    <w:p w14:paraId="0581E950">
      <w:pPr>
        <w:keepNext w:val="0"/>
        <w:keepLines w:val="0"/>
        <w:pageBreakBefore w:val="0"/>
        <w:kinsoku/>
        <w:wordWrap/>
        <w:overflowPunct/>
        <w:topLinePunct w:val="0"/>
        <w:autoSpaceDE/>
        <w:autoSpaceDN/>
        <w:bidi w:val="0"/>
        <w:spacing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1.预算完成率</w:t>
      </w:r>
    </w:p>
    <w:p w14:paraId="63E0651F">
      <w:pPr>
        <w:keepNext w:val="0"/>
        <w:keepLines w:val="0"/>
        <w:pageBreakBefore w:val="0"/>
        <w:kinsoku/>
        <w:wordWrap/>
        <w:overflowPunct/>
        <w:topLinePunct w:val="0"/>
        <w:autoSpaceDE/>
        <w:autoSpaceDN/>
        <w:bidi w:val="0"/>
        <w:spacing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本项目预算160.00万元，</w:t>
      </w:r>
      <w:r>
        <w:rPr>
          <w:rFonts w:hint="default" w:ascii="Times New Roman" w:hAnsi="Times New Roman" w:eastAsia="方正仿宋简体" w:cs="Times New Roman"/>
          <w:sz w:val="32"/>
          <w:szCs w:val="32"/>
          <w:lang w:val="en-US" w:eastAsia="zh-CN"/>
        </w:rPr>
        <w:t>实际到位160.00万元，</w:t>
      </w:r>
      <w:r>
        <w:rPr>
          <w:rFonts w:hint="default" w:ascii="Times New Roman" w:hAnsi="Times New Roman" w:eastAsia="方正仿宋简体" w:cs="Times New Roman"/>
          <w:sz w:val="32"/>
          <w:szCs w:val="32"/>
        </w:rPr>
        <w:t>实际执行159.57万元，执行率99.73%，</w:t>
      </w:r>
      <w:r>
        <w:rPr>
          <w:rFonts w:hint="default" w:ascii="Times New Roman" w:hAnsi="Times New Roman" w:eastAsia="方正仿宋简体" w:cs="Times New Roman"/>
          <w:sz w:val="32"/>
          <w:szCs w:val="32"/>
          <w:lang w:val="en-US" w:eastAsia="zh-CN"/>
        </w:rPr>
        <w:t>因</w:t>
      </w:r>
      <w:r>
        <w:rPr>
          <w:rFonts w:hint="default" w:ascii="Times New Roman" w:hAnsi="Times New Roman" w:eastAsia="方正仿宋简体" w:cs="Times New Roman"/>
          <w:sz w:val="32"/>
          <w:szCs w:val="32"/>
        </w:rPr>
        <w:t>剩余未付金额已被财政收回</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实际预算完成率按100.00%计算</w:t>
      </w:r>
      <w:r>
        <w:rPr>
          <w:rFonts w:hint="default" w:ascii="Times New Roman" w:hAnsi="Times New Roman" w:eastAsia="方正仿宋简体" w:cs="Times New Roman"/>
          <w:sz w:val="32"/>
          <w:szCs w:val="32"/>
        </w:rPr>
        <w:t>。</w:t>
      </w:r>
    </w:p>
    <w:p w14:paraId="329445E8">
      <w:pPr>
        <w:keepNext w:val="0"/>
        <w:keepLines w:val="0"/>
        <w:pageBreakBefore w:val="0"/>
        <w:kinsoku/>
        <w:wordWrap/>
        <w:overflowPunct/>
        <w:topLinePunct w:val="0"/>
        <w:autoSpaceDE/>
        <w:autoSpaceDN/>
        <w:bidi w:val="0"/>
        <w:spacing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指标分为5.00分，扣除0.0</w:t>
      </w:r>
      <w:r>
        <w:rPr>
          <w:rFonts w:hint="default" w:ascii="Times New Roman" w:hAnsi="Times New Roman" w:eastAsia="方正仿宋简体" w:cs="Times New Roman"/>
          <w:sz w:val="32"/>
          <w:szCs w:val="32"/>
          <w:lang w:val="en-US" w:eastAsia="zh-CN"/>
        </w:rPr>
        <w:t>0</w:t>
      </w:r>
      <w:r>
        <w:rPr>
          <w:rFonts w:hint="default" w:ascii="Times New Roman" w:hAnsi="Times New Roman" w:eastAsia="方正仿宋简体" w:cs="Times New Roman"/>
          <w:sz w:val="32"/>
          <w:szCs w:val="32"/>
        </w:rPr>
        <w:t>分，得分为</w:t>
      </w:r>
      <w:r>
        <w:rPr>
          <w:rFonts w:hint="default" w:ascii="Times New Roman" w:hAnsi="Times New Roman" w:eastAsia="方正仿宋简体" w:cs="Times New Roman"/>
          <w:sz w:val="32"/>
          <w:szCs w:val="32"/>
          <w:lang w:val="en-US" w:eastAsia="zh-CN"/>
        </w:rPr>
        <w:t>5.00</w:t>
      </w:r>
      <w:r>
        <w:rPr>
          <w:rFonts w:hint="default" w:ascii="Times New Roman" w:hAnsi="Times New Roman" w:eastAsia="方正仿宋简体" w:cs="Times New Roman"/>
          <w:sz w:val="32"/>
          <w:szCs w:val="32"/>
        </w:rPr>
        <w:t>分。</w:t>
      </w:r>
    </w:p>
    <w:p w14:paraId="7D4AA17B">
      <w:pPr>
        <w:keepNext w:val="0"/>
        <w:keepLines w:val="0"/>
        <w:pageBreakBefore w:val="0"/>
        <w:kinsoku/>
        <w:wordWrap/>
        <w:overflowPunct/>
        <w:topLinePunct w:val="0"/>
        <w:autoSpaceDE/>
        <w:autoSpaceDN/>
        <w:bidi w:val="0"/>
        <w:spacing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2.目标完成率</w:t>
      </w:r>
    </w:p>
    <w:p w14:paraId="3321E179">
      <w:pPr>
        <w:keepNext w:val="0"/>
        <w:keepLines w:val="0"/>
        <w:pageBreakBefore w:val="0"/>
        <w:kinsoku/>
        <w:wordWrap/>
        <w:overflowPunct/>
        <w:topLinePunct w:val="0"/>
        <w:autoSpaceDE/>
        <w:autoSpaceDN/>
        <w:bidi w:val="0"/>
        <w:spacing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根据项目年初目标设定的新增、升级、改造城市配套基本生活设施、规范城市面貌的统一、城市亮化工程等指标均已完成。</w:t>
      </w:r>
    </w:p>
    <w:p w14:paraId="35D3A71D">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指标分为5.00分，扣除0.00分，得分为5.00分。</w:t>
      </w:r>
    </w:p>
    <w:p w14:paraId="13BEDA4E">
      <w:pPr>
        <w:keepNext w:val="0"/>
        <w:keepLines w:val="0"/>
        <w:pageBreakBefore w:val="0"/>
        <w:kinsoku/>
        <w:wordWrap/>
        <w:overflowPunct/>
        <w:topLinePunct w:val="0"/>
        <w:autoSpaceDE/>
        <w:autoSpaceDN/>
        <w:bidi w:val="0"/>
        <w:spacing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3.完成及时率</w:t>
      </w:r>
    </w:p>
    <w:p w14:paraId="1BC9A2DA">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该项目在2023年实施过程中，县城亮化工程得到了保障，城市基础设施得到了及时维护。</w:t>
      </w:r>
    </w:p>
    <w:p w14:paraId="217947BC">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指标分为5.00分，扣除0.00分，得分为5.00分。</w:t>
      </w:r>
    </w:p>
    <w:p w14:paraId="44C1B629">
      <w:pPr>
        <w:keepNext w:val="0"/>
        <w:keepLines w:val="0"/>
        <w:pageBreakBefore w:val="0"/>
        <w:kinsoku/>
        <w:wordWrap/>
        <w:overflowPunct/>
        <w:topLinePunct w:val="0"/>
        <w:autoSpaceDE/>
        <w:autoSpaceDN/>
        <w:bidi w:val="0"/>
        <w:spacing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4.违规记录</w:t>
      </w:r>
    </w:p>
    <w:p w14:paraId="56762BF1">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根据项目实施资料及财政监督、审计监督过程中的相关报告，泸定县综合行政执法局在计划、实施、验收项目过程中，未出现违背财经法规、国家相关法律法规的情况。</w:t>
      </w:r>
    </w:p>
    <w:p w14:paraId="0E80AFB8">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指标分为2.00分，扣除0.00分，得分为2.00分</w:t>
      </w:r>
      <w:r>
        <w:rPr>
          <w:rFonts w:hint="eastAsia" w:ascii="方正仿宋简体" w:hAnsi="方正仿宋简体" w:eastAsia="方正仿宋简体" w:cs="方正仿宋简体"/>
          <w:sz w:val="32"/>
          <w:szCs w:val="32"/>
        </w:rPr>
        <w:t>。</w:t>
      </w:r>
    </w:p>
    <w:p w14:paraId="79E1E049">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10" w:name="_Toc1234034413"/>
      <w:bookmarkStart w:id="111" w:name="_Toc1057408103"/>
      <w:bookmarkStart w:id="112" w:name="_Toc176352302"/>
      <w:bookmarkStart w:id="113" w:name="_Toc142913855"/>
      <w:bookmarkStart w:id="114" w:name="_Toc1981"/>
      <w:r>
        <w:rPr>
          <w:rFonts w:hint="eastAsia" w:ascii="方正楷体简体" w:hAnsi="方正楷体简体" w:eastAsia="方正楷体简体" w:cs="方正楷体简体"/>
          <w:color w:val="000000"/>
          <w:kern w:val="0"/>
          <w:sz w:val="32"/>
          <w:szCs w:val="32"/>
          <w:shd w:val="clear" w:color="auto" w:fill="FFFFFF"/>
        </w:rPr>
        <w:t>（四）</w:t>
      </w:r>
      <w:bookmarkEnd w:id="110"/>
      <w:bookmarkEnd w:id="111"/>
      <w:r>
        <w:rPr>
          <w:rFonts w:hint="eastAsia" w:ascii="方正楷体简体" w:hAnsi="方正楷体简体" w:eastAsia="方正楷体简体" w:cs="方正楷体简体"/>
          <w:color w:val="000000"/>
          <w:kern w:val="0"/>
          <w:sz w:val="32"/>
          <w:szCs w:val="32"/>
          <w:shd w:val="clear" w:color="auto" w:fill="FFFFFF"/>
        </w:rPr>
        <w:t>项目效果</w:t>
      </w:r>
      <w:bookmarkEnd w:id="112"/>
      <w:bookmarkEnd w:id="113"/>
      <w:bookmarkEnd w:id="114"/>
    </w:p>
    <w:p w14:paraId="6966446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bookmarkStart w:id="115" w:name="_Toc16730"/>
      <w:r>
        <w:rPr>
          <w:rFonts w:hint="eastAsia" w:ascii="方正仿宋简体" w:hAnsi="方正仿宋简体" w:eastAsia="方正仿宋简体" w:cs="方正仿宋简体"/>
          <w:sz w:val="32"/>
          <w:szCs w:val="32"/>
        </w:rPr>
        <w:t>指标“项目效果”下设两个二级指标分别为：</w:t>
      </w:r>
      <w:bookmarkEnd w:id="115"/>
      <w:r>
        <w:rPr>
          <w:rFonts w:hint="eastAsia" w:ascii="方正仿宋简体" w:hAnsi="方正仿宋简体" w:eastAsia="方正仿宋简体" w:cs="方正仿宋简体"/>
          <w:sz w:val="32"/>
          <w:szCs w:val="32"/>
        </w:rPr>
        <w:t>功能性、配套性。</w:t>
      </w:r>
    </w:p>
    <w:p w14:paraId="135C302B">
      <w:pPr>
        <w:pStyle w:val="2"/>
        <w:keepNext w:val="0"/>
        <w:keepLines w:val="0"/>
        <w:pageBreakBefore w:val="0"/>
        <w:kinsoku/>
        <w:wordWrap/>
        <w:overflowPunct/>
        <w:topLinePunct w:val="0"/>
        <w:autoSpaceDE/>
        <w:autoSpaceDN/>
        <w:bidi w:val="0"/>
        <w:spacing w:after="0"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1.功能性</w:t>
      </w:r>
    </w:p>
    <w:p w14:paraId="52B08CEE">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经现场评价查阅资料和实地走访，该项目实施可以较好的</w:t>
      </w:r>
      <w:r>
        <w:rPr>
          <w:rFonts w:hint="default" w:ascii="Times New Roman" w:hAnsi="Times New Roman" w:eastAsia="方正仿宋简体" w:cs="Times New Roman"/>
          <w:sz w:val="32"/>
          <w:szCs w:val="32"/>
          <w:lang w:val="en-US" w:eastAsia="zh-CN"/>
        </w:rPr>
        <w:t>满足城市基础设施，运行正常</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但县城部分区域基础设施比较陈旧，老化的管线、道路和桥梁设施增加了维护难度和成本等，功能性补充上仍有不足，扣除2.00分</w:t>
      </w:r>
      <w:r>
        <w:rPr>
          <w:rFonts w:hint="default" w:ascii="Times New Roman" w:hAnsi="Times New Roman" w:eastAsia="方正仿宋简体" w:cs="Times New Roman"/>
          <w:sz w:val="32"/>
          <w:szCs w:val="32"/>
        </w:rPr>
        <w:t>。</w:t>
      </w:r>
    </w:p>
    <w:p w14:paraId="5A1B5FD9">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指标分为10.00分，扣除2.00分，得分为8.00分。</w:t>
      </w:r>
    </w:p>
    <w:p w14:paraId="6738FC6B">
      <w:pPr>
        <w:pStyle w:val="2"/>
        <w:keepNext w:val="0"/>
        <w:keepLines w:val="0"/>
        <w:pageBreakBefore w:val="0"/>
        <w:kinsoku/>
        <w:wordWrap/>
        <w:overflowPunct/>
        <w:topLinePunct w:val="0"/>
        <w:autoSpaceDE/>
        <w:autoSpaceDN/>
        <w:bidi w:val="0"/>
        <w:spacing w:after="0" w:line="600" w:lineRule="exact"/>
        <w:ind w:left="0" w:leftChars="0" w:firstLine="560"/>
        <w:outlineLvl w:val="2"/>
        <w:rPr>
          <w:rFonts w:hint="default" w:ascii="Times New Roman" w:hAnsi="Times New Roman" w:eastAsia="方正仿宋简体" w:cs="Times New Roman"/>
          <w:sz w:val="32"/>
          <w:szCs w:val="32"/>
        </w:rPr>
      </w:pPr>
      <w:r>
        <w:rPr>
          <w:rFonts w:hint="default" w:ascii="Times New Roman" w:hAnsi="Times New Roman" w:eastAsia="方正仿宋简体" w:cs="Times New Roman"/>
          <w:sz w:val="32"/>
          <w:szCs w:val="32"/>
        </w:rPr>
        <w:t>2.配套性</w:t>
      </w:r>
    </w:p>
    <w:p w14:paraId="103886FD">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该项目实施在空间分布、功能配套整合、土地利用等方面，未发现存在明显有违常理、不合理的情况。</w:t>
      </w:r>
    </w:p>
    <w:p w14:paraId="639F63E3">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lang w:val="en-US" w:eastAsia="zh-CN"/>
        </w:rPr>
        <w:t>1</w:t>
      </w:r>
      <w:r>
        <w:rPr>
          <w:rFonts w:hint="default" w:ascii="Times New Roman" w:hAnsi="Times New Roman" w:eastAsia="方正仿宋简体" w:cs="Times New Roman"/>
          <w:sz w:val="32"/>
          <w:szCs w:val="32"/>
        </w:rPr>
        <w:t>0.00分，扣除0.00分，得分为10.00分</w:t>
      </w:r>
      <w:r>
        <w:rPr>
          <w:rFonts w:hint="eastAsia" w:ascii="方正仿宋简体" w:hAnsi="方正仿宋简体" w:eastAsia="方正仿宋简体" w:cs="方正仿宋简体"/>
          <w:sz w:val="32"/>
          <w:szCs w:val="32"/>
        </w:rPr>
        <w:t>。</w:t>
      </w:r>
    </w:p>
    <w:bookmarkEnd w:id="98"/>
    <w:p w14:paraId="4DE93D93">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16" w:name="_Toc2072298162"/>
      <w:bookmarkStart w:id="117" w:name="_Toc1710821527"/>
      <w:bookmarkStart w:id="118" w:name="_Toc142913856"/>
      <w:bookmarkStart w:id="119" w:name="_Toc13562"/>
      <w:bookmarkStart w:id="120" w:name="_Toc176352303"/>
      <w:r>
        <w:rPr>
          <w:rFonts w:hint="eastAsia" w:ascii="方正楷体简体" w:hAnsi="方正楷体简体" w:eastAsia="方正楷体简体" w:cs="方正楷体简体"/>
          <w:color w:val="000000"/>
          <w:kern w:val="0"/>
          <w:sz w:val="32"/>
          <w:szCs w:val="32"/>
          <w:shd w:val="clear" w:color="auto" w:fill="FFFFFF"/>
        </w:rPr>
        <w:t>（五）</w:t>
      </w:r>
      <w:bookmarkEnd w:id="116"/>
      <w:bookmarkEnd w:id="117"/>
      <w:bookmarkEnd w:id="118"/>
      <w:r>
        <w:rPr>
          <w:rFonts w:hint="eastAsia" w:ascii="方正楷体简体" w:hAnsi="方正楷体简体" w:eastAsia="方正楷体简体" w:cs="方正楷体简体"/>
          <w:color w:val="000000"/>
          <w:kern w:val="0"/>
          <w:sz w:val="32"/>
          <w:szCs w:val="32"/>
          <w:shd w:val="clear" w:color="auto" w:fill="FFFFFF"/>
        </w:rPr>
        <w:t>完成质量</w:t>
      </w:r>
      <w:bookmarkEnd w:id="119"/>
      <w:bookmarkEnd w:id="120"/>
    </w:p>
    <w:p w14:paraId="07EC1B7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指标“基础管理”下设一个二级指标：质量达标。</w:t>
      </w:r>
    </w:p>
    <w:p w14:paraId="07E6E074">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评价组通过</w:t>
      </w:r>
      <w:r>
        <w:rPr>
          <w:rFonts w:hint="eastAsia" w:ascii="方正仿宋简体" w:hAnsi="方正仿宋简体" w:eastAsia="方正仿宋简体" w:cs="方正仿宋简体"/>
          <w:sz w:val="32"/>
          <w:szCs w:val="32"/>
          <w:lang w:val="en-US" w:eastAsia="zh-CN"/>
        </w:rPr>
        <w:t>对</w:t>
      </w:r>
      <w:r>
        <w:rPr>
          <w:rFonts w:hint="eastAsia" w:ascii="方正仿宋简体" w:hAnsi="方正仿宋简体" w:eastAsia="方正仿宋简体" w:cs="方正仿宋简体"/>
          <w:sz w:val="32"/>
          <w:szCs w:val="32"/>
        </w:rPr>
        <w:t>该项目具体实施及验收情况</w:t>
      </w:r>
      <w:r>
        <w:rPr>
          <w:rFonts w:hint="eastAsia" w:ascii="方正仿宋简体" w:hAnsi="方正仿宋简体" w:eastAsia="方正仿宋简体" w:cs="方正仿宋简体"/>
          <w:sz w:val="32"/>
          <w:szCs w:val="32"/>
          <w:lang w:val="en-US" w:eastAsia="zh-CN"/>
        </w:rPr>
        <w:t>进行了解</w:t>
      </w:r>
      <w:r>
        <w:rPr>
          <w:rFonts w:hint="eastAsia" w:ascii="方正仿宋简体" w:hAnsi="方正仿宋简体" w:eastAsia="方正仿宋简体" w:cs="方正仿宋简体"/>
          <w:sz w:val="32"/>
          <w:szCs w:val="32"/>
        </w:rPr>
        <w:t>，</w:t>
      </w:r>
      <w:r>
        <w:rPr>
          <w:rFonts w:hint="eastAsia" w:ascii="方正仿宋简体" w:hAnsi="方正仿宋简体" w:eastAsia="方正仿宋简体" w:cs="方正仿宋简体"/>
          <w:sz w:val="32"/>
          <w:szCs w:val="32"/>
          <w:lang w:val="en-US" w:eastAsia="zh-CN"/>
        </w:rPr>
        <w:t>项目</w:t>
      </w:r>
      <w:r>
        <w:rPr>
          <w:rFonts w:hint="eastAsia" w:ascii="方正仿宋简体" w:hAnsi="方正仿宋简体" w:eastAsia="方正仿宋简体" w:cs="方正仿宋简体"/>
          <w:sz w:val="32"/>
          <w:szCs w:val="32"/>
        </w:rPr>
        <w:t>城市亮化工程得到了较好的执行，县城基础设施也得到</w:t>
      </w:r>
      <w:r>
        <w:rPr>
          <w:rFonts w:hint="eastAsia" w:ascii="方正仿宋简体" w:hAnsi="方正仿宋简体" w:eastAsia="方正仿宋简体" w:cs="方正仿宋简体"/>
          <w:sz w:val="32"/>
          <w:szCs w:val="32"/>
          <w:lang w:eastAsia="zh-CN"/>
        </w:rPr>
        <w:t>了</w:t>
      </w:r>
      <w:r>
        <w:rPr>
          <w:rFonts w:hint="eastAsia" w:ascii="方正仿宋简体" w:hAnsi="方正仿宋简体" w:eastAsia="方正仿宋简体" w:cs="方正仿宋简体"/>
          <w:sz w:val="32"/>
          <w:szCs w:val="32"/>
        </w:rPr>
        <w:t>较好的维修维护，</w:t>
      </w:r>
      <w:r>
        <w:rPr>
          <w:rFonts w:hint="eastAsia" w:ascii="方正仿宋简体" w:hAnsi="方正仿宋简体" w:eastAsia="方正仿宋简体" w:cs="方正仿宋简体"/>
          <w:sz w:val="32"/>
          <w:szCs w:val="32"/>
          <w:lang w:val="en-US" w:eastAsia="zh-CN"/>
        </w:rPr>
        <w:t>均</w:t>
      </w:r>
      <w:r>
        <w:rPr>
          <w:rFonts w:hint="eastAsia" w:ascii="方正仿宋简体" w:hAnsi="方正仿宋简体" w:eastAsia="方正仿宋简体" w:cs="方正仿宋简体"/>
          <w:sz w:val="32"/>
          <w:szCs w:val="32"/>
        </w:rPr>
        <w:t>达到</w:t>
      </w:r>
      <w:r>
        <w:rPr>
          <w:rFonts w:hint="eastAsia" w:ascii="方正仿宋简体" w:hAnsi="方正仿宋简体" w:eastAsia="方正仿宋简体" w:cs="方正仿宋简体"/>
          <w:sz w:val="32"/>
          <w:szCs w:val="32"/>
          <w:lang w:eastAsia="zh-CN"/>
        </w:rPr>
        <w:t>了</w:t>
      </w:r>
      <w:r>
        <w:rPr>
          <w:rFonts w:hint="eastAsia" w:ascii="方正仿宋简体" w:hAnsi="方正仿宋简体" w:eastAsia="方正仿宋简体" w:cs="方正仿宋简体"/>
          <w:sz w:val="32"/>
          <w:szCs w:val="32"/>
        </w:rPr>
        <w:t>行业基准水平。</w:t>
      </w:r>
    </w:p>
    <w:p w14:paraId="3F3D8068">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指标分为</w:t>
      </w:r>
      <w:r>
        <w:rPr>
          <w:rFonts w:hint="default" w:ascii="Times New Roman" w:hAnsi="Times New Roman" w:eastAsia="方正仿宋简体" w:cs="Times New Roman"/>
          <w:sz w:val="32"/>
          <w:szCs w:val="32"/>
        </w:rPr>
        <w:t>10.00分，扣除0.00分，得分为10.00</w:t>
      </w:r>
      <w:r>
        <w:rPr>
          <w:rFonts w:hint="eastAsia" w:ascii="方正仿宋简体" w:hAnsi="方正仿宋简体" w:eastAsia="方正仿宋简体" w:cs="方正仿宋简体"/>
          <w:sz w:val="32"/>
          <w:szCs w:val="32"/>
        </w:rPr>
        <w:t>分。</w:t>
      </w:r>
    </w:p>
    <w:p w14:paraId="3573ED73">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21" w:name="_Toc1403589335"/>
      <w:bookmarkStart w:id="122" w:name="_Toc1036307307"/>
      <w:bookmarkStart w:id="123" w:name="_Toc142913857"/>
      <w:bookmarkStart w:id="124" w:name="_Toc29380"/>
      <w:bookmarkStart w:id="125" w:name="_Toc176352304"/>
      <w:bookmarkStart w:id="126" w:name="_Toc1256376225_WPSOffice_Level3"/>
      <w:r>
        <w:rPr>
          <w:rFonts w:hint="eastAsia" w:ascii="方正楷体简体" w:hAnsi="方正楷体简体" w:eastAsia="方正楷体简体" w:cs="方正楷体简体"/>
          <w:color w:val="000000"/>
          <w:kern w:val="0"/>
          <w:sz w:val="32"/>
          <w:szCs w:val="32"/>
          <w:shd w:val="clear" w:color="auto" w:fill="FFFFFF"/>
        </w:rPr>
        <w:t>（六）</w:t>
      </w:r>
      <w:bookmarkEnd w:id="121"/>
      <w:bookmarkEnd w:id="122"/>
      <w:r>
        <w:rPr>
          <w:rFonts w:hint="eastAsia" w:ascii="方正楷体简体" w:hAnsi="方正楷体简体" w:eastAsia="方正楷体简体" w:cs="方正楷体简体"/>
          <w:color w:val="000000"/>
          <w:kern w:val="0"/>
          <w:sz w:val="32"/>
          <w:szCs w:val="32"/>
          <w:shd w:val="clear" w:color="auto" w:fill="FFFFFF"/>
        </w:rPr>
        <w:t>社会效益</w:t>
      </w:r>
      <w:bookmarkEnd w:id="123"/>
      <w:bookmarkEnd w:id="124"/>
      <w:bookmarkEnd w:id="125"/>
    </w:p>
    <w:p w14:paraId="3B691C2F">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指标“社会效益”下设一个二级指标：运行效率。</w:t>
      </w:r>
    </w:p>
    <w:bookmarkEnd w:id="126"/>
    <w:p w14:paraId="4A6B14E2">
      <w:pPr>
        <w:pStyle w:val="2"/>
        <w:keepNext w:val="0"/>
        <w:keepLines w:val="0"/>
        <w:pageBreakBefore w:val="0"/>
        <w:kinsoku/>
        <w:wordWrap/>
        <w:overflowPunct/>
        <w:topLinePunct w:val="0"/>
        <w:autoSpaceDE/>
        <w:autoSpaceDN/>
        <w:bidi w:val="0"/>
        <w:spacing w:after="0" w:line="600" w:lineRule="exact"/>
        <w:ind w:left="0" w:leftChars="0" w:firstLine="560"/>
        <w:rPr>
          <w:rFonts w:hint="default" w:ascii="Times New Roman" w:hAnsi="Times New Roman" w:eastAsia="方正仿宋简体" w:cs="Times New Roman"/>
          <w:sz w:val="32"/>
          <w:szCs w:val="32"/>
        </w:rPr>
      </w:pPr>
      <w:r>
        <w:rPr>
          <w:rFonts w:hint="eastAsia" w:ascii="方正仿宋简体" w:hAnsi="方正仿宋简体" w:eastAsia="方正仿宋简体" w:cs="方正仿宋简体"/>
          <w:sz w:val="32"/>
          <w:szCs w:val="32"/>
        </w:rPr>
        <w:t>经现场查阅项目实施资料，</w:t>
      </w:r>
      <w:r>
        <w:rPr>
          <w:rFonts w:hint="eastAsia" w:ascii="方正仿宋简体" w:hAnsi="方正仿宋简体" w:eastAsia="方正仿宋简体" w:cs="方正仿宋简体"/>
          <w:sz w:val="32"/>
          <w:szCs w:val="32"/>
          <w:lang w:val="en-US" w:eastAsia="zh-CN"/>
        </w:rPr>
        <w:t>本项目通过对</w:t>
      </w:r>
      <w:r>
        <w:rPr>
          <w:rFonts w:hint="eastAsia" w:ascii="方正仿宋简体" w:hAnsi="方正仿宋简体" w:eastAsia="方正仿宋简体" w:cs="方正仿宋简体"/>
          <w:sz w:val="32"/>
          <w:szCs w:val="32"/>
        </w:rPr>
        <w:t>城市基础生活设施</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rPr>
        <w:t>设备</w:t>
      </w:r>
      <w:r>
        <w:rPr>
          <w:rFonts w:hint="eastAsia" w:ascii="方正仿宋简体" w:hAnsi="方正仿宋简体" w:eastAsia="方正仿宋简体" w:cs="方正仿宋简体"/>
          <w:sz w:val="32"/>
          <w:szCs w:val="32"/>
          <w:lang w:val="en-US" w:eastAsia="zh-CN"/>
        </w:rPr>
        <w:t>实施</w:t>
      </w:r>
      <w:r>
        <w:rPr>
          <w:rFonts w:hint="eastAsia" w:ascii="方正仿宋简体" w:hAnsi="方正仿宋简体" w:eastAsia="方正仿宋简体" w:cs="方正仿宋简体"/>
          <w:sz w:val="32"/>
          <w:szCs w:val="32"/>
        </w:rPr>
        <w:t>维护、升级、改造</w:t>
      </w:r>
      <w:r>
        <w:rPr>
          <w:rFonts w:hint="eastAsia" w:ascii="方正仿宋简体" w:hAnsi="方正仿宋简体" w:eastAsia="方正仿宋简体" w:cs="方正仿宋简体"/>
          <w:sz w:val="32"/>
          <w:szCs w:val="32"/>
          <w:lang w:val="en-US" w:eastAsia="zh-CN"/>
        </w:rPr>
        <w:t>等举措，较好地保障了城市</w:t>
      </w:r>
      <w:r>
        <w:rPr>
          <w:rFonts w:hint="eastAsia" w:ascii="方正仿宋简体" w:hAnsi="方正仿宋简体" w:eastAsia="方正仿宋简体" w:cs="方正仿宋简体"/>
          <w:sz w:val="32"/>
          <w:szCs w:val="32"/>
        </w:rPr>
        <w:t>公共交通、照明、燃气、环境保护、娱乐、体育等相关公共设施正常运转</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扣除</w:t>
      </w:r>
      <w:r>
        <w:rPr>
          <w:rFonts w:hint="default" w:ascii="Times New Roman" w:hAnsi="Times New Roman" w:eastAsia="方正仿宋简体" w:cs="Times New Roman"/>
          <w:sz w:val="32"/>
          <w:szCs w:val="32"/>
          <w:lang w:val="en-US" w:eastAsia="zh-CN"/>
        </w:rPr>
        <w:t>2.00分</w:t>
      </w:r>
      <w:r>
        <w:rPr>
          <w:rFonts w:hint="default" w:ascii="Times New Roman" w:hAnsi="Times New Roman" w:eastAsia="方正仿宋简体" w:cs="Times New Roman"/>
          <w:sz w:val="32"/>
          <w:szCs w:val="32"/>
        </w:rPr>
        <w:t>。</w:t>
      </w:r>
    </w:p>
    <w:p w14:paraId="090D0BD4">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指标分为10.00分，扣除2.00分，得分为8.00分</w:t>
      </w:r>
      <w:r>
        <w:rPr>
          <w:rFonts w:hint="eastAsia" w:ascii="方正仿宋简体" w:hAnsi="方正仿宋简体" w:eastAsia="方正仿宋简体" w:cs="方正仿宋简体"/>
          <w:sz w:val="32"/>
          <w:szCs w:val="32"/>
        </w:rPr>
        <w:t>。</w:t>
      </w:r>
    </w:p>
    <w:p w14:paraId="548B82CE">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27" w:name="_Toc176352305"/>
      <w:bookmarkStart w:id="128" w:name="_Toc30228"/>
      <w:r>
        <w:rPr>
          <w:rFonts w:hint="eastAsia" w:ascii="方正楷体简体" w:hAnsi="方正楷体简体" w:eastAsia="方正楷体简体" w:cs="方正楷体简体"/>
          <w:color w:val="000000"/>
          <w:kern w:val="0"/>
          <w:sz w:val="32"/>
          <w:szCs w:val="32"/>
          <w:shd w:val="clear" w:color="auto" w:fill="FFFFFF"/>
        </w:rPr>
        <w:t>（七）社区满意度</w:t>
      </w:r>
      <w:bookmarkEnd w:id="127"/>
      <w:bookmarkEnd w:id="128"/>
    </w:p>
    <w:p w14:paraId="0725FAE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指标“社区满意度”下设一个二级指标：居民满意度。</w:t>
      </w:r>
    </w:p>
    <w:p w14:paraId="5717DA4B">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评价组通过审视本项目实际情况并下发问卷进行调查，</w:t>
      </w:r>
      <w:r>
        <w:rPr>
          <w:rFonts w:hint="eastAsia" w:ascii="方正仿宋简体" w:hAnsi="方正仿宋简体" w:eastAsia="方正仿宋简体" w:cs="方正仿宋简体"/>
          <w:sz w:val="32"/>
          <w:szCs w:val="32"/>
          <w:lang w:val="en-US" w:eastAsia="zh-CN"/>
        </w:rPr>
        <w:t>通过对</w:t>
      </w:r>
      <w:r>
        <w:rPr>
          <w:rFonts w:hint="eastAsia" w:ascii="方正仿宋简体" w:hAnsi="方正仿宋简体" w:eastAsia="方正仿宋简体" w:cs="方正仿宋简体"/>
          <w:sz w:val="32"/>
          <w:szCs w:val="32"/>
        </w:rPr>
        <w:t>收回</w:t>
      </w:r>
      <w:r>
        <w:rPr>
          <w:rFonts w:hint="default" w:ascii="Times New Roman" w:hAnsi="Times New Roman" w:eastAsia="方正仿宋简体" w:cs="Times New Roman"/>
          <w:sz w:val="32"/>
          <w:szCs w:val="32"/>
          <w:lang w:val="en-US" w:eastAsia="zh-CN"/>
        </w:rPr>
        <w:t>的50份问卷进行综合分析</w:t>
      </w:r>
      <w:r>
        <w:rPr>
          <w:rFonts w:hint="default" w:ascii="Times New Roman" w:hAnsi="Times New Roman" w:eastAsia="方正仿宋简体" w:cs="Times New Roman"/>
          <w:sz w:val="32"/>
          <w:szCs w:val="32"/>
        </w:rPr>
        <w:t>，</w:t>
      </w:r>
      <w:r>
        <w:rPr>
          <w:rFonts w:hint="default" w:ascii="Times New Roman" w:hAnsi="Times New Roman" w:eastAsia="方正仿宋简体" w:cs="Times New Roman"/>
          <w:sz w:val="32"/>
          <w:szCs w:val="32"/>
          <w:lang w:val="en-US" w:eastAsia="zh-CN"/>
        </w:rPr>
        <w:t>本项目</w:t>
      </w:r>
      <w:r>
        <w:rPr>
          <w:rFonts w:hint="default" w:ascii="Times New Roman" w:hAnsi="Times New Roman" w:eastAsia="方正仿宋简体" w:cs="Times New Roman"/>
          <w:sz w:val="32"/>
          <w:szCs w:val="32"/>
        </w:rPr>
        <w:t>综合满意度为98.00%</w:t>
      </w:r>
      <w:r>
        <w:rPr>
          <w:rFonts w:hint="default" w:ascii="Times New Roman" w:hAnsi="Times New Roman" w:eastAsia="方正仿宋简体" w:cs="Times New Roman"/>
          <w:sz w:val="32"/>
          <w:szCs w:val="32"/>
          <w:lang w:eastAsia="zh-CN"/>
        </w:rPr>
        <w:t>，</w:t>
      </w:r>
      <w:r>
        <w:rPr>
          <w:rFonts w:hint="default" w:ascii="Times New Roman" w:hAnsi="Times New Roman" w:eastAsia="方正仿宋简体" w:cs="Times New Roman"/>
          <w:sz w:val="32"/>
          <w:szCs w:val="32"/>
          <w:lang w:val="en-US" w:eastAsia="zh-CN"/>
        </w:rPr>
        <w:t>扣除0.20</w:t>
      </w:r>
      <w:r>
        <w:rPr>
          <w:rFonts w:hint="eastAsia" w:ascii="方正仿宋简体" w:hAnsi="方正仿宋简体" w:eastAsia="方正仿宋简体" w:cs="方正仿宋简体"/>
          <w:sz w:val="32"/>
          <w:szCs w:val="32"/>
          <w:lang w:val="en-US" w:eastAsia="zh-CN"/>
        </w:rPr>
        <w:t>分</w:t>
      </w:r>
      <w:r>
        <w:rPr>
          <w:rFonts w:hint="eastAsia" w:ascii="方正仿宋简体" w:hAnsi="方正仿宋简体" w:eastAsia="方正仿宋简体" w:cs="方正仿宋简体"/>
          <w:sz w:val="32"/>
          <w:szCs w:val="32"/>
        </w:rPr>
        <w:t>。</w:t>
      </w:r>
    </w:p>
    <w:p w14:paraId="491E4FAE">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指标分</w:t>
      </w:r>
      <w:r>
        <w:rPr>
          <w:rFonts w:hint="default" w:ascii="Times New Roman" w:hAnsi="Times New Roman" w:eastAsia="方正仿宋简体" w:cs="Times New Roman"/>
          <w:sz w:val="32"/>
          <w:szCs w:val="32"/>
        </w:rPr>
        <w:t>为10.00分，扣除</w:t>
      </w:r>
      <w:r>
        <w:rPr>
          <w:rFonts w:hint="default" w:ascii="Times New Roman" w:hAnsi="Times New Roman" w:eastAsia="方正仿宋简体" w:cs="Times New Roman"/>
          <w:sz w:val="32"/>
          <w:szCs w:val="32"/>
          <w:lang w:val="en-US" w:eastAsia="zh-CN"/>
        </w:rPr>
        <w:t>0.20</w:t>
      </w:r>
      <w:r>
        <w:rPr>
          <w:rFonts w:hint="default" w:ascii="Times New Roman" w:hAnsi="Times New Roman" w:eastAsia="方正仿宋简体" w:cs="Times New Roman"/>
          <w:sz w:val="32"/>
          <w:szCs w:val="32"/>
        </w:rPr>
        <w:t>分，得分为</w:t>
      </w:r>
      <w:r>
        <w:rPr>
          <w:rFonts w:hint="default" w:ascii="Times New Roman" w:hAnsi="Times New Roman" w:eastAsia="方正仿宋简体" w:cs="Times New Roman"/>
          <w:sz w:val="32"/>
          <w:szCs w:val="32"/>
          <w:lang w:val="en-US" w:eastAsia="zh-CN"/>
        </w:rPr>
        <w:t>9.80</w:t>
      </w:r>
      <w:r>
        <w:rPr>
          <w:rFonts w:hint="default" w:ascii="Times New Roman" w:hAnsi="Times New Roman" w:eastAsia="方正仿宋简体" w:cs="Times New Roman"/>
          <w:sz w:val="32"/>
          <w:szCs w:val="32"/>
        </w:rPr>
        <w:t>分</w:t>
      </w:r>
      <w:r>
        <w:rPr>
          <w:rFonts w:hint="eastAsia" w:ascii="方正仿宋简体" w:hAnsi="方正仿宋简体" w:eastAsia="方正仿宋简体" w:cs="方正仿宋简体"/>
          <w:sz w:val="32"/>
          <w:szCs w:val="32"/>
        </w:rPr>
        <w:t>。</w:t>
      </w:r>
    </w:p>
    <w:p w14:paraId="71A049E4">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29" w:name="_Toc176352306"/>
      <w:bookmarkStart w:id="130" w:name="_Toc20113"/>
      <w:r>
        <w:rPr>
          <w:rFonts w:hint="eastAsia" w:ascii="方正楷体简体" w:hAnsi="方正楷体简体" w:eastAsia="方正楷体简体" w:cs="方正楷体简体"/>
          <w:color w:val="000000"/>
          <w:kern w:val="0"/>
          <w:sz w:val="32"/>
          <w:szCs w:val="32"/>
          <w:shd w:val="clear" w:color="auto" w:fill="FFFFFF"/>
        </w:rPr>
        <w:t>（八）生态效益</w:t>
      </w:r>
      <w:bookmarkEnd w:id="129"/>
      <w:bookmarkEnd w:id="130"/>
    </w:p>
    <w:p w14:paraId="7C34B88C">
      <w:pPr>
        <w:pStyle w:val="2"/>
        <w:keepNext w:val="0"/>
        <w:keepLines w:val="0"/>
        <w:pageBreakBefore w:val="0"/>
        <w:kinsoku/>
        <w:wordWrap/>
        <w:overflowPunct/>
        <w:topLinePunct w:val="0"/>
        <w:autoSpaceDE/>
        <w:autoSpaceDN/>
        <w:bidi w:val="0"/>
        <w:spacing w:after="0" w:line="600" w:lineRule="exact"/>
        <w:ind w:left="0" w:leftChars="0" w:firstLine="56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指标“生态效益”下设一个二级指标：人居环境改善。</w:t>
      </w:r>
    </w:p>
    <w:p w14:paraId="3B83F786">
      <w:pPr>
        <w:pStyle w:val="2"/>
        <w:keepNext w:val="0"/>
        <w:keepLines w:val="0"/>
        <w:pageBreakBefore w:val="0"/>
        <w:kinsoku/>
        <w:wordWrap/>
        <w:overflowPunct/>
        <w:topLinePunct w:val="0"/>
        <w:autoSpaceDE/>
        <w:autoSpaceDN/>
        <w:bidi w:val="0"/>
        <w:spacing w:after="0" w:line="600" w:lineRule="exact"/>
        <w:ind w:left="0" w:leftChars="0" w:firstLine="561"/>
        <w:rPr>
          <w:rFonts w:hint="default" w:ascii="Times New Roman" w:hAnsi="Times New Roman" w:eastAsia="方正仿宋简体" w:cs="Times New Roman"/>
          <w:sz w:val="32"/>
          <w:szCs w:val="32"/>
        </w:rPr>
      </w:pPr>
      <w:r>
        <w:rPr>
          <w:rFonts w:hint="eastAsia" w:ascii="方正仿宋简体" w:hAnsi="方正仿宋简体" w:eastAsia="方正仿宋简体" w:cs="方正仿宋简体"/>
          <w:sz w:val="32"/>
          <w:szCs w:val="32"/>
        </w:rPr>
        <w:t>该项目的实施较好的保障城市的供水、供电、交通和通信系统的稳定运行，提升居民的生活便利性和舒适度，较好的美化城市景观，提升城市形象，增强居民的幸福感和归属感</w:t>
      </w:r>
      <w:r>
        <w:rPr>
          <w:rFonts w:hint="eastAsia" w:ascii="方正仿宋简体" w:hAnsi="方正仿宋简体" w:eastAsia="方正仿宋简体" w:cs="方正仿宋简体"/>
          <w:sz w:val="32"/>
          <w:szCs w:val="32"/>
          <w:lang w:eastAsia="zh-CN"/>
        </w:rPr>
        <w:t>，</w:t>
      </w:r>
      <w:r>
        <w:rPr>
          <w:rFonts w:hint="eastAsia" w:ascii="方正仿宋简体" w:hAnsi="方正仿宋简体" w:eastAsia="方正仿宋简体" w:cs="方正仿宋简体"/>
          <w:sz w:val="32"/>
          <w:szCs w:val="32"/>
          <w:lang w:val="en-US" w:eastAsia="zh-CN"/>
        </w:rPr>
        <w:t>人居环境改善取得了较好的成绩</w:t>
      </w:r>
      <w:r>
        <w:rPr>
          <w:rFonts w:hint="default" w:ascii="Times New Roman" w:hAnsi="Times New Roman" w:eastAsia="方正仿宋简体" w:cs="Times New Roman"/>
          <w:sz w:val="32"/>
          <w:szCs w:val="32"/>
          <w:lang w:val="en-US" w:eastAsia="zh-CN"/>
        </w:rPr>
        <w:t>，扣除2.00分</w:t>
      </w:r>
      <w:r>
        <w:rPr>
          <w:rFonts w:hint="default" w:ascii="Times New Roman" w:hAnsi="Times New Roman" w:eastAsia="方正仿宋简体" w:cs="Times New Roman"/>
          <w:sz w:val="32"/>
          <w:szCs w:val="32"/>
        </w:rPr>
        <w:t>。</w:t>
      </w:r>
    </w:p>
    <w:p w14:paraId="5BE362AF">
      <w:pPr>
        <w:pStyle w:val="2"/>
        <w:keepNext w:val="0"/>
        <w:keepLines w:val="0"/>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sz w:val="32"/>
          <w:szCs w:val="32"/>
        </w:rPr>
      </w:pPr>
      <w:r>
        <w:rPr>
          <w:rFonts w:hint="default" w:ascii="Times New Roman" w:hAnsi="Times New Roman" w:eastAsia="方正仿宋简体" w:cs="Times New Roman"/>
          <w:sz w:val="32"/>
          <w:szCs w:val="32"/>
        </w:rPr>
        <w:t>指标分为10.00分，扣除2.00分，得分为8.00</w:t>
      </w:r>
      <w:r>
        <w:rPr>
          <w:rFonts w:hint="eastAsia" w:ascii="方正仿宋简体" w:hAnsi="方正仿宋简体" w:eastAsia="方正仿宋简体" w:cs="方正仿宋简体"/>
          <w:sz w:val="32"/>
          <w:szCs w:val="32"/>
        </w:rPr>
        <w:t>分。</w:t>
      </w:r>
    </w:p>
    <w:p w14:paraId="2AE39749">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31" w:name="_Toc176352307"/>
      <w:bookmarkStart w:id="132" w:name="_Toc5246"/>
      <w:r>
        <w:rPr>
          <w:rFonts w:hint="eastAsia" w:ascii="方正黑体简体" w:hAnsi="方正黑体简体" w:eastAsia="方正黑体简体" w:cs="方正黑体简体"/>
          <w:color w:val="000000"/>
          <w:kern w:val="0"/>
          <w:sz w:val="32"/>
          <w:szCs w:val="32"/>
          <w:shd w:val="clear" w:color="auto" w:fill="FFFFFF"/>
        </w:rPr>
        <w:t>六、存在的主要问题</w:t>
      </w:r>
      <w:bookmarkEnd w:id="82"/>
      <w:bookmarkEnd w:id="83"/>
      <w:bookmarkEnd w:id="84"/>
      <w:bookmarkEnd w:id="85"/>
      <w:bookmarkEnd w:id="131"/>
      <w:bookmarkEnd w:id="132"/>
    </w:p>
    <w:p w14:paraId="7B5C716D">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lang w:val="en-US" w:eastAsia="zh-CN"/>
        </w:rPr>
      </w:pPr>
      <w:bookmarkStart w:id="133" w:name="_Toc176352308"/>
      <w:bookmarkStart w:id="134" w:name="_Toc1321079616"/>
      <w:bookmarkStart w:id="135" w:name="_Toc1038715558"/>
      <w:bookmarkStart w:id="136" w:name="_Toc828329307"/>
      <w:bookmarkStart w:id="137" w:name="_Toc3283"/>
      <w:bookmarkStart w:id="138" w:name="_Toc12405"/>
      <w:r>
        <w:rPr>
          <w:rFonts w:hint="eastAsia" w:ascii="方正楷体简体" w:hAnsi="方正楷体简体" w:eastAsia="方正楷体简体" w:cs="方正楷体简体"/>
          <w:color w:val="000000"/>
          <w:kern w:val="0"/>
          <w:sz w:val="32"/>
          <w:szCs w:val="32"/>
          <w:shd w:val="clear" w:color="auto" w:fill="FFFFFF"/>
        </w:rPr>
        <w:t>（一）</w:t>
      </w:r>
      <w:bookmarkEnd w:id="133"/>
      <w:bookmarkEnd w:id="134"/>
      <w:bookmarkEnd w:id="135"/>
      <w:bookmarkEnd w:id="136"/>
      <w:bookmarkEnd w:id="137"/>
      <w:bookmarkStart w:id="139" w:name="_Toc2061369965"/>
      <w:bookmarkStart w:id="140" w:name="_Toc209175539"/>
      <w:bookmarkStart w:id="141" w:name="_Toc1665834229"/>
      <w:r>
        <w:rPr>
          <w:rFonts w:hint="eastAsia" w:ascii="方正楷体简体" w:hAnsi="方正楷体简体" w:eastAsia="方正楷体简体" w:cs="方正楷体简体"/>
          <w:color w:val="000000"/>
          <w:kern w:val="0"/>
          <w:sz w:val="32"/>
          <w:szCs w:val="32"/>
          <w:shd w:val="clear" w:color="auto" w:fill="FFFFFF"/>
          <w:lang w:val="en-US" w:eastAsia="zh-CN"/>
        </w:rPr>
        <w:t>项目设施功能性不足</w:t>
      </w:r>
      <w:bookmarkEnd w:id="138"/>
    </w:p>
    <w:p w14:paraId="49256738">
      <w:pPr>
        <w:pStyle w:val="2"/>
        <w:keepNext w:val="0"/>
        <w:keepLines w:val="0"/>
        <w:pageBreakBefore w:val="0"/>
        <w:kinsoku/>
        <w:wordWrap/>
        <w:overflowPunct/>
        <w:topLinePunct w:val="0"/>
        <w:autoSpaceDE/>
        <w:autoSpaceDN/>
        <w:bidi w:val="0"/>
        <w:spacing w:after="0" w:line="600" w:lineRule="exact"/>
        <w:ind w:left="0" w:leftChars="0" w:firstLine="561"/>
        <w:rPr>
          <w:rFonts w:hint="eastAsia" w:ascii="方正仿宋简体" w:hAnsi="方正仿宋简体" w:eastAsia="方正仿宋简体" w:cs="方正仿宋简体"/>
          <w:color w:val="000000"/>
          <w:sz w:val="32"/>
          <w:szCs w:val="32"/>
          <w:shd w:val="clear" w:color="auto" w:fill="FFFFFF"/>
        </w:rPr>
      </w:pPr>
      <w:r>
        <w:rPr>
          <w:rFonts w:hint="eastAsia" w:ascii="方正仿宋简体" w:hAnsi="方正仿宋简体" w:eastAsia="方正仿宋简体" w:cs="方正仿宋简体"/>
          <w:sz w:val="32"/>
          <w:szCs w:val="32"/>
        </w:rPr>
        <w:t>泸定县县城部分区域基础设施比较陈旧，老化的管线、道路和桥梁等设施增加了维护难度和成本，基础设施的维护和升级又需要大量财政资金，而公共预算有限，难以满足基础设施改造的需求</w:t>
      </w:r>
      <w:r>
        <w:rPr>
          <w:rFonts w:hint="eastAsia" w:ascii="方正仿宋简体" w:hAnsi="方正仿宋简体" w:eastAsia="方正仿宋简体" w:cs="方正仿宋简体"/>
          <w:color w:val="000000"/>
          <w:sz w:val="32"/>
          <w:szCs w:val="32"/>
          <w:shd w:val="clear" w:color="auto" w:fill="FFFFFF"/>
        </w:rPr>
        <w:t>。</w:t>
      </w:r>
    </w:p>
    <w:p w14:paraId="7E9FDD05">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42" w:name="_Toc16265"/>
      <w:r>
        <w:rPr>
          <w:rFonts w:hint="eastAsia" w:ascii="方正楷体简体" w:hAnsi="方正楷体简体" w:eastAsia="方正楷体简体" w:cs="方正楷体简体"/>
          <w:color w:val="000000"/>
          <w:kern w:val="0"/>
          <w:sz w:val="32"/>
          <w:szCs w:val="32"/>
          <w:shd w:val="clear" w:color="auto" w:fill="FFFFFF"/>
        </w:rPr>
        <w:t>（二）项目相关管理制度不健全</w:t>
      </w:r>
      <w:bookmarkEnd w:id="142"/>
    </w:p>
    <w:p w14:paraId="7C658D62">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kern w:val="0"/>
          <w:sz w:val="32"/>
          <w:szCs w:val="32"/>
          <w:shd w:val="clear" w:color="auto" w:fill="FFFFFF"/>
        </w:rPr>
      </w:pPr>
      <w:r>
        <w:rPr>
          <w:rFonts w:hint="eastAsia" w:ascii="方正仿宋简体" w:hAnsi="方正仿宋简体" w:eastAsia="方正仿宋简体" w:cs="方正仿宋简体"/>
          <w:sz w:val="32"/>
          <w:szCs w:val="32"/>
        </w:rPr>
        <w:t>城市基础设施维护费项目作为每年常态化实施的项目，泸定县综合行政执法局未制定相关项目指导意见、管理办法、申报指南、实施细则等管理制度。</w:t>
      </w:r>
    </w:p>
    <w:p w14:paraId="35720F9B">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黑体简体" w:hAnsi="方正黑体简体" w:eastAsia="方正黑体简体" w:cs="方正黑体简体"/>
          <w:color w:val="000000"/>
          <w:kern w:val="0"/>
          <w:sz w:val="32"/>
          <w:szCs w:val="32"/>
          <w:shd w:val="clear" w:color="auto" w:fill="FFFFFF"/>
        </w:rPr>
      </w:pPr>
      <w:bookmarkStart w:id="143" w:name="_Toc7211"/>
      <w:bookmarkStart w:id="144" w:name="_Toc9429"/>
      <w:bookmarkStart w:id="145" w:name="_Toc176352310"/>
      <w:r>
        <w:rPr>
          <w:rFonts w:hint="eastAsia" w:ascii="方正黑体简体" w:hAnsi="方正黑体简体" w:eastAsia="方正黑体简体" w:cs="方正黑体简体"/>
          <w:color w:val="000000"/>
          <w:kern w:val="0"/>
          <w:sz w:val="32"/>
          <w:szCs w:val="32"/>
          <w:shd w:val="clear" w:color="auto" w:fill="FFFFFF"/>
        </w:rPr>
        <w:t>七、相关措施建议</w:t>
      </w:r>
      <w:bookmarkEnd w:id="139"/>
      <w:bookmarkEnd w:id="140"/>
      <w:bookmarkEnd w:id="141"/>
      <w:bookmarkEnd w:id="143"/>
      <w:bookmarkEnd w:id="144"/>
      <w:bookmarkEnd w:id="145"/>
    </w:p>
    <w:p w14:paraId="73CD70F7">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46" w:name="_Toc176352311"/>
      <w:bookmarkStart w:id="147" w:name="_Toc19209"/>
      <w:bookmarkStart w:id="148" w:name="_Toc885755508"/>
      <w:bookmarkStart w:id="149" w:name="_Toc1343332924"/>
      <w:bookmarkStart w:id="150" w:name="_Toc24934"/>
      <w:bookmarkStart w:id="151" w:name="_Toc2099841636"/>
      <w:r>
        <w:rPr>
          <w:rFonts w:hint="eastAsia" w:ascii="方正楷体简体" w:hAnsi="方正楷体简体" w:eastAsia="方正楷体简体" w:cs="方正楷体简体"/>
          <w:color w:val="000000"/>
          <w:kern w:val="0"/>
          <w:sz w:val="32"/>
          <w:szCs w:val="32"/>
          <w:shd w:val="clear" w:color="auto" w:fill="FFFFFF"/>
        </w:rPr>
        <w:t>（一）针对“</w:t>
      </w:r>
      <w:r>
        <w:rPr>
          <w:rFonts w:hint="eastAsia" w:ascii="方正楷体简体" w:hAnsi="方正楷体简体" w:eastAsia="方正楷体简体" w:cs="方正楷体简体"/>
          <w:color w:val="000000"/>
          <w:kern w:val="0"/>
          <w:sz w:val="32"/>
          <w:szCs w:val="32"/>
          <w:shd w:val="clear" w:color="auto" w:fill="FFFFFF"/>
          <w:lang w:val="en-US" w:eastAsia="zh-CN"/>
        </w:rPr>
        <w:t>项目设施功能性不足</w:t>
      </w:r>
      <w:r>
        <w:rPr>
          <w:rFonts w:hint="eastAsia" w:ascii="方正楷体简体" w:hAnsi="方正楷体简体" w:eastAsia="方正楷体简体" w:cs="方正楷体简体"/>
          <w:color w:val="000000"/>
          <w:kern w:val="0"/>
          <w:sz w:val="32"/>
          <w:szCs w:val="32"/>
          <w:shd w:val="clear" w:color="auto" w:fill="FFFFFF"/>
        </w:rPr>
        <w:t>”的建议</w:t>
      </w:r>
      <w:bookmarkEnd w:id="146"/>
      <w:bookmarkEnd w:id="147"/>
    </w:p>
    <w:p w14:paraId="2B73B4C2">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sz w:val="32"/>
          <w:szCs w:val="32"/>
        </w:rPr>
      </w:pPr>
      <w:r>
        <w:rPr>
          <w:rFonts w:hint="eastAsia" w:ascii="方正仿宋简体" w:hAnsi="方正仿宋简体" w:eastAsia="方正仿宋简体" w:cs="方正仿宋简体"/>
          <w:sz w:val="32"/>
          <w:szCs w:val="32"/>
        </w:rPr>
        <w:t>泸定县综合行政执法局应对现有基础设施进行全面的检查和评估，确定哪些设施最急需维护或更换，并按优先级排序进行，实施定期的维护计划，减少紧急维修的频率和成本。</w:t>
      </w:r>
    </w:p>
    <w:p w14:paraId="10EA483A">
      <w:pPr>
        <w:keepNext w:val="0"/>
        <w:keepLines w:val="0"/>
        <w:pageBreakBefore w:val="0"/>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000000"/>
          <w:kern w:val="0"/>
          <w:sz w:val="32"/>
          <w:szCs w:val="32"/>
          <w:shd w:val="clear" w:color="auto" w:fill="FFFFFF"/>
        </w:rPr>
      </w:pPr>
      <w:bookmarkStart w:id="152" w:name="_Toc176352312"/>
      <w:bookmarkStart w:id="153" w:name="_Toc27922"/>
      <w:r>
        <w:rPr>
          <w:rFonts w:hint="eastAsia" w:ascii="方正楷体简体" w:hAnsi="方正楷体简体" w:eastAsia="方正楷体简体" w:cs="方正楷体简体"/>
          <w:color w:val="000000"/>
          <w:kern w:val="0"/>
          <w:sz w:val="32"/>
          <w:szCs w:val="32"/>
          <w:shd w:val="clear" w:color="auto" w:fill="FFFFFF"/>
        </w:rPr>
        <w:t>（二）针对</w:t>
      </w:r>
      <w:bookmarkEnd w:id="148"/>
      <w:r>
        <w:rPr>
          <w:rFonts w:hint="eastAsia" w:ascii="方正楷体简体" w:hAnsi="方正楷体简体" w:eastAsia="方正楷体简体" w:cs="方正楷体简体"/>
          <w:color w:val="000000"/>
          <w:kern w:val="0"/>
          <w:sz w:val="32"/>
          <w:szCs w:val="32"/>
          <w:shd w:val="clear" w:color="auto" w:fill="FFFFFF"/>
        </w:rPr>
        <w:t>“</w:t>
      </w:r>
      <w:r>
        <w:rPr>
          <w:rFonts w:hint="eastAsia" w:ascii="方正楷体简体" w:hAnsi="方正楷体简体" w:eastAsia="方正楷体简体" w:cs="方正楷体简体"/>
          <w:color w:val="000000"/>
          <w:kern w:val="0"/>
          <w:sz w:val="32"/>
          <w:szCs w:val="32"/>
          <w:shd w:val="clear" w:color="auto" w:fill="FFFFFF"/>
          <w:lang w:val="en-US" w:eastAsia="zh-CN"/>
        </w:rPr>
        <w:t>项目相关管理制度不健全</w:t>
      </w:r>
      <w:r>
        <w:rPr>
          <w:rFonts w:hint="eastAsia" w:ascii="方正楷体简体" w:hAnsi="方正楷体简体" w:eastAsia="方正楷体简体" w:cs="方正楷体简体"/>
          <w:color w:val="000000"/>
          <w:kern w:val="0"/>
          <w:sz w:val="32"/>
          <w:szCs w:val="32"/>
          <w:shd w:val="clear" w:color="auto" w:fill="FFFFFF"/>
        </w:rPr>
        <w:t>”的建议</w:t>
      </w:r>
      <w:bookmarkEnd w:id="149"/>
      <w:bookmarkEnd w:id="150"/>
      <w:bookmarkEnd w:id="151"/>
      <w:bookmarkEnd w:id="152"/>
      <w:bookmarkEnd w:id="153"/>
    </w:p>
    <w:p w14:paraId="362D9219">
      <w:pPr>
        <w:keepNext w:val="0"/>
        <w:keepLines w:val="0"/>
        <w:pageBreakBefore w:val="0"/>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000000"/>
          <w:kern w:val="0"/>
          <w:sz w:val="32"/>
          <w:szCs w:val="32"/>
          <w:shd w:val="clear" w:color="auto" w:fill="FFFFFF"/>
        </w:rPr>
      </w:pPr>
      <w:bookmarkStart w:id="154" w:name="_Toc23585"/>
      <w:r>
        <w:rPr>
          <w:rFonts w:hint="eastAsia" w:ascii="方正仿宋简体" w:hAnsi="方正仿宋简体" w:eastAsia="方正仿宋简体" w:cs="方正仿宋简体"/>
          <w:sz w:val="32"/>
          <w:szCs w:val="32"/>
        </w:rPr>
        <w:t>泸定县综合行政执法局应牵头制定一套详尽的项目管理指导意见、管理办法、申报指南和实施细则，确保项目的透明性、效率性和合规性。</w:t>
      </w:r>
    </w:p>
    <w:p w14:paraId="0D4A9F7A">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rPr>
          <w:rFonts w:hint="eastAsia" w:ascii="方正仿宋简体" w:hAnsi="方正仿宋简体" w:eastAsia="方正仿宋简体" w:cs="方正仿宋简体"/>
          <w:color w:val="000000"/>
          <w:kern w:val="0"/>
          <w:sz w:val="32"/>
          <w:szCs w:val="32"/>
          <w:shd w:val="clear" w:color="auto" w:fill="FFFFFF"/>
        </w:rPr>
      </w:pPr>
    </w:p>
    <w:p w14:paraId="02D4CF5C">
      <w:pPr>
        <w:keepNext w:val="0"/>
        <w:keepLines w:val="0"/>
        <w:pageBreakBefore w:val="0"/>
        <w:widowControl/>
        <w:kinsoku/>
        <w:wordWrap/>
        <w:overflowPunct/>
        <w:topLinePunct w:val="0"/>
        <w:autoSpaceDE/>
        <w:autoSpaceDN/>
        <w:bidi w:val="0"/>
        <w:adjustRightInd w:val="0"/>
        <w:snapToGrid w:val="0"/>
        <w:spacing w:line="600" w:lineRule="exact"/>
        <w:ind w:left="0" w:leftChars="0" w:firstLine="640" w:firstLineChars="200"/>
        <w:jc w:val="left"/>
        <w:outlineLvl w:val="0"/>
        <w:rPr>
          <w:rFonts w:hint="eastAsia" w:ascii="方正仿宋简体" w:hAnsi="方正仿宋简体" w:eastAsia="方正仿宋简体" w:cs="方正仿宋简体"/>
          <w:sz w:val="32"/>
          <w:szCs w:val="32"/>
        </w:rPr>
      </w:pPr>
      <w:bookmarkStart w:id="155" w:name="_Toc17463"/>
      <w:r>
        <w:rPr>
          <w:rFonts w:hint="eastAsia" w:ascii="方正仿宋简体" w:hAnsi="方正仿宋简体" w:eastAsia="方正仿宋简体" w:cs="方正仿宋简体"/>
          <w:color w:val="000000"/>
          <w:kern w:val="0"/>
          <w:sz w:val="32"/>
          <w:szCs w:val="32"/>
          <w:shd w:val="clear" w:color="auto" w:fill="FFFFFF"/>
        </w:rPr>
        <w:t>附件</w:t>
      </w:r>
      <w:bookmarkEnd w:id="154"/>
      <w:bookmarkStart w:id="156" w:name="_Toc5975"/>
      <w:bookmarkStart w:id="157" w:name="_Toc8336"/>
      <w:r>
        <w:rPr>
          <w:rFonts w:hint="eastAsia" w:ascii="方正仿宋简体" w:hAnsi="方正仿宋简体" w:eastAsia="方正仿宋简体" w:cs="方正仿宋简体"/>
          <w:sz w:val="32"/>
          <w:szCs w:val="32"/>
        </w:rPr>
        <w:t>：</w:t>
      </w:r>
      <w:bookmarkEnd w:id="156"/>
      <w:bookmarkEnd w:id="157"/>
      <w:r>
        <w:rPr>
          <w:rFonts w:hint="eastAsia" w:ascii="方正仿宋简体" w:hAnsi="方正仿宋简体" w:eastAsia="方正仿宋简体" w:cs="方正仿宋简体"/>
          <w:sz w:val="32"/>
          <w:szCs w:val="32"/>
        </w:rPr>
        <w:t>城市基础设施维护费项目绩效评价指标体系（评分表）</w:t>
      </w:r>
      <w:bookmarkEnd w:id="155"/>
    </w:p>
    <w:p w14:paraId="3923AD33">
      <w:pPr>
        <w:keepNext w:val="0"/>
        <w:keepLines w:val="0"/>
        <w:pageBreakBefore w:val="0"/>
        <w:kinsoku/>
        <w:wordWrap/>
        <w:overflowPunct/>
        <w:topLinePunct w:val="0"/>
        <w:autoSpaceDE/>
        <w:autoSpaceDN/>
        <w:bidi w:val="0"/>
        <w:spacing w:line="600" w:lineRule="exact"/>
        <w:ind w:left="0" w:leftChars="0"/>
        <w:jc w:val="left"/>
        <w:rPr>
          <w:rFonts w:hint="eastAsia" w:ascii="方正仿宋简体" w:hAnsi="方正仿宋简体" w:eastAsia="方正仿宋简体" w:cs="方正仿宋简体"/>
          <w:sz w:val="32"/>
          <w:szCs w:val="32"/>
        </w:rPr>
      </w:pPr>
      <w:bookmarkStart w:id="158" w:name="_Toc3238"/>
      <w:r>
        <w:rPr>
          <w:rFonts w:hint="eastAsia" w:ascii="方正仿宋简体" w:hAnsi="方正仿宋简体" w:eastAsia="方正仿宋简体" w:cs="方正仿宋简体"/>
          <w:sz w:val="32"/>
          <w:szCs w:val="32"/>
        </w:rPr>
        <w:t xml:space="preserve">              </w:t>
      </w:r>
    </w:p>
    <w:bookmarkEnd w:id="158"/>
    <w:p w14:paraId="20019F9D">
      <w:pPr>
        <w:keepNext w:val="0"/>
        <w:keepLines w:val="0"/>
        <w:pageBreakBefore w:val="0"/>
        <w:kinsoku/>
        <w:wordWrap/>
        <w:overflowPunct/>
        <w:topLinePunct w:val="0"/>
        <w:autoSpaceDE/>
        <w:autoSpaceDN/>
        <w:bidi w:val="0"/>
        <w:spacing w:line="600" w:lineRule="exact"/>
        <w:ind w:left="0" w:leftChars="0"/>
        <w:jc w:val="right"/>
        <w:rPr>
          <w:rFonts w:hint="eastAsia" w:ascii="方正仿宋简体" w:hAnsi="方正仿宋简体" w:eastAsia="方正仿宋简体" w:cs="方正仿宋简体"/>
          <w:color w:val="000000"/>
          <w:sz w:val="32"/>
          <w:szCs w:val="32"/>
        </w:rPr>
      </w:pPr>
    </w:p>
    <w:p w14:paraId="2102F02B">
      <w:pPr>
        <w:pStyle w:val="2"/>
        <w:rPr>
          <w:rFonts w:hint="eastAsia"/>
        </w:rPr>
      </w:pPr>
    </w:p>
    <w:p w14:paraId="1B536B96">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w:t>
      </w:r>
      <w:r>
        <w:rPr>
          <w:rFonts w:hint="eastAsia" w:ascii="方正仿宋简体" w:hAnsi="方正仿宋简体" w:eastAsia="方正仿宋简体" w:cs="方正仿宋简体"/>
          <w:b w:val="0"/>
          <w:bCs w:val="0"/>
          <w:sz w:val="32"/>
          <w:szCs w:val="32"/>
          <w:lang w:val="en-US" w:eastAsia="zh-CN"/>
        </w:rPr>
        <w:t>此页无正文</w:t>
      </w:r>
      <w:r>
        <w:rPr>
          <w:rFonts w:hint="eastAsia" w:ascii="方正仿宋简体" w:hAnsi="方正仿宋简体" w:eastAsia="方正仿宋简体" w:cs="方正仿宋简体"/>
          <w:b w:val="0"/>
          <w:bCs w:val="0"/>
          <w:sz w:val="32"/>
          <w:szCs w:val="32"/>
          <w:lang w:eastAsia="zh-CN"/>
        </w:rPr>
        <w:t>）</w:t>
      </w:r>
    </w:p>
    <w:p w14:paraId="13E33051">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简体" w:hAnsi="方正仿宋简体" w:eastAsia="方正仿宋简体" w:cs="方正仿宋简体"/>
          <w:b w:val="0"/>
          <w:bCs w:val="0"/>
          <w:sz w:val="32"/>
          <w:szCs w:val="32"/>
          <w:lang w:eastAsia="zh-CN"/>
        </w:rPr>
      </w:pPr>
    </w:p>
    <w:p w14:paraId="3CBE7F60">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简体" w:hAnsi="方正仿宋简体" w:eastAsia="方正仿宋简体" w:cs="方正仿宋简体"/>
          <w:b w:val="0"/>
          <w:bCs w:val="0"/>
          <w:sz w:val="32"/>
          <w:szCs w:val="32"/>
          <w:lang w:eastAsia="zh-CN"/>
        </w:rPr>
      </w:pPr>
    </w:p>
    <w:p w14:paraId="0A8121C9">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方正仿宋简体" w:hAnsi="方正仿宋简体" w:eastAsia="方正仿宋简体" w:cs="方正仿宋简体"/>
          <w:b w:val="0"/>
          <w:bCs w:val="0"/>
          <w:sz w:val="32"/>
          <w:szCs w:val="32"/>
          <w:lang w:eastAsia="zh-CN"/>
        </w:rPr>
      </w:pPr>
    </w:p>
    <w:p w14:paraId="3F7E686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简体" w:hAnsi="方正仿宋简体" w:eastAsia="方正仿宋简体" w:cs="方正仿宋简体"/>
          <w:b w:val="0"/>
          <w:bCs w:val="0"/>
          <w:sz w:val="32"/>
          <w:szCs w:val="32"/>
          <w:lang w:eastAsia="zh-CN"/>
        </w:rPr>
      </w:pPr>
      <w:bookmarkStart w:id="159" w:name="_GoBack"/>
      <w:bookmarkEnd w:id="159"/>
      <w:r>
        <w:rPr>
          <w:rFonts w:hint="eastAsia" w:ascii="方正仿宋简体" w:hAnsi="方正仿宋简体" w:eastAsia="方正仿宋简体" w:cs="方正仿宋简体"/>
          <w:b w:val="0"/>
          <w:bCs w:val="0"/>
          <w:sz w:val="32"/>
          <w:szCs w:val="32"/>
          <w:lang w:eastAsia="zh-CN"/>
        </w:rPr>
        <w:t>　　　　　　　　　　　</w:t>
      </w:r>
      <w:r>
        <w:rPr>
          <w:rFonts w:hint="eastAsia" w:ascii="方正仿宋简体" w:hAnsi="方正仿宋简体" w:eastAsia="方正仿宋简体" w:cs="方正仿宋简体"/>
          <w:b w:val="0"/>
          <w:bCs w:val="0"/>
          <w:sz w:val="32"/>
          <w:szCs w:val="32"/>
        </w:rPr>
        <w:t>二〇二四年九月一日</w:t>
      </w:r>
    </w:p>
    <w:sectPr>
      <w:headerReference r:id="rId3" w:type="default"/>
      <w:footerReference r:id="rId4" w:type="default"/>
      <w:footerReference r:id="rId5" w:type="even"/>
      <w:pgSz w:w="11906" w:h="16838"/>
      <w:pgMar w:top="2098" w:right="1531" w:bottom="1871" w:left="1531" w:header="850" w:footer="992" w:gutter="0"/>
      <w:pgNumType w:fmt="decimal" w:start="1"/>
      <w:cols w:space="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embedRegular r:id="rId1" w:fontKey="{203D7C3C-E277-4796-BEC5-BAAFF7DE7F3A}"/>
  </w:font>
  <w:font w:name="方正黑体简体">
    <w:panose1 w:val="03000509000000000000"/>
    <w:charset w:val="86"/>
    <w:family w:val="auto"/>
    <w:pitch w:val="default"/>
    <w:sig w:usb0="00000001" w:usb1="080E0000" w:usb2="00000000" w:usb3="00000000" w:csb0="00040000" w:csb1="00000000"/>
    <w:embedRegular r:id="rId2" w:fontKey="{CE237D74-2AB0-4D5C-892E-68F058061222}"/>
  </w:font>
  <w:font w:name="方正小标宋简体">
    <w:panose1 w:val="03000509000000000000"/>
    <w:charset w:val="86"/>
    <w:family w:val="auto"/>
    <w:pitch w:val="default"/>
    <w:sig w:usb0="00000001" w:usb1="080E0000" w:usb2="00000000" w:usb3="00000000" w:csb0="00040000" w:csb1="00000000"/>
    <w:embedRegular r:id="rId3" w:fontKey="{3540770C-0FCC-41EE-A28F-B6730B871AE3}"/>
  </w:font>
  <w:font w:name="方正楷体简体">
    <w:panose1 w:val="02000000000000000000"/>
    <w:charset w:val="86"/>
    <w:family w:val="auto"/>
    <w:pitch w:val="default"/>
    <w:sig w:usb0="00000001" w:usb1="080E0000" w:usb2="00000000" w:usb3="00000000" w:csb0="00040000" w:csb1="00000000"/>
    <w:embedRegular r:id="rId4" w:fontKey="{F91F15FC-F0BC-41CD-9694-B44E237A5CED}"/>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1611A">
    <w:pPr>
      <w:pStyle w:val="8"/>
      <w:jc w:val="center"/>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8418C">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3B38418C">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p w14:paraId="51D6DCBD">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ED99F">
    <w:pPr>
      <w:pStyle w:val="8"/>
      <w:tabs>
        <w:tab w:val="right" w:pos="8528"/>
        <w:tab w:val="clear" w:pos="4153"/>
      </w:tabs>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E40AC9">
                          <w:pPr>
                            <w:pStyle w:val="8"/>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7FE40AC9">
                    <w:pPr>
                      <w:pStyle w:val="8"/>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CA84D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1ACA84D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A0EC4">
    <w:pPr>
      <w:pStyle w:val="9"/>
      <w:pBdr>
        <w:bottom w:val="none" w:color="auto" w:sz="0" w:space="1"/>
      </w:pBdr>
      <w:jc w:val="both"/>
      <w:rPr>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98787663" name="文本框 5987876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37C25B"/>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0lY7tAAAAAFAQAADwAAAAAAAAABACAAAAAiAAAAZHJzL2Rvd25yZXYueG1sUEsB&#10;AhQAFAAAAAgAh07iQGB+kcg2AgAAZQQAAA4AAAAAAAAAAQAgAAAAHwEAAGRycy9lMm9Eb2MueG1s&#10;UEsFBgAAAAAGAAYAWQEAAMcFAAAAAA==&#10;">
              <v:fill on="f" focussize="0,0"/>
              <v:stroke on="f" weight="0.5pt"/>
              <v:imagedata o:title=""/>
              <o:lock v:ext="edit" aspectratio="f"/>
              <v:textbox inset="0mm,0mm,0mm,0mm" style="mso-fit-shape-to-text:t;">
                <w:txbxContent>
                  <w:p w14:paraId="0E37C25B"/>
                </w:txbxContent>
              </v:textbox>
            </v:shape>
          </w:pict>
        </mc:Fallback>
      </mc:AlternateContent>
    </w:r>
    <w:r>
      <w:rPr>
        <w:rFonts w:hint="eastAsia" w:eastAsia="宋体"/>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76272A"/>
    <w:multiLevelType w:val="multilevel"/>
    <w:tmpl w:val="2676272A"/>
    <w:lvl w:ilvl="0" w:tentative="0">
      <w:start w:val="1"/>
      <w:numFmt w:val="decimal"/>
      <w:suff w:val="nothing"/>
      <w:lvlText w:val="%1."/>
      <w:lvlJc w:val="left"/>
      <w:pPr>
        <w:ind w:left="980" w:hanging="420"/>
      </w:pPr>
      <w:rPr>
        <w:rFonts w:hint="default" w:ascii="Times New Roman" w:hAnsi="Times New Roman" w:eastAsia="仿宋"/>
        <w:b w:val="0"/>
        <w:i w:val="0"/>
        <w:sz w:val="32"/>
        <w:szCs w:val="32"/>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0NDQzMjFlNDQ2Y2I5YTA0MTZkNmYzOGZlYzkyMTkifQ=="/>
  </w:docVars>
  <w:rsids>
    <w:rsidRoot w:val="00172A27"/>
    <w:rsid w:val="00005700"/>
    <w:rsid w:val="00013131"/>
    <w:rsid w:val="00022C4D"/>
    <w:rsid w:val="00027CF7"/>
    <w:rsid w:val="000343B9"/>
    <w:rsid w:val="00065343"/>
    <w:rsid w:val="00065AD5"/>
    <w:rsid w:val="00083BB2"/>
    <w:rsid w:val="000A1E17"/>
    <w:rsid w:val="000C7A38"/>
    <w:rsid w:val="000D3132"/>
    <w:rsid w:val="000D4071"/>
    <w:rsid w:val="000D4AF5"/>
    <w:rsid w:val="000F66CF"/>
    <w:rsid w:val="001148D3"/>
    <w:rsid w:val="00120F9A"/>
    <w:rsid w:val="00127F9D"/>
    <w:rsid w:val="0013065B"/>
    <w:rsid w:val="001344B2"/>
    <w:rsid w:val="00134855"/>
    <w:rsid w:val="001353A8"/>
    <w:rsid w:val="00145CA9"/>
    <w:rsid w:val="00145DD7"/>
    <w:rsid w:val="0014777D"/>
    <w:rsid w:val="00162341"/>
    <w:rsid w:val="001708DE"/>
    <w:rsid w:val="00170905"/>
    <w:rsid w:val="001724D3"/>
    <w:rsid w:val="00172A27"/>
    <w:rsid w:val="001775C7"/>
    <w:rsid w:val="00180637"/>
    <w:rsid w:val="00185CA6"/>
    <w:rsid w:val="001A7A5A"/>
    <w:rsid w:val="001D1FC2"/>
    <w:rsid w:val="001E5796"/>
    <w:rsid w:val="001F11FF"/>
    <w:rsid w:val="001F5C32"/>
    <w:rsid w:val="002416FC"/>
    <w:rsid w:val="00243F87"/>
    <w:rsid w:val="00247BA8"/>
    <w:rsid w:val="002539F8"/>
    <w:rsid w:val="00256E06"/>
    <w:rsid w:val="002570D0"/>
    <w:rsid w:val="00260600"/>
    <w:rsid w:val="00266BA5"/>
    <w:rsid w:val="00275588"/>
    <w:rsid w:val="00287756"/>
    <w:rsid w:val="00293F77"/>
    <w:rsid w:val="002A212C"/>
    <w:rsid w:val="002A2251"/>
    <w:rsid w:val="002A5221"/>
    <w:rsid w:val="002F7B42"/>
    <w:rsid w:val="00306DF0"/>
    <w:rsid w:val="003133F3"/>
    <w:rsid w:val="00317DCF"/>
    <w:rsid w:val="00320D39"/>
    <w:rsid w:val="0032304E"/>
    <w:rsid w:val="00332C7B"/>
    <w:rsid w:val="00350333"/>
    <w:rsid w:val="00380FC9"/>
    <w:rsid w:val="00384CF2"/>
    <w:rsid w:val="003942E4"/>
    <w:rsid w:val="003B50E7"/>
    <w:rsid w:val="003B74AB"/>
    <w:rsid w:val="003C0388"/>
    <w:rsid w:val="003D5286"/>
    <w:rsid w:val="003D528D"/>
    <w:rsid w:val="003E2D83"/>
    <w:rsid w:val="003E30D4"/>
    <w:rsid w:val="003F0E80"/>
    <w:rsid w:val="003F16C0"/>
    <w:rsid w:val="003F4549"/>
    <w:rsid w:val="00415B00"/>
    <w:rsid w:val="004255E8"/>
    <w:rsid w:val="004279E2"/>
    <w:rsid w:val="0044122C"/>
    <w:rsid w:val="00443DB6"/>
    <w:rsid w:val="0044580E"/>
    <w:rsid w:val="004549BF"/>
    <w:rsid w:val="004646A3"/>
    <w:rsid w:val="00465D4B"/>
    <w:rsid w:val="00490688"/>
    <w:rsid w:val="004B1E39"/>
    <w:rsid w:val="004B4E71"/>
    <w:rsid w:val="004D73EC"/>
    <w:rsid w:val="0053054F"/>
    <w:rsid w:val="005512A0"/>
    <w:rsid w:val="00551BFB"/>
    <w:rsid w:val="0055472D"/>
    <w:rsid w:val="00570817"/>
    <w:rsid w:val="00584C09"/>
    <w:rsid w:val="00585F86"/>
    <w:rsid w:val="005A47DD"/>
    <w:rsid w:val="005B53F3"/>
    <w:rsid w:val="005C6A21"/>
    <w:rsid w:val="005C7878"/>
    <w:rsid w:val="005E33C9"/>
    <w:rsid w:val="005E680E"/>
    <w:rsid w:val="005E6F67"/>
    <w:rsid w:val="005F18EA"/>
    <w:rsid w:val="005F30FB"/>
    <w:rsid w:val="005F70CC"/>
    <w:rsid w:val="00604A9B"/>
    <w:rsid w:val="00625E84"/>
    <w:rsid w:val="00640A85"/>
    <w:rsid w:val="00646411"/>
    <w:rsid w:val="0066553B"/>
    <w:rsid w:val="0069157A"/>
    <w:rsid w:val="006C308B"/>
    <w:rsid w:val="006C5F54"/>
    <w:rsid w:val="006D3126"/>
    <w:rsid w:val="006F13C3"/>
    <w:rsid w:val="006F192D"/>
    <w:rsid w:val="006F2143"/>
    <w:rsid w:val="006F31BB"/>
    <w:rsid w:val="007118F7"/>
    <w:rsid w:val="007141F1"/>
    <w:rsid w:val="007178A9"/>
    <w:rsid w:val="007221E5"/>
    <w:rsid w:val="00724CC2"/>
    <w:rsid w:val="007304E9"/>
    <w:rsid w:val="0074590D"/>
    <w:rsid w:val="007510A0"/>
    <w:rsid w:val="00753958"/>
    <w:rsid w:val="007544A8"/>
    <w:rsid w:val="0075690D"/>
    <w:rsid w:val="007A714B"/>
    <w:rsid w:val="007B0D55"/>
    <w:rsid w:val="007B6521"/>
    <w:rsid w:val="007C12F8"/>
    <w:rsid w:val="007D13A4"/>
    <w:rsid w:val="007E5CD9"/>
    <w:rsid w:val="00804DDE"/>
    <w:rsid w:val="008416E1"/>
    <w:rsid w:val="00844FFA"/>
    <w:rsid w:val="0085646D"/>
    <w:rsid w:val="008700E1"/>
    <w:rsid w:val="00870DA1"/>
    <w:rsid w:val="00874752"/>
    <w:rsid w:val="00891D33"/>
    <w:rsid w:val="0089273C"/>
    <w:rsid w:val="008B2190"/>
    <w:rsid w:val="008B3C2A"/>
    <w:rsid w:val="008C7942"/>
    <w:rsid w:val="008D1222"/>
    <w:rsid w:val="008D7869"/>
    <w:rsid w:val="008F709E"/>
    <w:rsid w:val="00913AAB"/>
    <w:rsid w:val="00915BF4"/>
    <w:rsid w:val="00916CC3"/>
    <w:rsid w:val="00934B72"/>
    <w:rsid w:val="00936B62"/>
    <w:rsid w:val="009469D8"/>
    <w:rsid w:val="00947CAA"/>
    <w:rsid w:val="009519DD"/>
    <w:rsid w:val="00970916"/>
    <w:rsid w:val="00977F0D"/>
    <w:rsid w:val="00982A1F"/>
    <w:rsid w:val="00984364"/>
    <w:rsid w:val="00990626"/>
    <w:rsid w:val="009A14D8"/>
    <w:rsid w:val="009B3C14"/>
    <w:rsid w:val="009D774F"/>
    <w:rsid w:val="009E5470"/>
    <w:rsid w:val="00A04271"/>
    <w:rsid w:val="00A150C1"/>
    <w:rsid w:val="00A21DA0"/>
    <w:rsid w:val="00A234C6"/>
    <w:rsid w:val="00A3511F"/>
    <w:rsid w:val="00A40427"/>
    <w:rsid w:val="00A44B03"/>
    <w:rsid w:val="00A4669C"/>
    <w:rsid w:val="00A6426B"/>
    <w:rsid w:val="00A7593B"/>
    <w:rsid w:val="00A83D99"/>
    <w:rsid w:val="00A8572E"/>
    <w:rsid w:val="00A93817"/>
    <w:rsid w:val="00A97621"/>
    <w:rsid w:val="00AB5C77"/>
    <w:rsid w:val="00AC4CCA"/>
    <w:rsid w:val="00AD1C0E"/>
    <w:rsid w:val="00AD64C4"/>
    <w:rsid w:val="00AE0EA5"/>
    <w:rsid w:val="00B0025A"/>
    <w:rsid w:val="00B01FE3"/>
    <w:rsid w:val="00B07D55"/>
    <w:rsid w:val="00B238E5"/>
    <w:rsid w:val="00B357F0"/>
    <w:rsid w:val="00B54DD1"/>
    <w:rsid w:val="00B61B81"/>
    <w:rsid w:val="00B86407"/>
    <w:rsid w:val="00BA2106"/>
    <w:rsid w:val="00BA4573"/>
    <w:rsid w:val="00BB0157"/>
    <w:rsid w:val="00BC1E79"/>
    <w:rsid w:val="00BC3771"/>
    <w:rsid w:val="00BD73FD"/>
    <w:rsid w:val="00BF1745"/>
    <w:rsid w:val="00C10A63"/>
    <w:rsid w:val="00C15E2B"/>
    <w:rsid w:val="00C2036B"/>
    <w:rsid w:val="00C27DBC"/>
    <w:rsid w:val="00C367CE"/>
    <w:rsid w:val="00C4082F"/>
    <w:rsid w:val="00C42AC9"/>
    <w:rsid w:val="00C46DF1"/>
    <w:rsid w:val="00C473DE"/>
    <w:rsid w:val="00C57E48"/>
    <w:rsid w:val="00C60C5F"/>
    <w:rsid w:val="00C95EE1"/>
    <w:rsid w:val="00CB3663"/>
    <w:rsid w:val="00CC48A9"/>
    <w:rsid w:val="00CD1115"/>
    <w:rsid w:val="00CE47F8"/>
    <w:rsid w:val="00CF1087"/>
    <w:rsid w:val="00CF395F"/>
    <w:rsid w:val="00CF7906"/>
    <w:rsid w:val="00D0292A"/>
    <w:rsid w:val="00D03F28"/>
    <w:rsid w:val="00D10437"/>
    <w:rsid w:val="00D17FF2"/>
    <w:rsid w:val="00D21234"/>
    <w:rsid w:val="00D32F3D"/>
    <w:rsid w:val="00D40684"/>
    <w:rsid w:val="00D674C9"/>
    <w:rsid w:val="00D83CED"/>
    <w:rsid w:val="00DA2CFE"/>
    <w:rsid w:val="00DB0266"/>
    <w:rsid w:val="00DB4299"/>
    <w:rsid w:val="00DC026B"/>
    <w:rsid w:val="00DD6F63"/>
    <w:rsid w:val="00DF4201"/>
    <w:rsid w:val="00E06B99"/>
    <w:rsid w:val="00E12623"/>
    <w:rsid w:val="00E21D9A"/>
    <w:rsid w:val="00E26327"/>
    <w:rsid w:val="00E54124"/>
    <w:rsid w:val="00E57013"/>
    <w:rsid w:val="00E72261"/>
    <w:rsid w:val="00EA5C64"/>
    <w:rsid w:val="00EB7419"/>
    <w:rsid w:val="00EB7CC9"/>
    <w:rsid w:val="00EC36B4"/>
    <w:rsid w:val="00EC4E9D"/>
    <w:rsid w:val="00EE02EB"/>
    <w:rsid w:val="00EE1A30"/>
    <w:rsid w:val="00EE3529"/>
    <w:rsid w:val="00EE48FB"/>
    <w:rsid w:val="00EE6953"/>
    <w:rsid w:val="00EE6AD4"/>
    <w:rsid w:val="00EE7FC6"/>
    <w:rsid w:val="00F04B0C"/>
    <w:rsid w:val="00F20BF0"/>
    <w:rsid w:val="00F23DAE"/>
    <w:rsid w:val="00F274AA"/>
    <w:rsid w:val="00F30D9C"/>
    <w:rsid w:val="00F32602"/>
    <w:rsid w:val="00F46E00"/>
    <w:rsid w:val="00F50B3A"/>
    <w:rsid w:val="00F534D0"/>
    <w:rsid w:val="00F553F5"/>
    <w:rsid w:val="00F753B9"/>
    <w:rsid w:val="00F755C2"/>
    <w:rsid w:val="00F76EE4"/>
    <w:rsid w:val="00F80E20"/>
    <w:rsid w:val="00F97AA4"/>
    <w:rsid w:val="00FA5E15"/>
    <w:rsid w:val="00FC3561"/>
    <w:rsid w:val="00FE38B2"/>
    <w:rsid w:val="00FF2984"/>
    <w:rsid w:val="00FF3147"/>
    <w:rsid w:val="01056705"/>
    <w:rsid w:val="01AE1362"/>
    <w:rsid w:val="026C4FD1"/>
    <w:rsid w:val="028212C5"/>
    <w:rsid w:val="0295277A"/>
    <w:rsid w:val="02A72A37"/>
    <w:rsid w:val="030550DE"/>
    <w:rsid w:val="0307791A"/>
    <w:rsid w:val="03810B86"/>
    <w:rsid w:val="0385027D"/>
    <w:rsid w:val="03895C68"/>
    <w:rsid w:val="039D1411"/>
    <w:rsid w:val="03C46413"/>
    <w:rsid w:val="041F4DBF"/>
    <w:rsid w:val="045A6BB1"/>
    <w:rsid w:val="04B51984"/>
    <w:rsid w:val="05370DC3"/>
    <w:rsid w:val="05704583"/>
    <w:rsid w:val="06F515E9"/>
    <w:rsid w:val="074574B7"/>
    <w:rsid w:val="076743EF"/>
    <w:rsid w:val="07B50534"/>
    <w:rsid w:val="0815093A"/>
    <w:rsid w:val="08CA0DBA"/>
    <w:rsid w:val="08DA47AD"/>
    <w:rsid w:val="0AA10A64"/>
    <w:rsid w:val="0AF44EAD"/>
    <w:rsid w:val="0B386398"/>
    <w:rsid w:val="0CC90B55"/>
    <w:rsid w:val="0D7C008D"/>
    <w:rsid w:val="0DA06897"/>
    <w:rsid w:val="0DF462ED"/>
    <w:rsid w:val="0E19564B"/>
    <w:rsid w:val="0E22759B"/>
    <w:rsid w:val="0E5E23AA"/>
    <w:rsid w:val="0E7F3C56"/>
    <w:rsid w:val="0EF610D2"/>
    <w:rsid w:val="0F286E4F"/>
    <w:rsid w:val="0FCEE19E"/>
    <w:rsid w:val="0FEDD33C"/>
    <w:rsid w:val="10C177C0"/>
    <w:rsid w:val="10FB12CE"/>
    <w:rsid w:val="11A54F88"/>
    <w:rsid w:val="12F71BB3"/>
    <w:rsid w:val="134E407D"/>
    <w:rsid w:val="13E619A8"/>
    <w:rsid w:val="144B4CE8"/>
    <w:rsid w:val="14F52C04"/>
    <w:rsid w:val="155B04E5"/>
    <w:rsid w:val="15762967"/>
    <w:rsid w:val="15FF6AB8"/>
    <w:rsid w:val="16B348F3"/>
    <w:rsid w:val="16BA737C"/>
    <w:rsid w:val="17404D18"/>
    <w:rsid w:val="179E79D9"/>
    <w:rsid w:val="186A5A33"/>
    <w:rsid w:val="18A93AFC"/>
    <w:rsid w:val="18C55A5F"/>
    <w:rsid w:val="18DD5A8A"/>
    <w:rsid w:val="18E4347C"/>
    <w:rsid w:val="19173A91"/>
    <w:rsid w:val="19430B61"/>
    <w:rsid w:val="196B6F54"/>
    <w:rsid w:val="19CD71FA"/>
    <w:rsid w:val="1A0E30EF"/>
    <w:rsid w:val="1A94413A"/>
    <w:rsid w:val="1AC82436"/>
    <w:rsid w:val="1BAA0BEC"/>
    <w:rsid w:val="1BDF6BC8"/>
    <w:rsid w:val="1C535707"/>
    <w:rsid w:val="1C6B78BF"/>
    <w:rsid w:val="1D296E0D"/>
    <w:rsid w:val="1D4F18C5"/>
    <w:rsid w:val="1D5C6857"/>
    <w:rsid w:val="1D9444AE"/>
    <w:rsid w:val="1D9A1CE4"/>
    <w:rsid w:val="1EBF8E91"/>
    <w:rsid w:val="1ED35C04"/>
    <w:rsid w:val="1F406C39"/>
    <w:rsid w:val="1F5275D0"/>
    <w:rsid w:val="1F8F4381"/>
    <w:rsid w:val="1F9F6A6B"/>
    <w:rsid w:val="1FBB68C3"/>
    <w:rsid w:val="1FE92B41"/>
    <w:rsid w:val="20CB7E98"/>
    <w:rsid w:val="222D5CA1"/>
    <w:rsid w:val="235D6114"/>
    <w:rsid w:val="23F46FD7"/>
    <w:rsid w:val="24101808"/>
    <w:rsid w:val="24283899"/>
    <w:rsid w:val="248C4080"/>
    <w:rsid w:val="257C14F2"/>
    <w:rsid w:val="262D6E6F"/>
    <w:rsid w:val="26331263"/>
    <w:rsid w:val="265058AE"/>
    <w:rsid w:val="273B0505"/>
    <w:rsid w:val="277338DD"/>
    <w:rsid w:val="27940858"/>
    <w:rsid w:val="27FF4D71"/>
    <w:rsid w:val="282B56B9"/>
    <w:rsid w:val="28317601"/>
    <w:rsid w:val="28EA1A45"/>
    <w:rsid w:val="294B0B24"/>
    <w:rsid w:val="29581F66"/>
    <w:rsid w:val="29942B89"/>
    <w:rsid w:val="2A14341E"/>
    <w:rsid w:val="2A210B04"/>
    <w:rsid w:val="2A2368F1"/>
    <w:rsid w:val="2A7F945E"/>
    <w:rsid w:val="2A817549"/>
    <w:rsid w:val="2ACD2201"/>
    <w:rsid w:val="2AF467D7"/>
    <w:rsid w:val="2B8F2245"/>
    <w:rsid w:val="2BBE5215"/>
    <w:rsid w:val="2BD8212D"/>
    <w:rsid w:val="2BFDA77C"/>
    <w:rsid w:val="2C66157A"/>
    <w:rsid w:val="2CED406D"/>
    <w:rsid w:val="2CF33CB4"/>
    <w:rsid w:val="2D324D1A"/>
    <w:rsid w:val="2D525A3B"/>
    <w:rsid w:val="2D6319D3"/>
    <w:rsid w:val="2DF126AA"/>
    <w:rsid w:val="2DF91330"/>
    <w:rsid w:val="2EAB4317"/>
    <w:rsid w:val="2EBDC04F"/>
    <w:rsid w:val="2F3274A5"/>
    <w:rsid w:val="2F552ED6"/>
    <w:rsid w:val="2F70357F"/>
    <w:rsid w:val="2FF755DD"/>
    <w:rsid w:val="3052247A"/>
    <w:rsid w:val="3090670D"/>
    <w:rsid w:val="30D4086C"/>
    <w:rsid w:val="312B48AF"/>
    <w:rsid w:val="32A47AB4"/>
    <w:rsid w:val="32AC5D7B"/>
    <w:rsid w:val="32CB27BC"/>
    <w:rsid w:val="32FC75D4"/>
    <w:rsid w:val="33D34794"/>
    <w:rsid w:val="34B42BB5"/>
    <w:rsid w:val="34C73C1C"/>
    <w:rsid w:val="34C957E7"/>
    <w:rsid w:val="36001598"/>
    <w:rsid w:val="360308FA"/>
    <w:rsid w:val="36783E87"/>
    <w:rsid w:val="36870F62"/>
    <w:rsid w:val="369B1CB2"/>
    <w:rsid w:val="369F01D5"/>
    <w:rsid w:val="36AF3103"/>
    <w:rsid w:val="36BF54EC"/>
    <w:rsid w:val="36DC449D"/>
    <w:rsid w:val="36EDA54C"/>
    <w:rsid w:val="372D446F"/>
    <w:rsid w:val="377DC02A"/>
    <w:rsid w:val="37BB122C"/>
    <w:rsid w:val="37E36263"/>
    <w:rsid w:val="37F72B7F"/>
    <w:rsid w:val="38D85C62"/>
    <w:rsid w:val="391FD347"/>
    <w:rsid w:val="3A3949DD"/>
    <w:rsid w:val="3A5F4A38"/>
    <w:rsid w:val="3AE5274E"/>
    <w:rsid w:val="3B3522AA"/>
    <w:rsid w:val="3B3D6F96"/>
    <w:rsid w:val="3B626037"/>
    <w:rsid w:val="3B6A3F8A"/>
    <w:rsid w:val="3BA9E31C"/>
    <w:rsid w:val="3D1F22E5"/>
    <w:rsid w:val="3D997564"/>
    <w:rsid w:val="3DD12550"/>
    <w:rsid w:val="3DFF6BBE"/>
    <w:rsid w:val="3E432DCF"/>
    <w:rsid w:val="3E8E1632"/>
    <w:rsid w:val="3E9FF9E4"/>
    <w:rsid w:val="3EEF2905"/>
    <w:rsid w:val="3EEF87E3"/>
    <w:rsid w:val="3FB5575F"/>
    <w:rsid w:val="3FB57775"/>
    <w:rsid w:val="3FBFEC52"/>
    <w:rsid w:val="3FCE5EC9"/>
    <w:rsid w:val="3FFD6C8D"/>
    <w:rsid w:val="400D7690"/>
    <w:rsid w:val="4069560F"/>
    <w:rsid w:val="415A6585"/>
    <w:rsid w:val="41DC7289"/>
    <w:rsid w:val="41FD2ABB"/>
    <w:rsid w:val="425C18F8"/>
    <w:rsid w:val="4294088C"/>
    <w:rsid w:val="42982F61"/>
    <w:rsid w:val="42A2347D"/>
    <w:rsid w:val="42E77859"/>
    <w:rsid w:val="42EB7271"/>
    <w:rsid w:val="43802285"/>
    <w:rsid w:val="43D2284D"/>
    <w:rsid w:val="43ED42A2"/>
    <w:rsid w:val="44865DC2"/>
    <w:rsid w:val="44A86EA6"/>
    <w:rsid w:val="44FE2B7A"/>
    <w:rsid w:val="452477C4"/>
    <w:rsid w:val="455812EC"/>
    <w:rsid w:val="455851CB"/>
    <w:rsid w:val="45761D23"/>
    <w:rsid w:val="459B16D3"/>
    <w:rsid w:val="462654C2"/>
    <w:rsid w:val="462A15BD"/>
    <w:rsid w:val="465832DB"/>
    <w:rsid w:val="477AA038"/>
    <w:rsid w:val="481D51B8"/>
    <w:rsid w:val="48B40588"/>
    <w:rsid w:val="48D56225"/>
    <w:rsid w:val="49605DAC"/>
    <w:rsid w:val="49FFC2D1"/>
    <w:rsid w:val="4A3F0AC3"/>
    <w:rsid w:val="4AFA2C7B"/>
    <w:rsid w:val="4B404837"/>
    <w:rsid w:val="4B6B11A9"/>
    <w:rsid w:val="4B863FDA"/>
    <w:rsid w:val="4BC23D1C"/>
    <w:rsid w:val="4BDE4024"/>
    <w:rsid w:val="4C907F6D"/>
    <w:rsid w:val="4CAE35BE"/>
    <w:rsid w:val="4CD05CCE"/>
    <w:rsid w:val="4D6E449B"/>
    <w:rsid w:val="4E7F4CED"/>
    <w:rsid w:val="4F7241B1"/>
    <w:rsid w:val="4FFFCD54"/>
    <w:rsid w:val="507D0BBC"/>
    <w:rsid w:val="507E6B2A"/>
    <w:rsid w:val="50A76ECD"/>
    <w:rsid w:val="51290B58"/>
    <w:rsid w:val="51381763"/>
    <w:rsid w:val="515626A1"/>
    <w:rsid w:val="52265F38"/>
    <w:rsid w:val="52BC45A7"/>
    <w:rsid w:val="52EF2BDF"/>
    <w:rsid w:val="53D138E8"/>
    <w:rsid w:val="53FE2BF5"/>
    <w:rsid w:val="543748C0"/>
    <w:rsid w:val="55AC2CD2"/>
    <w:rsid w:val="55B812E3"/>
    <w:rsid w:val="561A2F05"/>
    <w:rsid w:val="563D0083"/>
    <w:rsid w:val="56934204"/>
    <w:rsid w:val="56A7003A"/>
    <w:rsid w:val="56DC53F6"/>
    <w:rsid w:val="56F7792F"/>
    <w:rsid w:val="575D29C4"/>
    <w:rsid w:val="577B4EF8"/>
    <w:rsid w:val="579A41D9"/>
    <w:rsid w:val="57BD0169"/>
    <w:rsid w:val="57E13BCA"/>
    <w:rsid w:val="57F939E1"/>
    <w:rsid w:val="584F0184"/>
    <w:rsid w:val="5864421C"/>
    <w:rsid w:val="58CA26BF"/>
    <w:rsid w:val="5901172B"/>
    <w:rsid w:val="59065CB4"/>
    <w:rsid w:val="596C2DB0"/>
    <w:rsid w:val="59821BED"/>
    <w:rsid w:val="5AB4383C"/>
    <w:rsid w:val="5ABB2895"/>
    <w:rsid w:val="5B3C271A"/>
    <w:rsid w:val="5B9952E7"/>
    <w:rsid w:val="5C5537BA"/>
    <w:rsid w:val="5C694A22"/>
    <w:rsid w:val="5D07484F"/>
    <w:rsid w:val="5D2B49E2"/>
    <w:rsid w:val="5D3C5456"/>
    <w:rsid w:val="5D5BF516"/>
    <w:rsid w:val="5DB84FFC"/>
    <w:rsid w:val="5E39730E"/>
    <w:rsid w:val="5E6F10ED"/>
    <w:rsid w:val="5FE31B11"/>
    <w:rsid w:val="5FF4FC2B"/>
    <w:rsid w:val="5FFBCD3B"/>
    <w:rsid w:val="5FFD34BB"/>
    <w:rsid w:val="5FFE5558"/>
    <w:rsid w:val="6020741B"/>
    <w:rsid w:val="608914CC"/>
    <w:rsid w:val="60C364F2"/>
    <w:rsid w:val="615C16D6"/>
    <w:rsid w:val="61876B95"/>
    <w:rsid w:val="618A3DC3"/>
    <w:rsid w:val="627C5614"/>
    <w:rsid w:val="62B74F26"/>
    <w:rsid w:val="62BA758E"/>
    <w:rsid w:val="62BB6119"/>
    <w:rsid w:val="62DB2B6C"/>
    <w:rsid w:val="634E45C9"/>
    <w:rsid w:val="63683E46"/>
    <w:rsid w:val="63A71F74"/>
    <w:rsid w:val="63AF6478"/>
    <w:rsid w:val="63DDBBBB"/>
    <w:rsid w:val="65A32AFE"/>
    <w:rsid w:val="65C7404D"/>
    <w:rsid w:val="65F17436"/>
    <w:rsid w:val="6609788A"/>
    <w:rsid w:val="66B18282"/>
    <w:rsid w:val="66EE54A9"/>
    <w:rsid w:val="67551304"/>
    <w:rsid w:val="675C7C9C"/>
    <w:rsid w:val="67AB4C59"/>
    <w:rsid w:val="67BDF9D3"/>
    <w:rsid w:val="67C647C0"/>
    <w:rsid w:val="684306E9"/>
    <w:rsid w:val="68723580"/>
    <w:rsid w:val="68994500"/>
    <w:rsid w:val="697F1380"/>
    <w:rsid w:val="699A1F8A"/>
    <w:rsid w:val="69A93917"/>
    <w:rsid w:val="69AC355D"/>
    <w:rsid w:val="69E5B8E5"/>
    <w:rsid w:val="6A4A3BFD"/>
    <w:rsid w:val="6ACA2779"/>
    <w:rsid w:val="6B1029D1"/>
    <w:rsid w:val="6BD9F023"/>
    <w:rsid w:val="6C75429C"/>
    <w:rsid w:val="6C82343C"/>
    <w:rsid w:val="6CD785FD"/>
    <w:rsid w:val="6D8E68B6"/>
    <w:rsid w:val="6DBA7515"/>
    <w:rsid w:val="6DFF3390"/>
    <w:rsid w:val="6E761153"/>
    <w:rsid w:val="6EF36040"/>
    <w:rsid w:val="6EFF2B7B"/>
    <w:rsid w:val="6F493902"/>
    <w:rsid w:val="6FBF7F56"/>
    <w:rsid w:val="6FC06BC3"/>
    <w:rsid w:val="6FEB4FEB"/>
    <w:rsid w:val="6FEF29B3"/>
    <w:rsid w:val="6FF2CBB9"/>
    <w:rsid w:val="6FF658FB"/>
    <w:rsid w:val="70066BB1"/>
    <w:rsid w:val="70157902"/>
    <w:rsid w:val="711A3103"/>
    <w:rsid w:val="711F09A7"/>
    <w:rsid w:val="71D4087A"/>
    <w:rsid w:val="71DDC9F2"/>
    <w:rsid w:val="71E34413"/>
    <w:rsid w:val="71FFC0C1"/>
    <w:rsid w:val="727D4F24"/>
    <w:rsid w:val="72A70FAA"/>
    <w:rsid w:val="73113F43"/>
    <w:rsid w:val="734944D8"/>
    <w:rsid w:val="73B7ADB8"/>
    <w:rsid w:val="740A1865"/>
    <w:rsid w:val="747FFD7A"/>
    <w:rsid w:val="74B54142"/>
    <w:rsid w:val="74E42203"/>
    <w:rsid w:val="75101AA2"/>
    <w:rsid w:val="758650B4"/>
    <w:rsid w:val="75A97E24"/>
    <w:rsid w:val="75DD4904"/>
    <w:rsid w:val="75FA3F3B"/>
    <w:rsid w:val="7652655E"/>
    <w:rsid w:val="76778448"/>
    <w:rsid w:val="77245415"/>
    <w:rsid w:val="77575933"/>
    <w:rsid w:val="7771949D"/>
    <w:rsid w:val="77BF2551"/>
    <w:rsid w:val="77BFD273"/>
    <w:rsid w:val="77EDB0D9"/>
    <w:rsid w:val="782E0A91"/>
    <w:rsid w:val="788D4C3C"/>
    <w:rsid w:val="78EDD24C"/>
    <w:rsid w:val="7922343B"/>
    <w:rsid w:val="7926388B"/>
    <w:rsid w:val="79521C10"/>
    <w:rsid w:val="795E17F1"/>
    <w:rsid w:val="79741999"/>
    <w:rsid w:val="79D42C0A"/>
    <w:rsid w:val="7A727261"/>
    <w:rsid w:val="7A83401C"/>
    <w:rsid w:val="7B204EC5"/>
    <w:rsid w:val="7B7EBDF0"/>
    <w:rsid w:val="7B8E17E2"/>
    <w:rsid w:val="7B93031C"/>
    <w:rsid w:val="7B9FD11C"/>
    <w:rsid w:val="7BBFBDE8"/>
    <w:rsid w:val="7BCC39B7"/>
    <w:rsid w:val="7BEB4051"/>
    <w:rsid w:val="7CDE1835"/>
    <w:rsid w:val="7CFC4664"/>
    <w:rsid w:val="7D4E5235"/>
    <w:rsid w:val="7D7B5896"/>
    <w:rsid w:val="7D7BD595"/>
    <w:rsid w:val="7E6B12CB"/>
    <w:rsid w:val="7E7273D9"/>
    <w:rsid w:val="7E77D991"/>
    <w:rsid w:val="7E7A5DF1"/>
    <w:rsid w:val="7EB151EC"/>
    <w:rsid w:val="7EBDF124"/>
    <w:rsid w:val="7EBF5C24"/>
    <w:rsid w:val="7ED5A2C4"/>
    <w:rsid w:val="7EFB3570"/>
    <w:rsid w:val="7EFF5ED8"/>
    <w:rsid w:val="7F4375B9"/>
    <w:rsid w:val="7F4B6054"/>
    <w:rsid w:val="7F696F3C"/>
    <w:rsid w:val="7F7EA9D2"/>
    <w:rsid w:val="7F824F8C"/>
    <w:rsid w:val="7F9955B4"/>
    <w:rsid w:val="7FB7E12A"/>
    <w:rsid w:val="7FDFE08E"/>
    <w:rsid w:val="7FEB5C58"/>
    <w:rsid w:val="7FF999A7"/>
    <w:rsid w:val="7FFBA9C2"/>
    <w:rsid w:val="7FFBEE05"/>
    <w:rsid w:val="7FFD3163"/>
    <w:rsid w:val="7FFFADCF"/>
    <w:rsid w:val="8FB52647"/>
    <w:rsid w:val="8FD1C878"/>
    <w:rsid w:val="8FEF4A8D"/>
    <w:rsid w:val="971D1DFF"/>
    <w:rsid w:val="97F6179A"/>
    <w:rsid w:val="9AECA37B"/>
    <w:rsid w:val="9BBC560B"/>
    <w:rsid w:val="9DD91B26"/>
    <w:rsid w:val="9F977CEE"/>
    <w:rsid w:val="9FFDD58A"/>
    <w:rsid w:val="A797FD14"/>
    <w:rsid w:val="AAAB3E80"/>
    <w:rsid w:val="AEFF0EDB"/>
    <w:rsid w:val="B6F5E0B7"/>
    <w:rsid w:val="BADD304E"/>
    <w:rsid w:val="BCDB95F6"/>
    <w:rsid w:val="BE749C9D"/>
    <w:rsid w:val="BEB561CE"/>
    <w:rsid w:val="BEB79207"/>
    <w:rsid w:val="BEE77723"/>
    <w:rsid w:val="BEF64A81"/>
    <w:rsid w:val="BFEFC32C"/>
    <w:rsid w:val="C7DED0D6"/>
    <w:rsid w:val="D15AC55A"/>
    <w:rsid w:val="D27B3645"/>
    <w:rsid w:val="D3FB50D6"/>
    <w:rsid w:val="D7E377CF"/>
    <w:rsid w:val="D7EF0BF7"/>
    <w:rsid w:val="DAED115C"/>
    <w:rsid w:val="DB5F406F"/>
    <w:rsid w:val="DBE7F8B4"/>
    <w:rsid w:val="DE3FCB91"/>
    <w:rsid w:val="DEBF1326"/>
    <w:rsid w:val="DEDD909B"/>
    <w:rsid w:val="DEFE8B6C"/>
    <w:rsid w:val="DFBDAD35"/>
    <w:rsid w:val="DFBE8F09"/>
    <w:rsid w:val="DFDF7B42"/>
    <w:rsid w:val="DFF3CC59"/>
    <w:rsid w:val="DFFD93F7"/>
    <w:rsid w:val="DFFE9052"/>
    <w:rsid w:val="E74775F6"/>
    <w:rsid w:val="E7FF1066"/>
    <w:rsid w:val="E9EFB32A"/>
    <w:rsid w:val="EADDC9B6"/>
    <w:rsid w:val="EADEFAB7"/>
    <w:rsid w:val="EB73FA1C"/>
    <w:rsid w:val="EBC9EB1D"/>
    <w:rsid w:val="EBDF4FC7"/>
    <w:rsid w:val="EBFF197F"/>
    <w:rsid w:val="EDFC2E87"/>
    <w:rsid w:val="EF7FFE34"/>
    <w:rsid w:val="EFD629E5"/>
    <w:rsid w:val="EFFB475C"/>
    <w:rsid w:val="F1F9609C"/>
    <w:rsid w:val="F1FFFF88"/>
    <w:rsid w:val="F39947E1"/>
    <w:rsid w:val="F3D71110"/>
    <w:rsid w:val="F3FDFFF2"/>
    <w:rsid w:val="F47A67D3"/>
    <w:rsid w:val="F576167A"/>
    <w:rsid w:val="F5F59530"/>
    <w:rsid w:val="F7A799C3"/>
    <w:rsid w:val="F7FE8233"/>
    <w:rsid w:val="F9EF6DC5"/>
    <w:rsid w:val="F9FF718F"/>
    <w:rsid w:val="FAF94D1D"/>
    <w:rsid w:val="FAFE9232"/>
    <w:rsid w:val="FB8BADB6"/>
    <w:rsid w:val="FBB99A53"/>
    <w:rsid w:val="FDCBE75C"/>
    <w:rsid w:val="FDFF248A"/>
    <w:rsid w:val="FE79B20B"/>
    <w:rsid w:val="FE7F4B05"/>
    <w:rsid w:val="FEEFD47F"/>
    <w:rsid w:val="FEF179B6"/>
    <w:rsid w:val="FF7DD536"/>
    <w:rsid w:val="FF7FFDFB"/>
    <w:rsid w:val="FFBBF062"/>
    <w:rsid w:val="FFBC43AB"/>
    <w:rsid w:val="FFD5D44E"/>
    <w:rsid w:val="FFF3D0AA"/>
    <w:rsid w:val="FFF9648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28"/>
      <w:szCs w:val="22"/>
      <w:lang w:val="en-US" w:eastAsia="zh-CN" w:bidi="ar-SA"/>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numPr>
        <w:ilvl w:val="2"/>
        <w:numId w:val="1"/>
      </w:numPr>
      <w:spacing w:line="560" w:lineRule="exact"/>
      <w:ind w:firstLine="880" w:firstLineChars="200"/>
      <w:outlineLvl w:val="2"/>
    </w:pPr>
    <w:rPr>
      <w:b/>
      <w:bCs/>
      <w:szCs w:val="32"/>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toc 3"/>
    <w:basedOn w:val="1"/>
    <w:next w:val="1"/>
    <w:semiHidden/>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tabs>
        <w:tab w:val="left" w:pos="709"/>
        <w:tab w:val="right" w:leader="dot" w:pos="8296"/>
      </w:tabs>
    </w:pPr>
  </w:style>
  <w:style w:type="paragraph" w:styleId="11">
    <w:name w:val="toc 2"/>
    <w:basedOn w:val="1"/>
    <w:next w:val="1"/>
    <w:unhideWhenUsed/>
    <w:qFormat/>
    <w:uiPriority w:val="39"/>
    <w:pPr>
      <w:ind w:left="420" w:leftChars="200"/>
    </w:pPr>
  </w:style>
  <w:style w:type="paragraph" w:styleId="12">
    <w:name w:val="Normal (Web)"/>
    <w:basedOn w:val="1"/>
    <w:unhideWhenUsed/>
    <w:qFormat/>
    <w:uiPriority w:val="99"/>
    <w:pPr>
      <w:spacing w:before="100" w:beforeAutospacing="1" w:after="100" w:afterAutospacing="1"/>
      <w:jc w:val="left"/>
    </w:pPr>
    <w:rPr>
      <w:rFonts w:cs="Times New Roman"/>
      <w:kern w:val="0"/>
      <w:sz w:val="24"/>
    </w:rPr>
  </w:style>
  <w:style w:type="table" w:styleId="14">
    <w:name w:val="Table Grid"/>
    <w:basedOn w:val="1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20"/>
    <w:rPr>
      <w:i/>
    </w:rPr>
  </w:style>
  <w:style w:type="character" w:styleId="17">
    <w:name w:val="Hyperlink"/>
    <w:unhideWhenUsed/>
    <w:qFormat/>
    <w:uiPriority w:val="99"/>
    <w:rPr>
      <w:color w:val="4D4D4D"/>
      <w:u w:val="none"/>
    </w:rPr>
  </w:style>
  <w:style w:type="character" w:styleId="18">
    <w:name w:val="annotation reference"/>
    <w:basedOn w:val="15"/>
    <w:semiHidden/>
    <w:unhideWhenUsed/>
    <w:qFormat/>
    <w:uiPriority w:val="99"/>
    <w:rPr>
      <w:sz w:val="21"/>
      <w:szCs w:val="21"/>
    </w:rPr>
  </w:style>
  <w:style w:type="character" w:customStyle="1" w:styleId="19">
    <w:name w:val="页眉 字符"/>
    <w:basedOn w:val="15"/>
    <w:link w:val="9"/>
    <w:qFormat/>
    <w:uiPriority w:val="99"/>
    <w:rPr>
      <w:sz w:val="18"/>
      <w:szCs w:val="18"/>
    </w:rPr>
  </w:style>
  <w:style w:type="character" w:customStyle="1" w:styleId="20">
    <w:name w:val="页脚 字符"/>
    <w:basedOn w:val="15"/>
    <w:link w:val="8"/>
    <w:qFormat/>
    <w:uiPriority w:val="99"/>
    <w:rPr>
      <w:sz w:val="18"/>
      <w:szCs w:val="18"/>
    </w:rPr>
  </w:style>
  <w:style w:type="character" w:customStyle="1" w:styleId="21">
    <w:name w:val="font11"/>
    <w:basedOn w:val="15"/>
    <w:qFormat/>
    <w:uiPriority w:val="0"/>
    <w:rPr>
      <w:rFonts w:hint="eastAsia" w:ascii="宋体" w:hAnsi="宋体" w:eastAsia="宋体" w:cs="宋体"/>
      <w:color w:val="000000"/>
      <w:sz w:val="21"/>
      <w:szCs w:val="21"/>
      <w:u w:val="none"/>
    </w:rPr>
  </w:style>
  <w:style w:type="character" w:customStyle="1" w:styleId="22">
    <w:name w:val="font01"/>
    <w:basedOn w:val="15"/>
    <w:qFormat/>
    <w:uiPriority w:val="0"/>
    <w:rPr>
      <w:rFonts w:hint="default" w:ascii="Calibri" w:hAnsi="Calibri" w:cs="Calibri"/>
      <w:color w:val="000000"/>
      <w:sz w:val="21"/>
      <w:szCs w:val="21"/>
      <w:u w:val="none"/>
    </w:rPr>
  </w:style>
  <w:style w:type="character" w:customStyle="1" w:styleId="23">
    <w:name w:val="font71"/>
    <w:basedOn w:val="15"/>
    <w:qFormat/>
    <w:uiPriority w:val="0"/>
    <w:rPr>
      <w:rFonts w:hint="eastAsia" w:ascii="仿宋" w:hAnsi="仿宋" w:eastAsia="仿宋" w:cs="仿宋"/>
      <w:b/>
      <w:color w:val="000000"/>
      <w:sz w:val="24"/>
      <w:szCs w:val="24"/>
      <w:u w:val="none"/>
    </w:rPr>
  </w:style>
  <w:style w:type="character" w:customStyle="1" w:styleId="24">
    <w:name w:val="font51"/>
    <w:basedOn w:val="15"/>
    <w:qFormat/>
    <w:uiPriority w:val="0"/>
    <w:rPr>
      <w:rFonts w:hint="eastAsia" w:ascii="仿宋" w:hAnsi="仿宋" w:eastAsia="仿宋" w:cs="仿宋"/>
      <w:color w:val="000000"/>
      <w:sz w:val="24"/>
      <w:szCs w:val="24"/>
      <w:u w:val="none"/>
    </w:rPr>
  </w:style>
  <w:style w:type="character" w:customStyle="1" w:styleId="25">
    <w:name w:val="font31"/>
    <w:basedOn w:val="15"/>
    <w:qFormat/>
    <w:uiPriority w:val="0"/>
    <w:rPr>
      <w:rFonts w:hint="eastAsia" w:ascii="宋体" w:hAnsi="宋体" w:eastAsia="宋体" w:cs="宋体"/>
      <w:b/>
      <w:color w:val="000000"/>
      <w:sz w:val="22"/>
      <w:szCs w:val="22"/>
      <w:u w:val="none"/>
    </w:rPr>
  </w:style>
  <w:style w:type="character" w:customStyle="1" w:styleId="26">
    <w:name w:val="font21"/>
    <w:basedOn w:val="15"/>
    <w:qFormat/>
    <w:uiPriority w:val="0"/>
    <w:rPr>
      <w:rFonts w:hint="eastAsia" w:ascii="宋体" w:hAnsi="宋体" w:eastAsia="宋体" w:cs="宋体"/>
      <w:color w:val="000000"/>
      <w:sz w:val="20"/>
      <w:szCs w:val="20"/>
      <w:u w:val="none"/>
    </w:rPr>
  </w:style>
  <w:style w:type="character" w:customStyle="1" w:styleId="27">
    <w:name w:val="font41"/>
    <w:basedOn w:val="15"/>
    <w:qFormat/>
    <w:uiPriority w:val="0"/>
    <w:rPr>
      <w:rFonts w:hint="default" w:ascii="Times New Roman" w:hAnsi="Times New Roman" w:cs="Times New Roman"/>
      <w:b/>
      <w:color w:val="000000"/>
      <w:sz w:val="20"/>
      <w:szCs w:val="20"/>
      <w:u w:val="none"/>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0">
    <w:name w:val="修订1"/>
    <w:hidden/>
    <w:semiHidden/>
    <w:qFormat/>
    <w:uiPriority w:val="99"/>
    <w:rPr>
      <w:rFonts w:eastAsia="仿宋_GB2312" w:asciiTheme="minorHAnsi" w:hAnsiTheme="minorHAnsi" w:cstheme="minorBidi"/>
      <w:kern w:val="2"/>
      <w:sz w:val="28"/>
      <w:szCs w:val="22"/>
      <w:lang w:val="en-US" w:eastAsia="zh-CN" w:bidi="ar-SA"/>
    </w:rPr>
  </w:style>
  <w:style w:type="paragraph" w:customStyle="1" w:styleId="31">
    <w:name w:val="修订2"/>
    <w:hidden/>
    <w:unhideWhenUsed/>
    <w:qFormat/>
    <w:uiPriority w:val="99"/>
    <w:rPr>
      <w:rFonts w:eastAsia="仿宋_GB2312" w:asciiTheme="minorHAnsi" w:hAnsiTheme="minorHAnsi" w:cstheme="minorBidi"/>
      <w:kern w:val="2"/>
      <w:sz w:val="28"/>
      <w:szCs w:val="22"/>
      <w:lang w:val="en-US" w:eastAsia="zh-CN" w:bidi="ar-SA"/>
    </w:rPr>
  </w:style>
  <w:style w:type="character" w:customStyle="1" w:styleId="32">
    <w:name w:val="标题 2 字符"/>
    <w:basedOn w:val="15"/>
    <w:link w:val="3"/>
    <w:qFormat/>
    <w:uiPriority w:val="9"/>
    <w:rPr>
      <w:rFonts w:asciiTheme="majorHAnsi" w:hAnsiTheme="majorHAnsi" w:eastAsiaTheme="majorEastAsia" w:cstheme="majorBidi"/>
      <w:b/>
      <w:bCs/>
      <w:kern w:val="2"/>
      <w:sz w:val="32"/>
      <w:szCs w:val="32"/>
    </w:rPr>
  </w:style>
  <w:style w:type="paragraph" w:customStyle="1" w:styleId="33">
    <w:name w:val="修订3"/>
    <w:hidden/>
    <w:unhideWhenUsed/>
    <w:qFormat/>
    <w:uiPriority w:val="99"/>
    <w:rPr>
      <w:rFonts w:eastAsia="仿宋_GB2312" w:asciiTheme="minorHAnsi" w:hAnsiTheme="minorHAnsi" w:cstheme="minorBidi"/>
      <w:kern w:val="2"/>
      <w:sz w:val="28"/>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2075</Words>
  <Characters>2250</Characters>
  <Lines>50</Lines>
  <Paragraphs>14</Paragraphs>
  <TotalTime>0</TotalTime>
  <ScaleCrop>false</ScaleCrop>
  <LinksUpToDate>false</LinksUpToDate>
  <CharactersWithSpaces>2267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2020-04-07T07:49:00Z</dcterms:created>
  <dc:creator>ZC</dc:creator>
  <cp:lastModifiedBy>李国宝</cp:lastModifiedBy>
  <dcterms:modified xsi:type="dcterms:W3CDTF">2025-01-08T01:32:06Z</dcterms:modified>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