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7DFB3">
      <w:pPr>
        <w:snapToGrid w:val="0"/>
        <w:spacing w:line="360" w:lineRule="auto"/>
        <w:jc w:val="center"/>
        <w:rPr>
          <w:rFonts w:hint="eastAsia" w:eastAsia="黑体"/>
          <w:color w:val="000000"/>
          <w:sz w:val="32"/>
          <w:szCs w:val="32"/>
        </w:rPr>
      </w:pPr>
      <w:r>
        <w:rPr>
          <w:rFonts w:hint="eastAsia" w:eastAsia="方正小标宋简体"/>
          <w:bCs/>
          <w:color w:val="000000" w:themeColor="text1"/>
          <w:sz w:val="44"/>
          <w:szCs w:val="44"/>
          <w:lang w:val="en-US" w:eastAsia="zh-CN"/>
          <w14:textFill>
            <w14:solidFill>
              <w14:schemeClr w14:val="tx1"/>
            </w14:solidFill>
          </w14:textFill>
        </w:rPr>
        <w:t>稻城</w:t>
      </w:r>
      <w:r>
        <w:rPr>
          <w:rFonts w:hint="eastAsia" w:eastAsia="方正小标宋简体"/>
          <w:bCs/>
          <w:color w:val="000000" w:themeColor="text1"/>
          <w:sz w:val="44"/>
          <w:szCs w:val="44"/>
          <w14:textFill>
            <w14:solidFill>
              <w14:schemeClr w14:val="tx1"/>
            </w14:solidFill>
          </w14:textFill>
        </w:rPr>
        <w:t>县</w:t>
      </w:r>
      <w:r>
        <w:rPr>
          <w:rFonts w:hint="eastAsia" w:ascii="方正小标宋简体" w:hAnsi="方正小标宋简体" w:eastAsia="方正小标宋简体" w:cs="方正小标宋简体"/>
          <w:color w:val="auto"/>
          <w:sz w:val="44"/>
          <w:szCs w:val="44"/>
          <w:highlight w:val="none"/>
        </w:rPr>
        <w:t>烟草制品零售点合理布局</w:t>
      </w:r>
      <w:r>
        <w:rPr>
          <w:rFonts w:hint="eastAsia" w:ascii="方正小标宋简体" w:hAnsi="方正小标宋简体" w:eastAsia="方正小标宋简体" w:cs="方正小标宋简体"/>
          <w:color w:val="auto"/>
          <w:sz w:val="44"/>
          <w:szCs w:val="44"/>
          <w:highlight w:val="none"/>
          <w:lang w:eastAsia="zh-CN"/>
        </w:rPr>
        <w:t>规定</w:t>
      </w:r>
    </w:p>
    <w:p w14:paraId="24516D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第一章  总则</w:t>
      </w:r>
    </w:p>
    <w:p w14:paraId="7F1040BA">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第一条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加强烟草专卖零售许可证管理，规范烟草制品流通秩序，促进烟草市场健康发展，保障国家利益，维护经营者、消费者和未成年人的合法权益，根据《中华人民共和国行政许可法》《中华人民共和国未成年人保护法》《中华人民共和国烟草专卖法》及其实施条例和《烟草专卖许可证管理办法》等法律法规和规章规定，结合辖区实际，制定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w:t>
      </w:r>
    </w:p>
    <w:p w14:paraId="1BB55A4E">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适用于</w:t>
      </w:r>
      <w:r>
        <w:rPr>
          <w:rFonts w:hint="eastAsia" w:ascii="方正仿宋_GBK" w:hAnsi="方正仿宋_GBK" w:eastAsia="方正仿宋_GBK" w:cs="方正仿宋_GBK"/>
          <w:sz w:val="32"/>
          <w:szCs w:val="32"/>
          <w:lang w:val="en-US" w:eastAsia="zh-CN"/>
        </w:rPr>
        <w:t>稻城</w:t>
      </w:r>
      <w:r>
        <w:rPr>
          <w:rFonts w:hint="eastAsia" w:ascii="方正仿宋_GBK" w:hAnsi="方正仿宋_GBK" w:eastAsia="方正仿宋_GBK" w:cs="方正仿宋_GBK"/>
          <w:sz w:val="32"/>
          <w:szCs w:val="32"/>
        </w:rPr>
        <w:t>县行政区域范围内烟草制品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不含电子烟）</w:t>
      </w:r>
      <w:r>
        <w:rPr>
          <w:rFonts w:hint="eastAsia" w:ascii="方正仿宋_GBK" w:hAnsi="方正仿宋_GBK" w:eastAsia="方正仿宋_GBK" w:cs="方正仿宋_GBK"/>
          <w:sz w:val="32"/>
          <w:szCs w:val="32"/>
        </w:rPr>
        <w:t>零售点的布局</w:t>
      </w:r>
      <w:r>
        <w:rPr>
          <w:rFonts w:hint="eastAsia" w:ascii="方正仿宋_GBK" w:hAnsi="方正仿宋_GBK" w:eastAsia="方正仿宋_GBK" w:cs="方正仿宋_GBK"/>
          <w:sz w:val="32"/>
          <w:szCs w:val="28"/>
        </w:rPr>
        <w:t>。</w:t>
      </w:r>
    </w:p>
    <w:p w14:paraId="0794497E">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第三条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28"/>
        </w:rPr>
        <w:t>烟草制品零售点布局应当遵循合法合规、满足需求、公开便民和“</w:t>
      </w:r>
      <w:r>
        <w:rPr>
          <w:rFonts w:hint="eastAsia" w:ascii="方正仿宋_GBK" w:hAnsi="方正仿宋_GBK" w:eastAsia="方正仿宋_GBK" w:cs="方正仿宋_GBK"/>
          <w:sz w:val="32"/>
          <w:szCs w:val="28"/>
          <w:lang w:val="en-US" w:eastAsia="zh-CN"/>
        </w:rPr>
        <w:t>一证一址</w:t>
      </w:r>
      <w:r>
        <w:rPr>
          <w:rFonts w:hint="eastAsia" w:ascii="方正仿宋_GBK" w:hAnsi="方正仿宋_GBK" w:eastAsia="方正仿宋_GBK" w:cs="方正仿宋_GBK"/>
          <w:sz w:val="32"/>
          <w:szCs w:val="28"/>
        </w:rPr>
        <w:t>”原则。</w:t>
      </w:r>
      <w:r>
        <w:rPr>
          <w:rFonts w:hint="eastAsia" w:ascii="方正仿宋_GBK" w:hAnsi="方正仿宋_GBK" w:eastAsia="方正仿宋_GBK" w:cs="方正仿宋_GBK"/>
          <w:sz w:val="32"/>
          <w:szCs w:val="28"/>
          <w:lang w:eastAsia="zh-CN"/>
        </w:rPr>
        <w:t>稻城县</w:t>
      </w:r>
      <w:r>
        <w:rPr>
          <w:rFonts w:hint="eastAsia" w:ascii="方正仿宋_GBK" w:hAnsi="方正仿宋_GBK" w:eastAsia="方正仿宋_GBK" w:cs="方正仿宋_GBK"/>
          <w:sz w:val="32"/>
          <w:szCs w:val="28"/>
        </w:rPr>
        <w:t>烟草专卖局根据人口状况、地理交通条件、经济发展水平、消费能力、城建规划和现有零售点等因素有计划、有步骤地设置烟草制品零售点，并对其进行合理布局，实行动态管理。区域内零售点数量已达到容量限制的不再增设零售点。</w:t>
      </w:r>
    </w:p>
    <w:p w14:paraId="081017B2">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第四条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所称烟草制品零售点（以下简称零售点）是指经申请人申请，依法取得烟草专卖零售许可证，从事烟草制品零售业务的经营场所。</w:t>
      </w:r>
    </w:p>
    <w:p w14:paraId="7996A393">
      <w:pPr>
        <w:spacing w:line="360" w:lineRule="auto"/>
        <w:jc w:val="center"/>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第二章  布局</w:t>
      </w:r>
      <w:r>
        <w:rPr>
          <w:rFonts w:hint="eastAsia" w:ascii="方正黑体_GBK" w:hAnsi="方正黑体_GBK" w:eastAsia="方正黑体_GBK" w:cs="方正黑体_GBK"/>
          <w:color w:val="000000" w:themeColor="text1"/>
          <w:sz w:val="32"/>
          <w:szCs w:val="32"/>
          <w:lang w:eastAsia="zh-CN"/>
          <w14:textFill>
            <w14:solidFill>
              <w14:schemeClr w14:val="tx1"/>
            </w14:solidFill>
          </w14:textFill>
        </w:rPr>
        <w:t>规划</w:t>
      </w:r>
      <w:r>
        <w:rPr>
          <w:rFonts w:hint="eastAsia" w:ascii="方正黑体_GBK" w:hAnsi="方正黑体_GBK" w:eastAsia="方正黑体_GBK" w:cs="方正黑体_GBK"/>
          <w:color w:val="000000" w:themeColor="text1"/>
          <w:sz w:val="32"/>
          <w:szCs w:val="32"/>
          <w14:textFill>
            <w14:solidFill>
              <w14:schemeClr w14:val="tx1"/>
            </w14:solidFill>
          </w14:textFill>
        </w:rPr>
        <w:t>标准</w:t>
      </w:r>
    </w:p>
    <w:p w14:paraId="5D183E87">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第五条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对人口密度较大、居住相对集中、交通便利的城镇区域，根据功能区域划分、繁华程度、消费能力大小，按照以下标准进行布局</w:t>
      </w:r>
      <w:r>
        <w:rPr>
          <w:rFonts w:hint="eastAsia" w:ascii="方正仿宋_GBK" w:hAnsi="方正仿宋_GBK" w:eastAsia="方正仿宋_GBK" w:cs="方正仿宋_GBK"/>
          <w:sz w:val="32"/>
          <w:szCs w:val="32"/>
          <w:lang w:val="en-US" w:eastAsia="zh-CN"/>
        </w:rPr>
        <w:t>：</w:t>
      </w:r>
    </w:p>
    <w:p w14:paraId="7830BBCF">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eastAsia="zh-CN"/>
        </w:rPr>
        <w:t>稻城县</w:t>
      </w:r>
      <w:r>
        <w:rPr>
          <w:rFonts w:hint="eastAsia" w:ascii="方正仿宋_GBK" w:hAnsi="方正仿宋_GBK" w:eastAsia="方正仿宋_GBK" w:cs="方正仿宋_GBK"/>
          <w:sz w:val="32"/>
          <w:szCs w:val="32"/>
          <w:lang w:val="en-US" w:eastAsia="zh-CN"/>
        </w:rPr>
        <w:t>德西社区</w:t>
      </w:r>
      <w:r>
        <w:rPr>
          <w:rFonts w:hint="eastAsia" w:ascii="方正仿宋_GBK" w:hAnsi="方正仿宋_GBK" w:eastAsia="方正仿宋_GBK" w:cs="方正仿宋_GBK"/>
          <w:sz w:val="32"/>
          <w:szCs w:val="32"/>
        </w:rPr>
        <w:t>所辖区域设置零售点</w:t>
      </w:r>
      <w:r>
        <w:rPr>
          <w:rFonts w:hint="eastAsia" w:ascii="方正仿宋_GBK" w:hAnsi="方正仿宋_GBK" w:eastAsia="方正仿宋_GBK" w:cs="方正仿宋_GBK"/>
          <w:sz w:val="32"/>
          <w:szCs w:val="32"/>
          <w:lang w:val="en-US" w:eastAsia="zh-CN"/>
        </w:rPr>
        <w:t>21个</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新办零售点与现有零售点</w:t>
      </w:r>
      <w:r>
        <w:rPr>
          <w:rFonts w:hint="eastAsia" w:ascii="方正仿宋_GBK" w:hAnsi="方正仿宋_GBK" w:eastAsia="方正仿宋_GBK" w:cs="方正仿宋_GBK"/>
          <w:color w:val="000000"/>
          <w:sz w:val="32"/>
          <w:szCs w:val="30"/>
        </w:rPr>
        <w:t>间距</w:t>
      </w:r>
      <w:r>
        <w:rPr>
          <w:rFonts w:hint="eastAsia" w:ascii="方正仿宋_GBK" w:hAnsi="方正仿宋_GBK" w:eastAsia="方正仿宋_GBK" w:cs="方正仿宋_GBK"/>
          <w:sz w:val="32"/>
          <w:szCs w:val="32"/>
          <w:lang w:eastAsia="zh-CN"/>
        </w:rPr>
        <w:t>同侧不少于</w:t>
      </w:r>
      <w:r>
        <w:rPr>
          <w:rFonts w:hint="eastAsia" w:ascii="方正仿宋_GBK" w:hAnsi="方正仿宋_GBK" w:eastAsia="方正仿宋_GBK" w:cs="方正仿宋_GBK"/>
          <w:sz w:val="32"/>
          <w:szCs w:val="32"/>
          <w:lang w:val="en-US" w:eastAsia="zh-CN"/>
        </w:rPr>
        <w:t>30米、异侧不少于40米</w:t>
      </w:r>
      <w:r>
        <w:rPr>
          <w:rFonts w:hint="eastAsia" w:ascii="方正仿宋_GBK" w:hAnsi="方正仿宋_GBK" w:eastAsia="方正仿宋_GBK" w:cs="方正仿宋_GBK"/>
          <w:sz w:val="32"/>
          <w:szCs w:val="32"/>
        </w:rPr>
        <w:t>。</w:t>
      </w:r>
    </w:p>
    <w:p w14:paraId="6E8C00CA">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eastAsia="zh-CN"/>
        </w:rPr>
        <w:t>稻城县</w:t>
      </w:r>
      <w:r>
        <w:rPr>
          <w:rFonts w:hint="eastAsia" w:ascii="方正仿宋_GBK" w:hAnsi="方正仿宋_GBK" w:eastAsia="方正仿宋_GBK" w:cs="方正仿宋_GBK"/>
          <w:sz w:val="32"/>
          <w:szCs w:val="32"/>
          <w:lang w:val="en-US" w:eastAsia="zh-CN"/>
        </w:rPr>
        <w:t>贡巴社区</w:t>
      </w:r>
      <w:r>
        <w:rPr>
          <w:rFonts w:hint="eastAsia" w:ascii="方正仿宋_GBK" w:hAnsi="方正仿宋_GBK" w:eastAsia="方正仿宋_GBK" w:cs="方正仿宋_GBK"/>
          <w:sz w:val="32"/>
          <w:szCs w:val="32"/>
        </w:rPr>
        <w:t>所辖区域设置零售点</w:t>
      </w:r>
      <w:r>
        <w:rPr>
          <w:rFonts w:hint="eastAsia" w:ascii="方正仿宋_GBK" w:hAnsi="方正仿宋_GBK" w:eastAsia="方正仿宋_GBK" w:cs="方正仿宋_GBK"/>
          <w:sz w:val="32"/>
          <w:szCs w:val="32"/>
          <w:lang w:val="en-US" w:eastAsia="zh-CN"/>
        </w:rPr>
        <w:t>19个</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新办零售点与现有零售点</w:t>
      </w:r>
      <w:r>
        <w:rPr>
          <w:rFonts w:hint="eastAsia" w:ascii="方正仿宋_GBK" w:hAnsi="方正仿宋_GBK" w:eastAsia="方正仿宋_GBK" w:cs="方正仿宋_GBK"/>
          <w:color w:val="000000"/>
          <w:sz w:val="32"/>
          <w:szCs w:val="30"/>
        </w:rPr>
        <w:t>间距</w:t>
      </w:r>
      <w:r>
        <w:rPr>
          <w:rFonts w:hint="eastAsia" w:ascii="方正仿宋_GBK" w:hAnsi="方正仿宋_GBK" w:eastAsia="方正仿宋_GBK" w:cs="方正仿宋_GBK"/>
          <w:sz w:val="32"/>
          <w:szCs w:val="32"/>
          <w:lang w:eastAsia="zh-CN"/>
        </w:rPr>
        <w:t>同侧不少于</w:t>
      </w:r>
      <w:r>
        <w:rPr>
          <w:rFonts w:hint="eastAsia" w:ascii="方正仿宋_GBK" w:hAnsi="方正仿宋_GBK" w:eastAsia="方正仿宋_GBK" w:cs="方正仿宋_GBK"/>
          <w:sz w:val="32"/>
          <w:szCs w:val="32"/>
          <w:lang w:val="en-US" w:eastAsia="zh-CN"/>
        </w:rPr>
        <w:t>30米、异侧不少于40米</w:t>
      </w:r>
      <w:r>
        <w:rPr>
          <w:rFonts w:hint="eastAsia" w:ascii="方正仿宋_GBK" w:hAnsi="方正仿宋_GBK" w:eastAsia="方正仿宋_GBK" w:cs="方正仿宋_GBK"/>
          <w:sz w:val="32"/>
          <w:szCs w:val="32"/>
        </w:rPr>
        <w:t>。</w:t>
      </w:r>
    </w:p>
    <w:p w14:paraId="366CE6B7">
      <w:pPr>
        <w:spacing w:line="360"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eastAsia="zh-CN"/>
        </w:rPr>
        <w:t>稻城县</w:t>
      </w:r>
      <w:r>
        <w:rPr>
          <w:rFonts w:hint="eastAsia" w:ascii="方正仿宋_GBK" w:hAnsi="方正仿宋_GBK" w:eastAsia="方正仿宋_GBK" w:cs="方正仿宋_GBK"/>
          <w:sz w:val="32"/>
          <w:szCs w:val="32"/>
          <w:lang w:val="en-US" w:eastAsia="zh-CN"/>
        </w:rPr>
        <w:t>子洛村</w:t>
      </w:r>
      <w:r>
        <w:rPr>
          <w:rFonts w:hint="eastAsia" w:ascii="方正仿宋_GBK" w:hAnsi="方正仿宋_GBK" w:eastAsia="方正仿宋_GBK" w:cs="方正仿宋_GBK"/>
          <w:sz w:val="32"/>
          <w:szCs w:val="32"/>
        </w:rPr>
        <w:t>所辖区域设置零售点</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个</w:t>
      </w:r>
      <w:r>
        <w:rPr>
          <w:rFonts w:hint="eastAsia" w:ascii="方正仿宋_GBK" w:hAnsi="方正仿宋_GBK" w:eastAsia="方正仿宋_GBK" w:cs="方正仿宋_GBK"/>
          <w:sz w:val="32"/>
          <w:szCs w:val="32"/>
          <w:lang w:eastAsia="zh-CN"/>
        </w:rPr>
        <w:t>，新办零售点与现有零售点</w:t>
      </w:r>
      <w:r>
        <w:rPr>
          <w:rFonts w:hint="eastAsia" w:ascii="方正仿宋_GBK" w:hAnsi="方正仿宋_GBK" w:eastAsia="方正仿宋_GBK" w:cs="方正仿宋_GBK"/>
          <w:sz w:val="32"/>
          <w:szCs w:val="32"/>
          <w:lang w:val="en-US" w:eastAsia="zh-CN"/>
        </w:rPr>
        <w:t>间距</w:t>
      </w:r>
      <w:r>
        <w:rPr>
          <w:rFonts w:hint="eastAsia" w:ascii="方正仿宋_GBK" w:hAnsi="方正仿宋_GBK" w:eastAsia="方正仿宋_GBK" w:cs="方正仿宋_GBK"/>
          <w:sz w:val="32"/>
          <w:szCs w:val="32"/>
          <w:lang w:eastAsia="zh-CN"/>
        </w:rPr>
        <w:t>同侧不少于</w:t>
      </w:r>
      <w:r>
        <w:rPr>
          <w:rFonts w:hint="eastAsia" w:ascii="方正仿宋_GBK" w:hAnsi="方正仿宋_GBK" w:eastAsia="方正仿宋_GBK" w:cs="方正仿宋_GBK"/>
          <w:sz w:val="32"/>
          <w:szCs w:val="32"/>
          <w:lang w:val="en-US" w:eastAsia="zh-CN"/>
        </w:rPr>
        <w:t>30米、异侧不少于40米</w:t>
      </w:r>
      <w:r>
        <w:rPr>
          <w:rFonts w:hint="eastAsia" w:ascii="方正仿宋_GBK" w:hAnsi="方正仿宋_GBK" w:eastAsia="方正仿宋_GBK" w:cs="方正仿宋_GBK"/>
          <w:sz w:val="32"/>
          <w:szCs w:val="32"/>
          <w:lang w:eastAsia="zh-CN"/>
        </w:rPr>
        <w:t>。</w:t>
      </w:r>
    </w:p>
    <w:p w14:paraId="0B8D328D">
      <w:pPr>
        <w:spacing w:line="360" w:lineRule="auto"/>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稻城县</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上茹布村</w:t>
      </w:r>
      <w:r>
        <w:rPr>
          <w:rFonts w:hint="eastAsia" w:ascii="方正仿宋_GBK" w:hAnsi="方正仿宋_GBK" w:eastAsia="方正仿宋_GBK" w:cs="方正仿宋_GBK"/>
          <w:color w:val="000000" w:themeColor="text1"/>
          <w:sz w:val="32"/>
          <w:szCs w:val="32"/>
          <w14:textFill>
            <w14:solidFill>
              <w14:schemeClr w14:val="tx1"/>
            </w14:solidFill>
          </w14:textFill>
        </w:rPr>
        <w:t>所辖区域设置零售点</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z w:val="32"/>
          <w:szCs w:val="32"/>
          <w14:textFill>
            <w14:solidFill>
              <w14:schemeClr w14:val="tx1"/>
            </w14:solidFill>
          </w14:textFill>
        </w:rPr>
        <w:t>个</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，新办零售点与现有零售点</w:t>
      </w:r>
      <w:r>
        <w:rPr>
          <w:rFonts w:hint="eastAsia" w:ascii="方正仿宋_GBK" w:hAnsi="方正仿宋_GBK" w:eastAsia="方正仿宋_GBK" w:cs="方正仿宋_GBK"/>
          <w:color w:val="000000" w:themeColor="text1"/>
          <w:sz w:val="32"/>
          <w:szCs w:val="30"/>
          <w14:textFill>
            <w14:solidFill>
              <w14:schemeClr w14:val="tx1"/>
            </w14:solidFill>
          </w14:textFill>
        </w:rPr>
        <w:t>间距</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同侧不少于</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30米、异侧不少于40米</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14:paraId="334AFCD7">
      <w:pPr>
        <w:spacing w:line="360" w:lineRule="auto"/>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color w:val="000000" w:themeColor="text1"/>
          <w:kern w:val="2"/>
          <w:sz w:val="32"/>
          <w:szCs w:val="22"/>
          <w:lang w:eastAsia="zh-TW" w:bidi="ar-SA"/>
          <w14:textFill>
            <w14:solidFill>
              <w14:schemeClr w14:val="tx1"/>
            </w14:solidFill>
          </w14:textFill>
        </w:rPr>
        <w:t>其余每个行政村设置1个零售点</w:t>
      </w:r>
      <w:r>
        <w:rPr>
          <w:rFonts w:hint="eastAsia" w:ascii="方正仿宋_GBK" w:hAnsi="方正仿宋_GBK" w:eastAsia="方正仿宋_GBK" w:cs="方正仿宋_GBK"/>
          <w:color w:val="000000" w:themeColor="text1"/>
          <w:kern w:val="2"/>
          <w:sz w:val="32"/>
          <w:szCs w:val="22"/>
          <w:lang w:eastAsia="zh-CN" w:bidi="ar-SA"/>
          <w14:textFill>
            <w14:solidFill>
              <w14:schemeClr w14:val="tx1"/>
            </w14:solidFill>
          </w14:textFill>
        </w:rPr>
        <w:t>。</w:t>
      </w:r>
    </w:p>
    <w:p w14:paraId="7DA1CE1B">
      <w:pPr>
        <w:spacing w:line="360" w:lineRule="auto"/>
        <w:ind w:firstLine="643"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第六条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农村区域零售点设置，根据区域面积大小、人口数量、居住分散程度、交通状况等因素综合考虑，并按以下标准进行布局</w:t>
      </w:r>
      <w:r>
        <w:rPr>
          <w:rFonts w:hint="eastAsia" w:ascii="方正仿宋_GBK" w:hAnsi="方正仿宋_GBK" w:eastAsia="方正仿宋_GBK" w:cs="方正仿宋_GBK"/>
          <w:sz w:val="32"/>
          <w:szCs w:val="32"/>
          <w:lang w:eastAsia="zh-CN"/>
        </w:rPr>
        <w:t>。</w:t>
      </w:r>
    </w:p>
    <w:p w14:paraId="774BDBD1">
      <w:pPr>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香格里拉</w:t>
      </w:r>
      <w:r>
        <w:rPr>
          <w:rFonts w:hint="eastAsia" w:ascii="方正仿宋_GBK" w:hAnsi="方正仿宋_GBK" w:eastAsia="方正仿宋_GBK" w:cs="方正仿宋_GBK"/>
          <w:sz w:val="32"/>
          <w:szCs w:val="32"/>
        </w:rPr>
        <w:t>镇</w:t>
      </w:r>
      <w:r>
        <w:rPr>
          <w:rFonts w:hint="eastAsia" w:ascii="方正仿宋_GBK" w:hAnsi="方正仿宋_GBK" w:eastAsia="方正仿宋_GBK" w:cs="方正仿宋_GBK"/>
          <w:sz w:val="32"/>
          <w:szCs w:val="32"/>
          <w:lang w:val="en-US" w:eastAsia="zh-CN"/>
        </w:rPr>
        <w:t>为重镇，呷拥社区22户、仁村4户、亚丁村5户、热光村3户、格村1户，除以上行政村以外，其余每个行政村设置1个零售点。</w:t>
      </w:r>
    </w:p>
    <w:p w14:paraId="53C0F8BA">
      <w:pPr>
        <w:spacing w:line="360" w:lineRule="auto"/>
        <w:ind w:firstLine="420" w:firstLineChars="200"/>
        <w:jc w:val="both"/>
        <w:rPr>
          <w:rFonts w:hint="eastAsia" w:ascii="方正仿宋_GBK" w:hAnsi="方正仿宋_GBK" w:eastAsia="方正仿宋_GBK" w:cs="方正仿宋_GBK"/>
          <w:color w:val="000000"/>
          <w:kern w:val="2"/>
          <w:sz w:val="32"/>
          <w:szCs w:val="22"/>
          <w:lang w:eastAsia="zh-TW" w:bidi="ar-SA"/>
        </w:rPr>
      </w:pPr>
      <w:r>
        <w:rPr>
          <w:rFonts w:hint="eastAsia"/>
          <w:lang w:val="en-US" w:eastAsia="zh-CN"/>
        </w:rPr>
        <w:t xml:space="preserve"> </w:t>
      </w:r>
      <w:r>
        <w:rPr>
          <w:rFonts w:hint="eastAsia" w:ascii="方正仿宋_GBK" w:hAnsi="方正仿宋_GBK" w:eastAsia="方正仿宋_GBK" w:cs="方正仿宋_GBK"/>
          <w:sz w:val="32"/>
          <w:szCs w:val="32"/>
          <w:lang w:val="en-US" w:eastAsia="zh-CN"/>
        </w:rPr>
        <w:t>（二）</w:t>
      </w:r>
      <w:r>
        <w:rPr>
          <w:rFonts w:hint="eastAsia" w:ascii="方正仿宋_GBK" w:hAnsi="方正仿宋_GBK" w:eastAsia="方正仿宋_GBK" w:cs="方正仿宋_GBK"/>
          <w:color w:val="auto"/>
          <w:kern w:val="2"/>
          <w:sz w:val="32"/>
          <w:szCs w:val="22"/>
          <w:lang w:eastAsia="zh-CN" w:bidi="ar-SA"/>
        </w:rPr>
        <w:t>省母村</w:t>
      </w:r>
      <w:r>
        <w:rPr>
          <w:rFonts w:hint="eastAsia" w:ascii="方正仿宋_GBK" w:hAnsi="方正仿宋_GBK" w:eastAsia="方正仿宋_GBK" w:cs="方正仿宋_GBK"/>
          <w:color w:val="auto"/>
          <w:sz w:val="32"/>
          <w:szCs w:val="32"/>
          <w:lang w:val="en-US" w:eastAsia="zh-CN"/>
        </w:rPr>
        <w:t>卷烟零售户控制在</w:t>
      </w:r>
      <w:r>
        <w:rPr>
          <w:rFonts w:hint="eastAsia" w:ascii="方正仿宋_GBK" w:hAnsi="方正仿宋_GBK" w:eastAsia="方正仿宋_GBK" w:cs="方正仿宋_GBK"/>
          <w:color w:val="auto"/>
          <w:kern w:val="2"/>
          <w:sz w:val="32"/>
          <w:szCs w:val="22"/>
          <w:lang w:val="en-US" w:eastAsia="zh-CN" w:bidi="ar-SA"/>
        </w:rPr>
        <w:t>2</w:t>
      </w:r>
      <w:r>
        <w:rPr>
          <w:rFonts w:hint="eastAsia" w:ascii="方正仿宋_GBK" w:hAnsi="方正仿宋_GBK" w:eastAsia="方正仿宋_GBK" w:cs="方正仿宋_GBK"/>
          <w:color w:val="auto"/>
          <w:kern w:val="2"/>
          <w:sz w:val="32"/>
          <w:szCs w:val="22"/>
          <w:lang w:eastAsia="zh-TW" w:bidi="ar-SA"/>
        </w:rPr>
        <w:t>户</w:t>
      </w:r>
      <w:r>
        <w:rPr>
          <w:rFonts w:hint="eastAsia" w:ascii="方正仿宋_GBK" w:hAnsi="方正仿宋_GBK" w:eastAsia="方正仿宋_GBK" w:cs="方正仿宋_GBK"/>
          <w:color w:val="auto"/>
          <w:sz w:val="32"/>
          <w:szCs w:val="32"/>
          <w:lang w:val="en-US" w:eastAsia="zh-CN"/>
        </w:rPr>
        <w:t>以内</w:t>
      </w:r>
      <w:r>
        <w:rPr>
          <w:rFonts w:hint="eastAsia" w:ascii="方正仿宋_GBK" w:hAnsi="方正仿宋_GBK" w:eastAsia="方正仿宋_GBK" w:cs="方正仿宋_GBK"/>
          <w:color w:val="auto"/>
          <w:kern w:val="2"/>
          <w:sz w:val="32"/>
          <w:szCs w:val="22"/>
          <w:lang w:eastAsia="zh-CN" w:bidi="ar-SA"/>
        </w:rPr>
        <w:t>，</w:t>
      </w:r>
      <w:r>
        <w:rPr>
          <w:rFonts w:hint="eastAsia" w:ascii="方正仿宋_GBK" w:hAnsi="方正仿宋_GBK" w:eastAsia="方正仿宋_GBK" w:cs="方正仿宋_GBK"/>
          <w:color w:val="auto"/>
          <w:kern w:val="2"/>
          <w:sz w:val="32"/>
          <w:szCs w:val="22"/>
          <w:lang w:eastAsia="zh-TW" w:bidi="ar-SA"/>
        </w:rPr>
        <w:t>培考村</w:t>
      </w:r>
      <w:r>
        <w:rPr>
          <w:rFonts w:hint="eastAsia" w:ascii="方正仿宋_GBK" w:hAnsi="方正仿宋_GBK" w:eastAsia="方正仿宋_GBK" w:cs="方正仿宋_GBK"/>
          <w:color w:val="auto"/>
          <w:sz w:val="32"/>
          <w:szCs w:val="32"/>
          <w:lang w:val="en-US" w:eastAsia="zh-CN"/>
        </w:rPr>
        <w:t>卷烟零售户控制在</w:t>
      </w:r>
      <w:r>
        <w:rPr>
          <w:rFonts w:hint="eastAsia" w:ascii="方正仿宋_GBK" w:hAnsi="方正仿宋_GBK" w:eastAsia="方正仿宋_GBK" w:cs="方正仿宋_GBK"/>
          <w:color w:val="auto"/>
          <w:kern w:val="2"/>
          <w:sz w:val="32"/>
          <w:szCs w:val="22"/>
          <w:lang w:eastAsia="zh-TW" w:bidi="ar-SA"/>
        </w:rPr>
        <w:t>2户</w:t>
      </w:r>
      <w:r>
        <w:rPr>
          <w:rFonts w:hint="eastAsia" w:ascii="方正仿宋_GBK" w:hAnsi="方正仿宋_GBK" w:eastAsia="方正仿宋_GBK" w:cs="方正仿宋_GBK"/>
          <w:color w:val="auto"/>
          <w:sz w:val="32"/>
          <w:szCs w:val="32"/>
          <w:lang w:val="en-US" w:eastAsia="zh-CN"/>
        </w:rPr>
        <w:t>以内</w:t>
      </w:r>
      <w:r>
        <w:rPr>
          <w:rFonts w:hint="eastAsia" w:ascii="方正仿宋_GBK" w:hAnsi="方正仿宋_GBK" w:eastAsia="方正仿宋_GBK" w:cs="方正仿宋_GBK"/>
          <w:color w:val="auto"/>
          <w:kern w:val="2"/>
          <w:sz w:val="32"/>
          <w:szCs w:val="22"/>
          <w:lang w:eastAsia="zh-TW" w:bidi="ar-SA"/>
        </w:rPr>
        <w:t>，</w:t>
      </w:r>
      <w:r>
        <w:rPr>
          <w:rFonts w:hint="eastAsia" w:ascii="方正仿宋_GBK" w:hAnsi="方正仿宋_GBK" w:eastAsia="方正仿宋_GBK" w:cs="方正仿宋_GBK"/>
          <w:color w:val="auto"/>
          <w:kern w:val="2"/>
          <w:sz w:val="32"/>
          <w:szCs w:val="22"/>
          <w:lang w:eastAsia="zh-CN" w:bidi="ar-SA"/>
        </w:rPr>
        <w:t>沙堆村</w:t>
      </w:r>
      <w:r>
        <w:rPr>
          <w:rFonts w:hint="eastAsia" w:ascii="方正仿宋_GBK" w:hAnsi="方正仿宋_GBK" w:eastAsia="方正仿宋_GBK" w:cs="方正仿宋_GBK"/>
          <w:color w:val="auto"/>
          <w:sz w:val="32"/>
          <w:szCs w:val="32"/>
          <w:lang w:val="en-US" w:eastAsia="zh-CN"/>
        </w:rPr>
        <w:t>卷烟零售户控制在</w:t>
      </w:r>
      <w:r>
        <w:rPr>
          <w:rFonts w:hint="eastAsia" w:ascii="方正仿宋_GBK" w:hAnsi="方正仿宋_GBK" w:eastAsia="方正仿宋_GBK" w:cs="方正仿宋_GBK"/>
          <w:color w:val="auto"/>
          <w:kern w:val="2"/>
          <w:sz w:val="32"/>
          <w:szCs w:val="22"/>
          <w:lang w:val="en-US" w:eastAsia="zh-CN" w:bidi="ar-SA"/>
        </w:rPr>
        <w:t>3</w:t>
      </w:r>
      <w:r>
        <w:rPr>
          <w:rFonts w:hint="eastAsia" w:ascii="方正仿宋_GBK" w:hAnsi="方正仿宋_GBK" w:eastAsia="方正仿宋_GBK" w:cs="方正仿宋_GBK"/>
          <w:color w:val="auto"/>
          <w:kern w:val="2"/>
          <w:sz w:val="32"/>
          <w:szCs w:val="22"/>
          <w:lang w:eastAsia="zh-TW" w:bidi="ar-SA"/>
        </w:rPr>
        <w:t>户</w:t>
      </w:r>
      <w:r>
        <w:rPr>
          <w:rFonts w:hint="eastAsia" w:ascii="方正仿宋_GBK" w:hAnsi="方正仿宋_GBK" w:eastAsia="方正仿宋_GBK" w:cs="方正仿宋_GBK"/>
          <w:color w:val="auto"/>
          <w:sz w:val="32"/>
          <w:szCs w:val="32"/>
          <w:lang w:val="en-US" w:eastAsia="zh-CN"/>
        </w:rPr>
        <w:t>以内，</w:t>
      </w:r>
      <w:r>
        <w:rPr>
          <w:rFonts w:hint="eastAsia" w:ascii="方正仿宋_GBK" w:hAnsi="方正仿宋_GBK" w:eastAsia="方正仿宋_GBK" w:cs="方正仿宋_GBK"/>
          <w:color w:val="auto"/>
          <w:kern w:val="2"/>
          <w:sz w:val="32"/>
          <w:szCs w:val="22"/>
          <w:lang w:eastAsia="zh-TW" w:bidi="ar-SA"/>
        </w:rPr>
        <w:t>瓦格村</w:t>
      </w:r>
      <w:r>
        <w:rPr>
          <w:rFonts w:hint="eastAsia" w:ascii="方正仿宋_GBK" w:hAnsi="方正仿宋_GBK" w:eastAsia="方正仿宋_GBK" w:cs="方正仿宋_GBK"/>
          <w:color w:val="auto"/>
          <w:sz w:val="32"/>
          <w:szCs w:val="32"/>
          <w:lang w:val="en-US" w:eastAsia="zh-CN"/>
        </w:rPr>
        <w:t>卷烟零售户控制在</w:t>
      </w:r>
      <w:r>
        <w:rPr>
          <w:rFonts w:hint="eastAsia" w:ascii="方正仿宋_GBK" w:hAnsi="方正仿宋_GBK" w:eastAsia="方正仿宋_GBK" w:cs="方正仿宋_GBK"/>
          <w:color w:val="auto"/>
          <w:kern w:val="2"/>
          <w:sz w:val="32"/>
          <w:szCs w:val="22"/>
          <w:lang w:val="en-US" w:eastAsia="zh-CN" w:bidi="ar-SA"/>
        </w:rPr>
        <w:t>3</w:t>
      </w:r>
      <w:r>
        <w:rPr>
          <w:rFonts w:hint="eastAsia" w:ascii="方正仿宋_GBK" w:hAnsi="方正仿宋_GBK" w:eastAsia="方正仿宋_GBK" w:cs="方正仿宋_GBK"/>
          <w:color w:val="auto"/>
          <w:kern w:val="2"/>
          <w:sz w:val="32"/>
          <w:szCs w:val="22"/>
          <w:lang w:eastAsia="zh-TW" w:bidi="ar-SA"/>
        </w:rPr>
        <w:t>户</w:t>
      </w:r>
      <w:r>
        <w:rPr>
          <w:rFonts w:hint="eastAsia" w:ascii="方正仿宋_GBK" w:hAnsi="方正仿宋_GBK" w:eastAsia="方正仿宋_GBK" w:cs="方正仿宋_GBK"/>
          <w:color w:val="auto"/>
          <w:sz w:val="32"/>
          <w:szCs w:val="32"/>
          <w:lang w:val="en-US" w:eastAsia="zh-CN"/>
        </w:rPr>
        <w:t>以内</w:t>
      </w:r>
      <w:r>
        <w:rPr>
          <w:rFonts w:hint="eastAsia" w:ascii="方正仿宋_GBK" w:hAnsi="方正仿宋_GBK" w:eastAsia="方正仿宋_GBK" w:cs="方正仿宋_GBK"/>
          <w:color w:val="auto"/>
          <w:kern w:val="2"/>
          <w:sz w:val="32"/>
          <w:szCs w:val="22"/>
          <w:lang w:eastAsia="zh-TW" w:bidi="ar-SA"/>
        </w:rPr>
        <w:t>，</w:t>
      </w:r>
      <w:r>
        <w:rPr>
          <w:rFonts w:hint="eastAsia" w:ascii="方正仿宋_GBK" w:hAnsi="方正仿宋_GBK" w:eastAsia="方正仿宋_GBK" w:cs="方正仿宋_GBK"/>
          <w:color w:val="auto"/>
          <w:kern w:val="2"/>
          <w:sz w:val="32"/>
          <w:szCs w:val="22"/>
          <w:lang w:eastAsia="zh-CN" w:bidi="ar-SA"/>
        </w:rPr>
        <w:t>牙垭村</w:t>
      </w:r>
      <w:r>
        <w:rPr>
          <w:rFonts w:hint="eastAsia" w:ascii="方正仿宋_GBK" w:hAnsi="方正仿宋_GBK" w:eastAsia="方正仿宋_GBK" w:cs="方正仿宋_GBK"/>
          <w:color w:val="auto"/>
          <w:sz w:val="32"/>
          <w:szCs w:val="32"/>
          <w:lang w:val="en-US" w:eastAsia="zh-CN"/>
        </w:rPr>
        <w:t>卷烟零售户控制在</w:t>
      </w:r>
      <w:r>
        <w:rPr>
          <w:rFonts w:hint="eastAsia" w:ascii="方正仿宋_GBK" w:hAnsi="方正仿宋_GBK" w:eastAsia="方正仿宋_GBK" w:cs="方正仿宋_GBK"/>
          <w:color w:val="auto"/>
          <w:kern w:val="2"/>
          <w:sz w:val="32"/>
          <w:szCs w:val="22"/>
          <w:lang w:eastAsia="zh-TW" w:bidi="ar-SA"/>
        </w:rPr>
        <w:t>2</w:t>
      </w:r>
      <w:r>
        <w:rPr>
          <w:rFonts w:hint="eastAsia" w:ascii="方正仿宋_GBK" w:hAnsi="方正仿宋_GBK" w:eastAsia="方正仿宋_GBK" w:cs="方正仿宋_GBK"/>
          <w:color w:val="000000"/>
          <w:kern w:val="2"/>
          <w:sz w:val="32"/>
          <w:szCs w:val="22"/>
          <w:lang w:eastAsia="zh-TW" w:bidi="ar-SA"/>
        </w:rPr>
        <w:t>户</w:t>
      </w:r>
      <w:r>
        <w:rPr>
          <w:rFonts w:hint="eastAsia" w:ascii="方正仿宋_GBK" w:hAnsi="方正仿宋_GBK" w:eastAsia="方正仿宋_GBK" w:cs="方正仿宋_GBK"/>
          <w:sz w:val="32"/>
          <w:szCs w:val="32"/>
          <w:lang w:val="en-US" w:eastAsia="zh-CN"/>
        </w:rPr>
        <w:t>以内</w:t>
      </w:r>
      <w:r>
        <w:rPr>
          <w:rFonts w:hint="eastAsia" w:ascii="方正仿宋_GBK" w:hAnsi="方正仿宋_GBK" w:eastAsia="方正仿宋_GBK" w:cs="方正仿宋_GBK"/>
          <w:color w:val="000000"/>
          <w:kern w:val="2"/>
          <w:sz w:val="32"/>
          <w:szCs w:val="22"/>
          <w:lang w:eastAsia="zh-CN" w:bidi="ar-SA"/>
        </w:rPr>
        <w:t>，各瓦村卷烟零售户</w:t>
      </w:r>
      <w:r>
        <w:rPr>
          <w:rFonts w:hint="eastAsia" w:ascii="方正仿宋_GBK" w:hAnsi="方正仿宋_GBK" w:eastAsia="方正仿宋_GBK" w:cs="方正仿宋_GBK"/>
          <w:sz w:val="32"/>
          <w:szCs w:val="32"/>
          <w:lang w:val="en-US" w:eastAsia="zh-CN"/>
        </w:rPr>
        <w:t>控制在</w:t>
      </w:r>
      <w:r>
        <w:rPr>
          <w:rFonts w:hint="eastAsia" w:ascii="方正仿宋_GBK" w:hAnsi="方正仿宋_GBK" w:eastAsia="方正仿宋_GBK" w:cs="方正仿宋_GBK"/>
          <w:color w:val="000000"/>
          <w:kern w:val="2"/>
          <w:sz w:val="32"/>
          <w:szCs w:val="22"/>
          <w:lang w:val="en-US" w:eastAsia="zh-CN" w:bidi="ar-SA"/>
        </w:rPr>
        <w:t>2户以内、</w:t>
      </w:r>
      <w:r>
        <w:rPr>
          <w:rFonts w:hint="eastAsia" w:ascii="方正仿宋_GBK" w:hAnsi="方正仿宋_GBK" w:eastAsia="方正仿宋_GBK" w:cs="方正仿宋_GBK"/>
          <w:color w:val="000000"/>
          <w:kern w:val="2"/>
          <w:sz w:val="32"/>
          <w:szCs w:val="22"/>
          <w:lang w:eastAsia="zh-TW" w:bidi="ar-SA"/>
        </w:rPr>
        <w:t>吉尔同村</w:t>
      </w:r>
      <w:r>
        <w:rPr>
          <w:rFonts w:hint="eastAsia" w:ascii="方正仿宋_GBK" w:hAnsi="方正仿宋_GBK" w:eastAsia="方正仿宋_GBK" w:cs="方正仿宋_GBK"/>
          <w:sz w:val="32"/>
          <w:szCs w:val="32"/>
          <w:lang w:val="en-US" w:eastAsia="zh-CN"/>
        </w:rPr>
        <w:t>卷烟零售户控制在</w:t>
      </w:r>
      <w:r>
        <w:rPr>
          <w:rFonts w:hint="eastAsia" w:ascii="方正仿宋_GBK" w:hAnsi="方正仿宋_GBK" w:eastAsia="方正仿宋_GBK" w:cs="方正仿宋_GBK"/>
          <w:color w:val="000000"/>
          <w:kern w:val="2"/>
          <w:sz w:val="32"/>
          <w:szCs w:val="22"/>
          <w:lang w:val="en-US" w:eastAsia="zh-CN" w:bidi="ar-SA"/>
        </w:rPr>
        <w:t>7</w:t>
      </w:r>
      <w:r>
        <w:rPr>
          <w:rFonts w:hint="eastAsia" w:ascii="方正仿宋_GBK" w:hAnsi="方正仿宋_GBK" w:eastAsia="方正仿宋_GBK" w:cs="方正仿宋_GBK"/>
          <w:color w:val="000000"/>
          <w:kern w:val="2"/>
          <w:sz w:val="32"/>
          <w:szCs w:val="22"/>
          <w:lang w:eastAsia="zh-TW" w:bidi="ar-SA"/>
        </w:rPr>
        <w:t>户</w:t>
      </w:r>
      <w:r>
        <w:rPr>
          <w:rFonts w:hint="eastAsia" w:ascii="方正仿宋_GBK" w:hAnsi="方正仿宋_GBK" w:eastAsia="方正仿宋_GBK" w:cs="方正仿宋_GBK"/>
          <w:sz w:val="32"/>
          <w:szCs w:val="32"/>
          <w:lang w:val="en-US" w:eastAsia="zh-CN"/>
        </w:rPr>
        <w:t>以内</w:t>
      </w:r>
      <w:r>
        <w:rPr>
          <w:rFonts w:hint="eastAsia" w:ascii="方正仿宋_GBK" w:hAnsi="方正仿宋_GBK" w:eastAsia="方正仿宋_GBK" w:cs="方正仿宋_GBK"/>
          <w:color w:val="000000"/>
          <w:kern w:val="2"/>
          <w:sz w:val="32"/>
          <w:szCs w:val="22"/>
          <w:lang w:eastAsia="zh-TW" w:bidi="ar-SA"/>
        </w:rPr>
        <w:t>，</w:t>
      </w:r>
      <w:r>
        <w:rPr>
          <w:rFonts w:hint="eastAsia" w:ascii="方正仿宋_GBK" w:hAnsi="方正仿宋_GBK" w:eastAsia="方正仿宋_GBK" w:cs="方正仿宋_GBK"/>
          <w:color w:val="000000"/>
          <w:kern w:val="2"/>
          <w:sz w:val="32"/>
          <w:szCs w:val="22"/>
          <w:lang w:eastAsia="zh-CN" w:bidi="ar-SA"/>
        </w:rPr>
        <w:t>仲麦村卷烟零售户控制在</w:t>
      </w:r>
      <w:r>
        <w:rPr>
          <w:rFonts w:hint="eastAsia" w:ascii="方正仿宋_GBK" w:hAnsi="方正仿宋_GBK" w:eastAsia="方正仿宋_GBK" w:cs="方正仿宋_GBK"/>
          <w:color w:val="000000"/>
          <w:kern w:val="2"/>
          <w:sz w:val="32"/>
          <w:szCs w:val="22"/>
          <w:lang w:val="en-US" w:eastAsia="zh-CN" w:bidi="ar-SA"/>
        </w:rPr>
        <w:t>2户以内、</w:t>
      </w:r>
      <w:r>
        <w:rPr>
          <w:rFonts w:hint="eastAsia" w:ascii="方正仿宋_GBK" w:hAnsi="方正仿宋_GBK" w:eastAsia="方正仿宋_GBK" w:cs="方正仿宋_GBK"/>
          <w:color w:val="000000"/>
          <w:kern w:val="2"/>
          <w:sz w:val="32"/>
          <w:szCs w:val="22"/>
          <w:lang w:eastAsia="zh-TW" w:bidi="ar-SA"/>
        </w:rPr>
        <w:t>桑堆村</w:t>
      </w:r>
      <w:r>
        <w:rPr>
          <w:rFonts w:hint="eastAsia" w:ascii="方正仿宋_GBK" w:hAnsi="方正仿宋_GBK" w:eastAsia="方正仿宋_GBK" w:cs="方正仿宋_GBK"/>
          <w:sz w:val="32"/>
          <w:szCs w:val="32"/>
          <w:lang w:val="en-US" w:eastAsia="zh-CN"/>
        </w:rPr>
        <w:t>卷烟零售户控制在</w:t>
      </w:r>
      <w:r>
        <w:rPr>
          <w:rFonts w:hint="eastAsia" w:ascii="方正仿宋_GBK" w:hAnsi="方正仿宋_GBK" w:eastAsia="方正仿宋_GBK" w:cs="方正仿宋_GBK"/>
          <w:color w:val="000000"/>
          <w:kern w:val="2"/>
          <w:sz w:val="32"/>
          <w:szCs w:val="22"/>
          <w:lang w:eastAsia="zh-TW" w:bidi="ar-SA"/>
        </w:rPr>
        <w:t>4户</w:t>
      </w:r>
      <w:r>
        <w:rPr>
          <w:rFonts w:hint="eastAsia" w:ascii="方正仿宋_GBK" w:hAnsi="方正仿宋_GBK" w:eastAsia="方正仿宋_GBK" w:cs="方正仿宋_GBK"/>
          <w:sz w:val="32"/>
          <w:szCs w:val="32"/>
          <w:lang w:val="en-US" w:eastAsia="zh-CN"/>
        </w:rPr>
        <w:t>以内</w:t>
      </w:r>
      <w:r>
        <w:rPr>
          <w:rFonts w:hint="eastAsia" w:ascii="方正仿宋_GBK" w:hAnsi="方正仿宋_GBK" w:eastAsia="方正仿宋_GBK" w:cs="方正仿宋_GBK"/>
          <w:color w:val="000000"/>
          <w:kern w:val="2"/>
          <w:sz w:val="32"/>
          <w:szCs w:val="22"/>
          <w:lang w:eastAsia="zh-TW" w:bidi="ar-SA"/>
        </w:rPr>
        <w:t>，其余每个行政村</w:t>
      </w:r>
      <w:r>
        <w:rPr>
          <w:rFonts w:hint="eastAsia" w:ascii="方正仿宋_GBK" w:hAnsi="方正仿宋_GBK" w:eastAsia="方正仿宋_GBK" w:cs="方正仿宋_GBK"/>
          <w:color w:val="000000"/>
          <w:kern w:val="2"/>
          <w:sz w:val="32"/>
          <w:szCs w:val="22"/>
          <w:lang w:eastAsia="zh-CN" w:bidi="ar-SA"/>
        </w:rPr>
        <w:t>各设置</w:t>
      </w:r>
      <w:r>
        <w:rPr>
          <w:rFonts w:hint="eastAsia" w:ascii="方正仿宋_GBK" w:hAnsi="方正仿宋_GBK" w:eastAsia="方正仿宋_GBK" w:cs="方正仿宋_GBK"/>
          <w:color w:val="000000"/>
          <w:kern w:val="2"/>
          <w:sz w:val="32"/>
          <w:szCs w:val="22"/>
          <w:lang w:eastAsia="zh-TW" w:bidi="ar-SA"/>
        </w:rPr>
        <w:t>1个零售点。</w:t>
      </w:r>
    </w:p>
    <w:p w14:paraId="10ADE705">
      <w:pPr>
        <w:spacing w:line="360" w:lineRule="auto"/>
        <w:ind w:firstLine="643"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七</w:t>
      </w:r>
      <w:r>
        <w:rPr>
          <w:rFonts w:hint="eastAsia" w:ascii="方正仿宋_GBK" w:hAnsi="方正仿宋_GBK" w:eastAsia="方正仿宋_GBK" w:cs="方正仿宋_GBK"/>
          <w:b/>
          <w:bCs/>
          <w:color w:val="000000" w:themeColor="text1"/>
          <w:sz w:val="32"/>
          <w:szCs w:val="32"/>
          <w14:textFill>
            <w14:solidFill>
              <w14:schemeClr w14:val="tx1"/>
            </w14:solidFill>
          </w14:textFill>
        </w:rPr>
        <w:t>条</w:t>
      </w:r>
      <w:r>
        <w:rPr>
          <w:rFonts w:hint="eastAsia" w:ascii="方正仿宋_GBK" w:hAnsi="方正仿宋_GBK" w:eastAsia="方正仿宋_GBK" w:cs="方正仿宋_GBK"/>
          <w:b/>
          <w:bCs/>
          <w:color w:val="000000" w:themeColor="text1"/>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当各辖区（含城网、农网）零售点总量可新增时，或因零售户退出烟草专卖零售许可产生新增名额时，将严格依照政务服务系统、一体化平台申请办证的时间先后顺序依次受理；线下申请的以申请时间先后顺序受理，以此类推。</w:t>
      </w:r>
    </w:p>
    <w:p w14:paraId="526CE62C">
      <w:pPr>
        <w:spacing w:line="360" w:lineRule="auto"/>
        <w:ind w:firstLine="640"/>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第</w:t>
      </w:r>
      <w:r>
        <w:rPr>
          <w:rFonts w:hint="eastAsia" w:ascii="方正仿宋_GBK" w:hAnsi="方正仿宋_GBK" w:eastAsia="方正仿宋_GBK" w:cs="方正仿宋_GBK"/>
          <w:b/>
          <w:bCs/>
          <w:sz w:val="32"/>
          <w:szCs w:val="32"/>
          <w:lang w:eastAsia="zh-CN"/>
        </w:rPr>
        <w:t>八</w:t>
      </w:r>
      <w:r>
        <w:rPr>
          <w:rFonts w:hint="eastAsia" w:ascii="方正仿宋_GBK" w:hAnsi="方正仿宋_GBK" w:eastAsia="方正仿宋_GBK" w:cs="方正仿宋_GBK"/>
          <w:b/>
          <w:bCs/>
          <w:sz w:val="32"/>
          <w:szCs w:val="32"/>
        </w:rPr>
        <w:t xml:space="preserve">条 </w:t>
      </w:r>
      <w:r>
        <w:rPr>
          <w:rFonts w:hint="eastAsia" w:ascii="方正仿宋_GBK" w:hAnsi="方正仿宋_GBK" w:eastAsia="方正仿宋_GBK" w:cs="方正仿宋_GBK"/>
          <w:sz w:val="32"/>
          <w:szCs w:val="32"/>
        </w:rPr>
        <w:t>雪茄烟（不经营卷烟）专营店，可设置</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个零售点</w:t>
      </w:r>
      <w:r>
        <w:rPr>
          <w:rFonts w:hint="eastAsia" w:ascii="方正仿宋_GBK" w:hAnsi="方正仿宋_GBK" w:eastAsia="方正仿宋_GBK" w:cs="方正仿宋_GBK"/>
          <w:sz w:val="32"/>
          <w:szCs w:val="32"/>
          <w:lang w:eastAsia="zh-CN"/>
        </w:rPr>
        <w:t>，不受所在市场最小单元零售许可数量及距离限制，雪茄烟专营店经营范围增加卷烟的，应当适用本布局规定所在区域的指导数量和间距条件。</w:t>
      </w:r>
    </w:p>
    <w:p w14:paraId="26895D2D">
      <w:pPr>
        <w:spacing w:line="360" w:lineRule="auto"/>
        <w:ind w:firstLine="640"/>
        <w:jc w:val="left"/>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第九条</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 部队、监狱等，有通信覆盖的，具备办证条件的，可在驻扎区内设置1个零售点。</w:t>
      </w:r>
    </w:p>
    <w:p w14:paraId="06156B21">
      <w:pPr>
        <w:spacing w:line="360" w:lineRule="auto"/>
        <w:ind w:firstLine="640"/>
        <w:jc w:val="center"/>
        <w:rPr>
          <w:rFonts w:hint="eastAsia" w:ascii="方正黑体_GBK" w:hAnsi="方正黑体_GBK" w:eastAsia="方正黑体_GBK" w:cs="方正黑体_GBK"/>
          <w:b w:val="0"/>
          <w:bCs/>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lang w:eastAsia="zh-CN"/>
          <w14:textFill>
            <w14:solidFill>
              <w14:schemeClr w14:val="tx1"/>
            </w14:solidFill>
          </w14:textFill>
        </w:rPr>
        <w:t>第三章</w:t>
      </w:r>
      <w:r>
        <w:rPr>
          <w:rFonts w:hint="eastAsia" w:ascii="方正黑体_GBK" w:hAnsi="方正黑体_GBK" w:eastAsia="方正黑体_GBK" w:cs="方正黑体_GBK"/>
          <w:b w:val="0"/>
          <w:bCs/>
          <w:color w:val="000000" w:themeColor="text1"/>
          <w:sz w:val="32"/>
          <w:szCs w:val="32"/>
          <w:lang w:val="en-US" w:eastAsia="zh-CN"/>
          <w14:textFill>
            <w14:solidFill>
              <w14:schemeClr w14:val="tx1"/>
            </w14:solidFill>
          </w14:textFill>
        </w:rPr>
        <w:t xml:space="preserve"> 优待政策</w:t>
      </w:r>
    </w:p>
    <w:p w14:paraId="64DCEAF7">
      <w:pPr>
        <w:spacing w:line="360" w:lineRule="auto"/>
        <w:ind w:firstLine="616"/>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color w:val="000000" w:themeColor="text1"/>
          <w:sz w:val="32"/>
          <w:szCs w:val="32"/>
          <w14:textFill>
            <w14:solidFill>
              <w14:schemeClr w14:val="tx1"/>
            </w14:solidFill>
          </w14:textFill>
        </w:rPr>
        <w:t>条</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具有下列情形之一的，可适当放宽零售点间距限制</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或</w:t>
      </w:r>
      <w:r>
        <w:rPr>
          <w:rFonts w:hint="eastAsia" w:ascii="方正仿宋_GBK" w:hAnsi="方正仿宋_GBK" w:eastAsia="方正仿宋_GBK" w:cs="方正仿宋_GBK"/>
          <w:color w:val="000000" w:themeColor="text1"/>
          <w:sz w:val="32"/>
          <w:szCs w:val="32"/>
          <w14:textFill>
            <w14:solidFill>
              <w14:schemeClr w14:val="tx1"/>
            </w14:solidFill>
          </w14:textFill>
        </w:rPr>
        <w:t>不受所在区域数量及间距限制：</w:t>
      </w:r>
    </w:p>
    <w:p w14:paraId="3B82FCB8">
      <w:pPr>
        <w:spacing w:line="360" w:lineRule="auto"/>
        <w:ind w:firstLine="616"/>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一</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申请人为视力残疾的一级盲、二级盲，听力残疾的一、二、三级，言语残疾的一、二、三级，肢体残疾的重度（一级）、中度（二级），可在发证机关辖区范围内给予一次优待</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在符合所在单元格总量标准的前提下，间距可放宽</w:t>
      </w:r>
      <w:r>
        <w:rPr>
          <w:rFonts w:hint="eastAsia" w:ascii="方正仿宋_GBK" w:hAnsi="方正仿宋_GBK" w:eastAsia="方正仿宋_GBK" w:cs="方正仿宋_GBK"/>
          <w:color w:val="auto"/>
          <w:sz w:val="32"/>
          <w:szCs w:val="32"/>
          <w:lang w:val="en-US" w:eastAsia="zh-CN"/>
        </w:rPr>
        <w:t>50</w:t>
      </w:r>
      <w:r>
        <w:rPr>
          <w:rFonts w:hint="eastAsia" w:ascii="方正仿宋_GBK" w:hAnsi="方正仿宋_GBK" w:eastAsia="方正仿宋_GBK" w:cs="方正仿宋_GBK"/>
          <w:color w:val="auto"/>
          <w:sz w:val="32"/>
          <w:szCs w:val="32"/>
        </w:rPr>
        <w:t>%，以上残疾类型的其他等级不予优待。 </w:t>
      </w:r>
    </w:p>
    <w:p w14:paraId="45C130FE">
      <w:pPr>
        <w:spacing w:line="360" w:lineRule="auto"/>
        <w:ind w:firstLine="616"/>
        <w:jc w:val="left"/>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（二）残疾军人、烈士家属（烈士的父母、配偶、子女），持有证件（县级以上政府相关部门出具有效证明材料）的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在符合所在单元格总量标准的前提下，间距可放宽</w:t>
      </w:r>
      <w:r>
        <w:rPr>
          <w:rFonts w:hint="eastAsia" w:ascii="方正仿宋_GBK" w:hAnsi="方正仿宋_GBK" w:eastAsia="方正仿宋_GBK" w:cs="方正仿宋_GBK"/>
          <w:color w:val="auto"/>
          <w:sz w:val="32"/>
          <w:szCs w:val="32"/>
          <w:lang w:val="en-US" w:eastAsia="zh-CN"/>
        </w:rPr>
        <w:t>50</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eastAsia="zh-CN"/>
        </w:rPr>
        <w:t>。</w:t>
      </w:r>
    </w:p>
    <w:p w14:paraId="362551D1">
      <w:pPr>
        <w:spacing w:line="360" w:lineRule="auto"/>
        <w:ind w:firstLine="616"/>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（三）因道路规划、城市建设等客观原因造成无法在核定经营地址经营，或者因中小学、幼儿园新建、搬迁、通道改变等客观原因导致原许可证处于中小学、幼儿园周围范围内无法在原核定地址经营</w:t>
      </w:r>
      <w:r>
        <w:rPr>
          <w:rFonts w:hint="eastAsia" w:ascii="方正仿宋_GBK" w:hAnsi="方正仿宋_GBK" w:eastAsia="方正仿宋_GBK" w:cs="方正仿宋_GBK"/>
          <w:color w:val="auto"/>
          <w:sz w:val="32"/>
          <w:szCs w:val="32"/>
          <w:lang w:eastAsia="zh-CN"/>
        </w:rPr>
        <w:t>的</w:t>
      </w:r>
      <w:r>
        <w:rPr>
          <w:rFonts w:hint="eastAsia" w:ascii="方正仿宋_GBK" w:hAnsi="方正仿宋_GBK" w:eastAsia="方正仿宋_GBK" w:cs="方正仿宋_GBK"/>
          <w:color w:val="auto"/>
          <w:sz w:val="32"/>
          <w:szCs w:val="32"/>
        </w:rPr>
        <w:t>，持证人申请变更到原发证机关辖区内其他地址经营的，以及以上客观原因消除后</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持证人对新许可证申请歇业的同时在原核定经营地址申请新办的可予以优待</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在符合所在单元格总量标准的前提下，间距可放宽</w:t>
      </w:r>
      <w:r>
        <w:rPr>
          <w:rFonts w:hint="eastAsia" w:ascii="方正仿宋_GBK" w:hAnsi="方正仿宋_GBK" w:eastAsia="方正仿宋_GBK" w:cs="方正仿宋_GBK"/>
          <w:color w:val="auto"/>
          <w:sz w:val="32"/>
          <w:szCs w:val="32"/>
          <w:lang w:val="en-US" w:eastAsia="zh-CN"/>
        </w:rPr>
        <w:t>50</w:t>
      </w:r>
      <w:r>
        <w:rPr>
          <w:rFonts w:hint="eastAsia" w:ascii="方正仿宋_GBK" w:hAnsi="方正仿宋_GBK" w:eastAsia="方正仿宋_GBK" w:cs="方正仿宋_GBK"/>
          <w:color w:val="auto"/>
          <w:sz w:val="32"/>
          <w:szCs w:val="32"/>
        </w:rPr>
        <w:t>%。 </w:t>
      </w:r>
    </w:p>
    <w:p w14:paraId="74752E97">
      <w:pPr>
        <w:spacing w:line="360" w:lineRule="auto"/>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四）稻城县城、农网内由宗教寺庙直接经营的持证零售店铺，因寺庙内部人事任免、负责人圆寂、退休或其他宗教事务管理需要变更负责人的，凭所属宗教寺庙出具的正式书面证明文件，在原地址可重新申领烟草专卖零售许可证，</w:t>
      </w:r>
      <w:r>
        <w:rPr>
          <w:rFonts w:hint="eastAsia" w:ascii="方正仿宋_GBK" w:hAnsi="方正仿宋_GBK" w:eastAsia="方正仿宋_GBK" w:cs="方正仿宋_GBK"/>
          <w:color w:val="auto"/>
          <w:sz w:val="32"/>
          <w:szCs w:val="32"/>
        </w:rPr>
        <w:t>不受所在市场最小单元数量及距离限制</w:t>
      </w:r>
      <w:r>
        <w:rPr>
          <w:rFonts w:hint="eastAsia" w:ascii="方正仿宋_GBK" w:hAnsi="方正仿宋_GBK" w:eastAsia="方正仿宋_GBK" w:cs="方正仿宋_GBK"/>
          <w:color w:val="auto"/>
          <w:sz w:val="32"/>
          <w:szCs w:val="32"/>
          <w:lang w:eastAsia="zh-CN"/>
        </w:rPr>
        <w:t>。</w:t>
      </w:r>
    </w:p>
    <w:p w14:paraId="30255F6E">
      <w:pPr>
        <w:spacing w:line="360" w:lineRule="auto"/>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（五）</w:t>
      </w:r>
      <w:r>
        <w:rPr>
          <w:rFonts w:hint="eastAsia" w:ascii="方正仿宋_GBK" w:hAnsi="方正仿宋_GBK" w:eastAsia="方正仿宋_GBK" w:cs="方正仿宋_GBK"/>
          <w:color w:val="auto"/>
          <w:sz w:val="32"/>
          <w:szCs w:val="32"/>
          <w:lang w:eastAsia="zh-CN"/>
        </w:rPr>
        <w:t>工地</w:t>
      </w:r>
      <w:r>
        <w:rPr>
          <w:rFonts w:hint="eastAsia" w:ascii="方正仿宋_GBK" w:hAnsi="方正仿宋_GBK" w:eastAsia="方正仿宋_GBK" w:cs="方正仿宋_GBK"/>
          <w:color w:val="auto"/>
          <w:sz w:val="32"/>
          <w:szCs w:val="32"/>
        </w:rPr>
        <w:t>生活区在</w:t>
      </w:r>
      <w:r>
        <w:rPr>
          <w:rFonts w:hint="eastAsia" w:ascii="方正仿宋_GBK" w:hAnsi="方正仿宋_GBK" w:eastAsia="方正仿宋_GBK" w:cs="方正仿宋_GBK"/>
          <w:color w:val="auto"/>
          <w:sz w:val="32"/>
          <w:szCs w:val="32"/>
          <w:lang w:eastAsia="zh-CN"/>
        </w:rPr>
        <w:t>册</w:t>
      </w:r>
      <w:r>
        <w:rPr>
          <w:rFonts w:hint="eastAsia" w:ascii="方正仿宋_GBK" w:hAnsi="方正仿宋_GBK" w:eastAsia="方正仿宋_GBK" w:cs="方正仿宋_GBK"/>
          <w:color w:val="auto"/>
          <w:sz w:val="32"/>
          <w:szCs w:val="32"/>
        </w:rPr>
        <w:t>工人</w:t>
      </w:r>
      <w:r>
        <w:rPr>
          <w:rFonts w:hint="eastAsia" w:ascii="方正仿宋_GBK" w:hAnsi="方正仿宋_GBK" w:eastAsia="方正仿宋_GBK" w:cs="方正仿宋_GBK"/>
          <w:color w:val="auto"/>
          <w:sz w:val="32"/>
          <w:szCs w:val="32"/>
          <w:lang w:val="en-US" w:eastAsia="zh-CN"/>
        </w:rPr>
        <w:t>80</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至</w:t>
      </w:r>
      <w:r>
        <w:rPr>
          <w:rFonts w:hint="eastAsia" w:ascii="方正仿宋_GBK" w:hAnsi="方正仿宋_GBK" w:eastAsia="方正仿宋_GBK" w:cs="方正仿宋_GBK"/>
          <w:color w:val="auto"/>
          <w:sz w:val="32"/>
          <w:szCs w:val="32"/>
          <w:lang w:val="en-US" w:eastAsia="zh-CN"/>
        </w:rPr>
        <w:t>300人</w:t>
      </w:r>
      <w:r>
        <w:rPr>
          <w:rFonts w:hint="eastAsia" w:ascii="方正仿宋_GBK" w:hAnsi="方正仿宋_GBK" w:eastAsia="方正仿宋_GBK" w:cs="方正仿宋_GBK"/>
          <w:color w:val="auto"/>
          <w:sz w:val="32"/>
          <w:szCs w:val="32"/>
        </w:rPr>
        <w:t>的可设置烟草制品零售点1个，在</w:t>
      </w:r>
      <w:r>
        <w:rPr>
          <w:rFonts w:hint="eastAsia" w:ascii="方正仿宋_GBK" w:hAnsi="方正仿宋_GBK" w:eastAsia="方正仿宋_GBK" w:cs="方正仿宋_GBK"/>
          <w:color w:val="auto"/>
          <w:sz w:val="32"/>
          <w:szCs w:val="32"/>
          <w:lang w:eastAsia="zh-CN"/>
        </w:rPr>
        <w:t>册</w:t>
      </w:r>
      <w:r>
        <w:rPr>
          <w:rFonts w:hint="eastAsia" w:ascii="方正仿宋_GBK" w:hAnsi="方正仿宋_GBK" w:eastAsia="方正仿宋_GBK" w:cs="方正仿宋_GBK"/>
          <w:color w:val="auto"/>
          <w:sz w:val="32"/>
          <w:szCs w:val="32"/>
        </w:rPr>
        <w:t>工人</w:t>
      </w:r>
      <w:r>
        <w:rPr>
          <w:rFonts w:hint="eastAsia" w:ascii="方正仿宋_GBK" w:hAnsi="方正仿宋_GBK" w:eastAsia="方正仿宋_GBK" w:cs="方正仿宋_GBK"/>
          <w:color w:val="auto"/>
          <w:sz w:val="32"/>
          <w:szCs w:val="32"/>
          <w:lang w:val="en-US" w:eastAsia="zh-CN"/>
        </w:rPr>
        <w:t>300</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至</w:t>
      </w:r>
      <w:r>
        <w:rPr>
          <w:rFonts w:hint="eastAsia" w:ascii="方正仿宋_GBK" w:hAnsi="方正仿宋_GBK" w:eastAsia="方正仿宋_GBK" w:cs="方正仿宋_GBK"/>
          <w:color w:val="auto"/>
          <w:sz w:val="32"/>
          <w:szCs w:val="32"/>
          <w:lang w:val="en-US" w:eastAsia="zh-CN"/>
        </w:rPr>
        <w:t>600人</w:t>
      </w:r>
      <w:r>
        <w:rPr>
          <w:rFonts w:hint="eastAsia" w:ascii="方正仿宋_GBK" w:hAnsi="方正仿宋_GBK" w:eastAsia="方正仿宋_GBK" w:cs="方正仿宋_GBK"/>
          <w:color w:val="auto"/>
          <w:sz w:val="32"/>
          <w:szCs w:val="32"/>
        </w:rPr>
        <w:t>可设置烟草制品零售点</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个</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在</w:t>
      </w:r>
      <w:r>
        <w:rPr>
          <w:rFonts w:hint="eastAsia" w:ascii="方正仿宋_GBK" w:hAnsi="方正仿宋_GBK" w:eastAsia="方正仿宋_GBK" w:cs="方正仿宋_GBK"/>
          <w:color w:val="auto"/>
          <w:sz w:val="32"/>
          <w:szCs w:val="32"/>
          <w:lang w:eastAsia="zh-CN"/>
        </w:rPr>
        <w:t>册</w:t>
      </w:r>
      <w:r>
        <w:rPr>
          <w:rFonts w:hint="eastAsia" w:ascii="方正仿宋_GBK" w:hAnsi="方正仿宋_GBK" w:eastAsia="方正仿宋_GBK" w:cs="方正仿宋_GBK"/>
          <w:color w:val="auto"/>
          <w:sz w:val="32"/>
          <w:szCs w:val="32"/>
        </w:rPr>
        <w:t>工人</w:t>
      </w:r>
      <w:r>
        <w:rPr>
          <w:rFonts w:hint="eastAsia" w:ascii="方正仿宋_GBK" w:hAnsi="方正仿宋_GBK" w:eastAsia="方正仿宋_GBK" w:cs="方正仿宋_GBK"/>
          <w:color w:val="auto"/>
          <w:sz w:val="32"/>
          <w:szCs w:val="32"/>
          <w:lang w:val="en-US" w:eastAsia="zh-CN"/>
        </w:rPr>
        <w:t>600人以上</w:t>
      </w:r>
      <w:r>
        <w:rPr>
          <w:rFonts w:hint="eastAsia" w:ascii="方正仿宋_GBK" w:hAnsi="方正仿宋_GBK" w:eastAsia="方正仿宋_GBK" w:cs="方正仿宋_GBK"/>
          <w:color w:val="auto"/>
          <w:sz w:val="32"/>
          <w:szCs w:val="32"/>
        </w:rPr>
        <w:t>可设置烟草制品零售点</w:t>
      </w: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个</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kern w:val="2"/>
          <w:sz w:val="32"/>
          <w:szCs w:val="32"/>
          <w:lang w:eastAsia="zh-TW" w:bidi="ar-SA"/>
        </w:rPr>
        <w:t>其许可证有效期不得超过工程期限</w:t>
      </w:r>
      <w:r>
        <w:rPr>
          <w:rFonts w:hint="eastAsia" w:ascii="方正仿宋_GBK" w:hAnsi="方正仿宋_GBK" w:eastAsia="方正仿宋_GBK" w:cs="方正仿宋_GBK"/>
          <w:color w:val="auto"/>
          <w:kern w:val="2"/>
          <w:sz w:val="32"/>
          <w:szCs w:val="32"/>
          <w:lang w:eastAsia="zh-CN" w:bidi="ar-SA"/>
        </w:rPr>
        <w:t>，</w:t>
      </w:r>
      <w:r>
        <w:rPr>
          <w:rFonts w:hint="eastAsia" w:ascii="方正仿宋_GBK" w:hAnsi="方正仿宋_GBK" w:eastAsia="方正仿宋_GBK" w:cs="方正仿宋_GBK"/>
          <w:color w:val="auto"/>
          <w:sz w:val="32"/>
          <w:szCs w:val="32"/>
          <w:lang w:eastAsia="zh-CN"/>
        </w:rPr>
        <w:t>在符合所在单元格总量标准的前提下，间距可放宽</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lang w:eastAsia="zh-CN"/>
        </w:rPr>
        <w:t>0%</w:t>
      </w:r>
      <w:r>
        <w:rPr>
          <w:rFonts w:hint="eastAsia" w:ascii="方正仿宋_GBK" w:hAnsi="方正仿宋_GBK" w:eastAsia="方正仿宋_GBK" w:cs="方正仿宋_GBK"/>
          <w:color w:val="auto"/>
          <w:sz w:val="32"/>
          <w:szCs w:val="32"/>
        </w:rPr>
        <w:t>。</w:t>
      </w:r>
    </w:p>
    <w:p w14:paraId="5D3A78CA">
      <w:pPr>
        <w:spacing w:line="360" w:lineRule="auto"/>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（六）</w:t>
      </w:r>
      <w:r>
        <w:rPr>
          <w:rFonts w:hint="eastAsia" w:ascii="方正仿宋_GBK" w:hAnsi="方正仿宋_GBK" w:eastAsia="方正仿宋_GBK" w:cs="方正仿宋_GBK"/>
          <w:color w:val="auto"/>
          <w:sz w:val="32"/>
          <w:szCs w:val="32"/>
          <w:lang w:val="en-US" w:eastAsia="zh-CN"/>
        </w:rPr>
        <w:t>大中型商场、超市、购物中心，营业面积在300平方米以上，可设置1个卷烟零售点。</w:t>
      </w:r>
    </w:p>
    <w:p w14:paraId="766AD385">
      <w:pPr>
        <w:spacing w:line="360" w:lineRule="auto"/>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（七）稻城县亚丁旅游景点服务区（游客中心）内提供问询、餐饮、日杂商品售卖等服务的场所可以设置3个烟草制品零售点，</w:t>
      </w:r>
      <w:r>
        <w:rPr>
          <w:rFonts w:hint="eastAsia" w:ascii="方正仿宋_GBK" w:hAnsi="方正仿宋_GBK" w:eastAsia="方正仿宋_GBK" w:cs="方正仿宋_GBK"/>
          <w:color w:val="auto"/>
          <w:sz w:val="32"/>
          <w:szCs w:val="32"/>
          <w:lang w:eastAsia="zh-CN"/>
        </w:rPr>
        <w:t>在符合所在单元格总量标准的前提下，间距可放宽</w:t>
      </w:r>
      <w:r>
        <w:rPr>
          <w:rFonts w:hint="eastAsia" w:ascii="方正仿宋_GBK" w:hAnsi="方正仿宋_GBK" w:eastAsia="方正仿宋_GBK" w:cs="方正仿宋_GBK"/>
          <w:color w:val="auto"/>
          <w:sz w:val="32"/>
          <w:szCs w:val="32"/>
          <w:lang w:val="en-US" w:eastAsia="zh-CN"/>
        </w:rPr>
        <w:t>50</w:t>
      </w:r>
      <w:r>
        <w:rPr>
          <w:rFonts w:hint="eastAsia" w:ascii="方正仿宋_GBK" w:hAnsi="方正仿宋_GBK" w:eastAsia="方正仿宋_GBK" w:cs="方正仿宋_GBK"/>
          <w:color w:val="auto"/>
          <w:sz w:val="32"/>
          <w:szCs w:val="32"/>
          <w:lang w:eastAsia="zh-CN"/>
        </w:rPr>
        <w:t>%。</w:t>
      </w:r>
    </w:p>
    <w:p w14:paraId="2F34D191">
      <w:pPr>
        <w:spacing w:line="360" w:lineRule="auto"/>
        <w:ind w:firstLine="616"/>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color w:val="auto"/>
          <w:sz w:val="32"/>
          <w:szCs w:val="32"/>
        </w:rPr>
        <w:t>优待政策执行要求：申请人本人实际从事经营活动，不得转租、转借、挂靠他人经营，优待政策仅在限制数量上予以优待，不得简化法定许可证审批</w:t>
      </w:r>
      <w:r>
        <w:rPr>
          <w:rFonts w:hint="eastAsia" w:ascii="方正仿宋_GBK" w:hAnsi="方正仿宋_GBK" w:eastAsia="方正仿宋_GBK" w:cs="方正仿宋_GBK"/>
          <w:color w:val="auto"/>
          <w:sz w:val="32"/>
          <w:szCs w:val="32"/>
          <w:lang w:eastAsia="zh-CN"/>
        </w:rPr>
        <w:t>程序，</w:t>
      </w:r>
      <w:r>
        <w:rPr>
          <w:rFonts w:hint="eastAsia" w:ascii="方正仿宋_GBK" w:hAnsi="方正仿宋_GBK" w:eastAsia="方正仿宋_GBK" w:cs="方正仿宋_GBK"/>
          <w:color w:val="auto"/>
          <w:sz w:val="32"/>
          <w:szCs w:val="32"/>
        </w:rPr>
        <w:t xml:space="preserve">因享受本条规定优待而准予许可的，应在做出许可决定前通过公示等方式告知利益相关人。 </w:t>
      </w:r>
    </w:p>
    <w:p w14:paraId="4EFE6339">
      <w:pPr>
        <w:spacing w:line="360" w:lineRule="auto"/>
        <w:jc w:val="center"/>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第</w:t>
      </w:r>
      <w:r>
        <w:rPr>
          <w:rFonts w:hint="eastAsia" w:ascii="方正黑体_GBK" w:hAnsi="方正黑体_GBK" w:eastAsia="方正黑体_GBK" w:cs="方正黑体_GBK"/>
          <w:b w:val="0"/>
          <w:bCs w:val="0"/>
          <w:sz w:val="32"/>
          <w:szCs w:val="32"/>
          <w:lang w:eastAsia="zh-CN"/>
        </w:rPr>
        <w:t>四</w:t>
      </w:r>
      <w:r>
        <w:rPr>
          <w:rFonts w:hint="eastAsia" w:ascii="方正黑体_GBK" w:hAnsi="方正黑体_GBK" w:eastAsia="方正黑体_GBK" w:cs="方正黑体_GBK"/>
          <w:b w:val="0"/>
          <w:bCs w:val="0"/>
          <w:sz w:val="32"/>
          <w:szCs w:val="32"/>
        </w:rPr>
        <w:t xml:space="preserve">章  </w:t>
      </w:r>
      <w:r>
        <w:rPr>
          <w:rFonts w:hint="eastAsia" w:ascii="方正黑体_GBK" w:hAnsi="方正黑体_GBK" w:eastAsia="方正黑体_GBK" w:cs="方正黑体_GBK"/>
          <w:b w:val="0"/>
          <w:bCs w:val="0"/>
          <w:color w:val="000000"/>
          <w:sz w:val="32"/>
          <w:szCs w:val="30"/>
          <w:lang w:eastAsia="zh-CN"/>
        </w:rPr>
        <w:t>禁止性条款</w:t>
      </w:r>
    </w:p>
    <w:p w14:paraId="016084B2">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一</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有下列情形之一的，禁止设置烟草制品零售点：</w:t>
      </w:r>
    </w:p>
    <w:p w14:paraId="7445FA72">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（一）申请资格类禁止性条款</w:t>
      </w:r>
    </w:p>
    <w:p w14:paraId="594FBCF3">
      <w:pPr>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1、无</w:t>
      </w:r>
      <w:r>
        <w:rPr>
          <w:rFonts w:hint="eastAsia" w:ascii="方正仿宋_GBK" w:hAnsi="方正仿宋_GBK" w:eastAsia="方正仿宋_GBK" w:cs="方正仿宋_GBK"/>
          <w:color w:val="auto"/>
          <w:sz w:val="32"/>
          <w:szCs w:val="32"/>
        </w:rPr>
        <w:t>民事行为能力或限制民事行为能力人。</w:t>
      </w:r>
    </w:p>
    <w:p w14:paraId="4F6E1EA3">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外商投资的商业企业或者个体工商户，或外商投资的商业企业或者个体工商户以特许、吸纳加盟店及其他再投资等形式变相从事烟草专卖品经营的。</w:t>
      </w:r>
    </w:p>
    <w:p w14:paraId="4EFF3CF0">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取消从事烟草专卖业务资格不满三年的。</w:t>
      </w:r>
    </w:p>
    <w:p w14:paraId="50D34B9F">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申请人隐瞒有关情况或者提供虚假材料，烟草专卖行政主管部门作出不予受理或者不予发证决定后，申请人一年内再次提出申请的。</w:t>
      </w:r>
    </w:p>
    <w:p w14:paraId="26CA8527">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申请人以欺骗、贿赂等不正当手段取得的烟草专卖许可证被撤销后，申请人三年内再次提出申请的。</w:t>
      </w:r>
    </w:p>
    <w:p w14:paraId="382E767D">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未领取烟草专卖零售许可证经营烟草专卖品业务，并且一年内被执法机关处罚两次以上，在三年内申请领取烟草专卖零售许可证的。</w:t>
      </w:r>
    </w:p>
    <w:p w14:paraId="3CB9E3B7">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未领取烟草专卖零售许可证经营烟草制品业务被追究刑事责任，在3年内申请领取烟草专卖零售许可证的。</w:t>
      </w:r>
    </w:p>
    <w:p w14:paraId="3FE50A71">
      <w:pPr>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（二）经营场所方面</w:t>
      </w:r>
    </w:p>
    <w:p w14:paraId="47D02BB7">
      <w:pPr>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1、无</w:t>
      </w:r>
      <w:r>
        <w:rPr>
          <w:rFonts w:hint="eastAsia" w:ascii="方正仿宋_GBK" w:hAnsi="方正仿宋_GBK" w:eastAsia="方正仿宋_GBK" w:cs="方正仿宋_GBK"/>
          <w:color w:val="auto"/>
          <w:sz w:val="32"/>
          <w:szCs w:val="32"/>
        </w:rPr>
        <w:t>固定经营场所的。</w:t>
      </w:r>
    </w:p>
    <w:p w14:paraId="4E83BB89">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经营场所与住所不相独立的。</w:t>
      </w:r>
    </w:p>
    <w:p w14:paraId="77F2E4F1">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同一经营场所已经办理了烟草专卖零售许可证，且该许可证在有效期内的。</w:t>
      </w:r>
    </w:p>
    <w:p w14:paraId="42343321">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经营场所存在安全隐患，且不具备安全</w:t>
      </w:r>
      <w:r>
        <w:rPr>
          <w:rFonts w:hint="eastAsia" w:ascii="方正仿宋_GBK" w:hAnsi="方正仿宋_GBK" w:eastAsia="方正仿宋_GBK" w:cs="方正仿宋_GBK"/>
          <w:sz w:val="32"/>
          <w:szCs w:val="32"/>
          <w:lang w:val="en-US" w:eastAsia="zh-CN"/>
        </w:rPr>
        <w:t>保障</w:t>
      </w:r>
      <w:r>
        <w:rPr>
          <w:rFonts w:hint="eastAsia" w:ascii="方正仿宋_GBK" w:hAnsi="方正仿宋_GBK" w:eastAsia="方正仿宋_GBK" w:cs="方正仿宋_GBK"/>
          <w:sz w:val="32"/>
          <w:szCs w:val="32"/>
        </w:rPr>
        <w:t>措施，不适宜经营卷烟的，包括但不限于经营或存放有毒有害、易燃易爆、放射性物品的场所。具备安全保障措施的加油站便利店除外。</w:t>
      </w:r>
    </w:p>
    <w:p w14:paraId="7DA1229D">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（三）经营方式方面</w:t>
      </w:r>
    </w:p>
    <w:p w14:paraId="1676A4CB">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涉烟自动售货机（柜）、无人超市、电玩游戏机等自动售货形式，销售或者变相销售烟草制品的。</w:t>
      </w:r>
    </w:p>
    <w:p w14:paraId="557A08DB">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利用信息网络渠道销售卷烟的。</w:t>
      </w:r>
    </w:p>
    <w:p w14:paraId="61CA8396">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（四）特殊区域方面</w:t>
      </w:r>
    </w:p>
    <w:p w14:paraId="4146B260">
      <w:pPr>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中小学、幼儿园内部及进出通道口向外延伸100米以内的经营场所。</w:t>
      </w:r>
    </w:p>
    <w:p w14:paraId="72BE1A36">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诊所、医院、党政机关内部等依照当地政府或机构明确规定不能设置烟草制品零售点的。</w:t>
      </w:r>
    </w:p>
    <w:p w14:paraId="6152DE6E">
      <w:pPr>
        <w:pStyle w:val="14"/>
        <w:spacing w:line="600" w:lineRule="exact"/>
        <w:rPr>
          <w:rFonts w:hint="eastAsia" w:ascii="方正仿宋_GBK" w:hAnsi="方正仿宋_GBK" w:eastAsia="方正仿宋_GBK" w:cs="方正仿宋_GBK"/>
          <w:color w:val="000000"/>
          <w:sz w:val="32"/>
          <w:szCs w:val="30"/>
          <w:lang w:eastAsia="zh-CN"/>
        </w:rPr>
      </w:pPr>
      <w:r>
        <w:rPr>
          <w:rFonts w:hint="eastAsia" w:ascii="方正仿宋_GBK" w:hAnsi="方正仿宋_GBK" w:eastAsia="方正仿宋_GBK" w:cs="方正仿宋_GBK"/>
          <w:sz w:val="32"/>
          <w:szCs w:val="32"/>
        </w:rPr>
        <w:t>（五）</w:t>
      </w:r>
      <w:r>
        <w:rPr>
          <w:rFonts w:hint="eastAsia" w:ascii="方正仿宋_GBK" w:hAnsi="方正仿宋_GBK" w:eastAsia="方正仿宋_GBK" w:cs="方正仿宋_GBK"/>
          <w:sz w:val="32"/>
          <w:szCs w:val="32"/>
          <w:lang w:eastAsia="zh-CN"/>
        </w:rPr>
        <w:t>法律法规</w:t>
      </w:r>
      <w:r>
        <w:rPr>
          <w:rFonts w:hint="eastAsia" w:ascii="方正仿宋_GBK" w:hAnsi="方正仿宋_GBK" w:eastAsia="方正仿宋_GBK" w:cs="方正仿宋_GBK"/>
          <w:sz w:val="32"/>
          <w:szCs w:val="32"/>
        </w:rPr>
        <w:t>、规章和国家烟草专卖局规定的其他不予发证的情形</w:t>
      </w:r>
      <w:r>
        <w:rPr>
          <w:rFonts w:hint="eastAsia" w:ascii="方正仿宋_GBK" w:hAnsi="方正仿宋_GBK" w:eastAsia="方正仿宋_GBK" w:cs="方正仿宋_GBK"/>
          <w:color w:val="000000"/>
          <w:sz w:val="32"/>
          <w:szCs w:val="30"/>
          <w:lang w:eastAsia="zh-CN"/>
        </w:rPr>
        <w:t>。</w:t>
      </w:r>
    </w:p>
    <w:p w14:paraId="5AFD6F8F">
      <w:pPr>
        <w:spacing w:line="360" w:lineRule="auto"/>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eastAsia="zh-CN"/>
        </w:rPr>
        <w:t>五</w:t>
      </w:r>
      <w:r>
        <w:rPr>
          <w:rFonts w:hint="eastAsia" w:ascii="方正黑体_GBK" w:hAnsi="方正黑体_GBK" w:eastAsia="方正黑体_GBK" w:cs="方正黑体_GBK"/>
          <w:sz w:val="32"/>
          <w:szCs w:val="32"/>
        </w:rPr>
        <w:t>章  附则</w:t>
      </w:r>
    </w:p>
    <w:p w14:paraId="6BAC9656">
      <w:pPr>
        <w:spacing w:line="360" w:lineRule="auto"/>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二</w:t>
      </w:r>
      <w:r>
        <w:rPr>
          <w:rFonts w:hint="eastAsia" w:ascii="方正仿宋_GBK" w:hAnsi="方正仿宋_GBK" w:eastAsia="方正仿宋_GBK" w:cs="方正仿宋_GBK"/>
          <w:b/>
          <w:bCs/>
          <w:sz w:val="32"/>
          <w:szCs w:val="32"/>
        </w:rPr>
        <w:t xml:space="preserve">条 </w:t>
      </w:r>
      <w:r>
        <w:rPr>
          <w:rFonts w:hint="eastAsia" w:ascii="方正仿宋_GBK" w:hAnsi="方正仿宋_GBK" w:eastAsia="方正仿宋_GBK" w:cs="方正仿宋_GBK"/>
          <w:b w:val="0"/>
          <w:bCs w:val="0"/>
          <w:sz w:val="32"/>
          <w:szCs w:val="32"/>
          <w:lang w:eastAsia="zh-CN"/>
        </w:rPr>
        <w:t>本</w:t>
      </w:r>
      <w:r>
        <w:rPr>
          <w:rFonts w:hint="eastAsia" w:ascii="方正仿宋_GBK" w:hAnsi="方正仿宋_GBK" w:eastAsia="方正仿宋_GBK" w:cs="方正仿宋_GBK"/>
          <w:sz w:val="32"/>
          <w:szCs w:val="32"/>
        </w:rPr>
        <w:t>规定中的“中小学、幼儿园”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是指以未成年</w:t>
      </w:r>
      <w:r>
        <w:rPr>
          <w:rFonts w:hint="eastAsia" w:ascii="方正仿宋_GBK" w:hAnsi="方正仿宋_GBK" w:eastAsia="方正仿宋_GBK" w:cs="方正仿宋_GBK"/>
          <w:sz w:val="32"/>
          <w:szCs w:val="32"/>
          <w:lang w:val="en-US" w:eastAsia="zh-CN"/>
        </w:rPr>
        <w:t>人</w:t>
      </w:r>
      <w:r>
        <w:rPr>
          <w:rFonts w:hint="eastAsia" w:ascii="方正仿宋_GBK" w:hAnsi="方正仿宋_GBK" w:eastAsia="方正仿宋_GBK" w:cs="方正仿宋_GBK"/>
          <w:sz w:val="32"/>
          <w:szCs w:val="32"/>
        </w:rPr>
        <w:t>为教育对象，实施中等和初等教育、包括幼儿园、普通小学、普通中学和其他以未成年人为教育对象的实施中等和初等教育的各类学校，如职业中学、中等专业学校等。</w:t>
      </w:r>
    </w:p>
    <w:p w14:paraId="5CC8BFCF">
      <w:pPr>
        <w:spacing w:line="360" w:lineRule="auto"/>
        <w:ind w:firstLine="64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三</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学校周围是指自中小学</w:t>
      </w:r>
      <w:r>
        <w:rPr>
          <w:rFonts w:hint="eastAsia" w:ascii="方正仿宋_GBK" w:hAnsi="方正仿宋_GBK" w:eastAsia="方正仿宋_GBK" w:cs="方正仿宋_GBK"/>
          <w:sz w:val="32"/>
          <w:szCs w:val="32"/>
          <w:lang w:eastAsia="zh-CN"/>
        </w:rPr>
        <w:t>、幼儿园</w:t>
      </w:r>
      <w:r>
        <w:rPr>
          <w:rFonts w:hint="eastAsia" w:ascii="方正仿宋_GBK" w:hAnsi="方正仿宋_GBK" w:eastAsia="方正仿宋_GBK" w:cs="方正仿宋_GBK"/>
          <w:sz w:val="32"/>
          <w:szCs w:val="32"/>
        </w:rPr>
        <w:t>学生进出通道口中心向外延伸一定距离的区域</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进出通道（包括后门、侧门）。</w:t>
      </w:r>
    </w:p>
    <w:p w14:paraId="5A597CA8">
      <w:pPr>
        <w:spacing w:line="360" w:lineRule="auto"/>
        <w:ind w:firstLine="643" w:firstLineChars="200"/>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四</w:t>
      </w:r>
      <w:r>
        <w:rPr>
          <w:rFonts w:hint="eastAsia" w:ascii="方正仿宋_GBK" w:hAnsi="方正仿宋_GBK" w:eastAsia="方正仿宋_GBK" w:cs="方正仿宋_GBK"/>
          <w:b/>
          <w:bCs/>
          <w:sz w:val="32"/>
          <w:szCs w:val="32"/>
        </w:rPr>
        <w:t xml:space="preserve">条 </w:t>
      </w:r>
      <w:r>
        <w:rPr>
          <w:rFonts w:hint="eastAsia" w:ascii="方正仿宋_GBK" w:hAnsi="方正仿宋_GBK" w:eastAsia="方正仿宋_GBK" w:cs="方正仿宋_GBK"/>
          <w:sz w:val="32"/>
          <w:szCs w:val="32"/>
        </w:rPr>
        <w:t>本规定间距测量方式按照甘孜藏族自治州烟草专卖局规定统一测量方式进行测量</w:t>
      </w:r>
      <w:r>
        <w:rPr>
          <w:rFonts w:hint="eastAsia" w:ascii="方正仿宋_GBK" w:hAnsi="方正仿宋_GBK" w:eastAsia="方正仿宋_GBK" w:cs="方正仿宋_GBK"/>
          <w:sz w:val="32"/>
          <w:szCs w:val="32"/>
          <w:lang w:eastAsia="zh-CN"/>
        </w:rPr>
        <w:t>。</w:t>
      </w:r>
    </w:p>
    <w:p w14:paraId="20F70308">
      <w:pPr>
        <w:spacing w:line="360" w:lineRule="auto"/>
        <w:ind w:firstLine="643"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五</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因城乡建设、拆迁等原因，造成区域范围、名称发生改变的，合理布局标准按本</w:t>
      </w:r>
      <w:r>
        <w:rPr>
          <w:rFonts w:hint="eastAsia" w:ascii="方正仿宋_GBK" w:hAnsi="方正仿宋_GBK" w:eastAsia="方正仿宋_GBK" w:cs="方正仿宋_GBK"/>
          <w:sz w:val="32"/>
          <w:szCs w:val="32"/>
          <w:lang w:eastAsia="zh-CN"/>
        </w:rPr>
        <w:t>规定</w:t>
      </w:r>
      <w:bookmarkStart w:id="5" w:name="_GoBack"/>
      <w:bookmarkEnd w:id="5"/>
      <w:r>
        <w:rPr>
          <w:rFonts w:hint="eastAsia" w:ascii="方正仿宋_GBK" w:hAnsi="方正仿宋_GBK" w:eastAsia="方正仿宋_GBK" w:cs="方正仿宋_GBK"/>
          <w:sz w:val="32"/>
          <w:szCs w:val="32"/>
        </w:rPr>
        <w:t>公布之日划分区域设定标准执行。</w:t>
      </w:r>
    </w:p>
    <w:p w14:paraId="18FB4B9A">
      <w:pPr>
        <w:spacing w:line="360" w:lineRule="auto"/>
        <w:ind w:firstLine="643"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w:t>
      </w:r>
      <w:r>
        <w:rPr>
          <w:rFonts w:hint="eastAsia" w:ascii="方正仿宋_GBK" w:hAnsi="方正仿宋_GBK" w:eastAsia="方正仿宋_GBK" w:cs="方正仿宋_GBK"/>
          <w:b/>
          <w:bCs/>
          <w:sz w:val="32"/>
          <w:szCs w:val="32"/>
          <w:lang w:eastAsia="zh-CN"/>
        </w:rPr>
        <w:t>十六</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中的“以内”</w:t>
      </w:r>
      <w:r>
        <w:rPr>
          <w:rFonts w:hint="eastAsia" w:ascii="方正仿宋_GBK" w:hAnsi="方正仿宋_GBK" w:eastAsia="方正仿宋_GBK" w:cs="方正仿宋_GBK"/>
          <w:sz w:val="32"/>
          <w:szCs w:val="32"/>
          <w:lang w:eastAsia="zh-CN"/>
        </w:rPr>
        <w:t>“以外”</w:t>
      </w:r>
      <w:r>
        <w:rPr>
          <w:rFonts w:hint="eastAsia" w:ascii="方正仿宋_GBK" w:hAnsi="方正仿宋_GBK" w:eastAsia="方正仿宋_GBK" w:cs="方正仿宋_GBK"/>
          <w:sz w:val="32"/>
          <w:szCs w:val="32"/>
        </w:rPr>
        <w:t>“以上”“以下”“</w:t>
      </w:r>
      <w:r>
        <w:rPr>
          <w:rFonts w:hint="eastAsia" w:ascii="方正仿宋_GBK" w:hAnsi="方正仿宋_GBK" w:eastAsia="方正仿宋_GBK" w:cs="方正仿宋_GBK"/>
          <w:sz w:val="32"/>
          <w:szCs w:val="32"/>
          <w:lang w:eastAsia="zh-CN"/>
        </w:rPr>
        <w:t>不</w:t>
      </w:r>
      <w:r>
        <w:rPr>
          <w:rFonts w:hint="eastAsia" w:ascii="方正仿宋_GBK" w:hAnsi="方正仿宋_GBK" w:eastAsia="方正仿宋_GBK" w:cs="方正仿宋_GBK"/>
          <w:sz w:val="32"/>
          <w:szCs w:val="32"/>
        </w:rPr>
        <w:t>少于”包含本级或本数。</w:t>
      </w:r>
    </w:p>
    <w:p w14:paraId="4ACD8F50">
      <w:pPr>
        <w:spacing w:line="360" w:lineRule="auto"/>
        <w:ind w:firstLine="56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w:t>
      </w:r>
      <w:r>
        <w:rPr>
          <w:rFonts w:hint="eastAsia" w:ascii="方正仿宋_GBK" w:hAnsi="方正仿宋_GBK" w:eastAsia="方正仿宋_GBK" w:cs="方正仿宋_GBK"/>
          <w:b/>
          <w:bCs/>
          <w:sz w:val="32"/>
          <w:szCs w:val="32"/>
          <w:lang w:eastAsia="zh-CN"/>
        </w:rPr>
        <w:t>七</w:t>
      </w:r>
      <w:r>
        <w:rPr>
          <w:rFonts w:hint="eastAsia" w:ascii="方正仿宋_GBK" w:hAnsi="方正仿宋_GBK" w:eastAsia="方正仿宋_GBK" w:cs="方正仿宋_GBK"/>
          <w:b/>
          <w:bCs/>
          <w:sz w:val="32"/>
          <w:szCs w:val="32"/>
        </w:rPr>
        <w:t>条</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自公布之日起30日后施行，有效期五年。原《</w:t>
      </w:r>
      <w:r>
        <w:rPr>
          <w:rFonts w:hint="eastAsia" w:ascii="方正仿宋_GBK" w:hAnsi="方正仿宋_GBK" w:eastAsia="方正仿宋_GBK" w:cs="方正仿宋_GBK"/>
          <w:sz w:val="32"/>
          <w:szCs w:val="32"/>
          <w:lang w:eastAsia="zh-CN"/>
        </w:rPr>
        <w:t>稻城县</w:t>
      </w:r>
      <w:r>
        <w:rPr>
          <w:rFonts w:hint="eastAsia" w:ascii="方正仿宋_GBK" w:hAnsi="方正仿宋_GBK" w:eastAsia="方正仿宋_GBK" w:cs="方正仿宋_GBK"/>
          <w:sz w:val="32"/>
          <w:szCs w:val="32"/>
        </w:rPr>
        <w:t>烟草制品零售点合理布局规定》（稻烟专〔2021〕10号）同时废止。</w:t>
      </w:r>
    </w:p>
    <w:p w14:paraId="5D6940B6">
      <w:pPr>
        <w:spacing w:line="360" w:lineRule="auto"/>
        <w:ind w:left="0" w:leftChars="0" w:firstLine="640" w:firstLineChars="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w:t>
      </w:r>
      <w:r>
        <w:rPr>
          <w:rFonts w:hint="eastAsia" w:ascii="方正仿宋_GBK" w:hAnsi="方正仿宋_GBK" w:eastAsia="方正仿宋_GBK" w:cs="方正仿宋_GBK"/>
          <w:b/>
          <w:bCs/>
          <w:sz w:val="32"/>
          <w:szCs w:val="32"/>
          <w:lang w:eastAsia="zh-CN"/>
        </w:rPr>
        <w:t>十八</w:t>
      </w:r>
      <w:r>
        <w:rPr>
          <w:rFonts w:hint="eastAsia" w:ascii="方正仿宋_GBK" w:hAnsi="方正仿宋_GBK" w:eastAsia="方正仿宋_GBK" w:cs="方正仿宋_GBK"/>
          <w:b/>
          <w:bCs/>
          <w:sz w:val="32"/>
          <w:szCs w:val="32"/>
        </w:rPr>
        <w:t>条</w:t>
      </w:r>
      <w:bookmarkStart w:id="0" w:name="OLE_LINK4"/>
      <w:bookmarkStart w:id="1" w:name="OLE_LINK3"/>
      <w:bookmarkStart w:id="2" w:name="OLE_LINK5"/>
      <w:bookmarkStart w:id="3" w:name="OLE_LINK2"/>
      <w:bookmarkStart w:id="4" w:name="OLE_LINK6"/>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本规</w:t>
      </w:r>
      <w:r>
        <w:rPr>
          <w:rFonts w:hint="eastAsia" w:ascii="方正仿宋_GBK" w:hAnsi="方正仿宋_GBK" w:eastAsia="方正仿宋_GBK" w:cs="方正仿宋_GBK"/>
          <w:sz w:val="32"/>
          <w:szCs w:val="32"/>
          <w:lang w:eastAsia="zh-CN"/>
        </w:rPr>
        <w:t>定</w:t>
      </w:r>
      <w:r>
        <w:rPr>
          <w:rFonts w:hint="eastAsia" w:ascii="方正仿宋_GBK" w:hAnsi="方正仿宋_GBK" w:eastAsia="方正仿宋_GBK" w:cs="方正仿宋_GBK"/>
          <w:sz w:val="32"/>
          <w:szCs w:val="32"/>
        </w:rPr>
        <w:t>由</w:t>
      </w:r>
      <w:r>
        <w:rPr>
          <w:rFonts w:hint="eastAsia" w:ascii="方正仿宋_GBK" w:hAnsi="方正仿宋_GBK" w:eastAsia="方正仿宋_GBK" w:cs="方正仿宋_GBK"/>
          <w:sz w:val="32"/>
          <w:szCs w:val="32"/>
          <w:lang w:eastAsia="zh-CN"/>
        </w:rPr>
        <w:t>稻城县</w:t>
      </w:r>
      <w:r>
        <w:rPr>
          <w:rFonts w:hint="eastAsia" w:ascii="方正仿宋_GBK" w:hAnsi="方正仿宋_GBK" w:eastAsia="方正仿宋_GBK" w:cs="方正仿宋_GBK"/>
          <w:sz w:val="32"/>
          <w:szCs w:val="32"/>
        </w:rPr>
        <w:t>烟草专卖局负责解释</w:t>
      </w:r>
      <w:bookmarkEnd w:id="0"/>
      <w:bookmarkEnd w:id="1"/>
      <w:bookmarkEnd w:id="2"/>
      <w:bookmarkEnd w:id="3"/>
      <w:bookmarkEnd w:id="4"/>
      <w:r>
        <w:rPr>
          <w:rFonts w:hint="eastAsia" w:ascii="方正仿宋_GBK" w:hAnsi="方正仿宋_GBK" w:eastAsia="方正仿宋_GBK" w:cs="方正仿宋_GBK"/>
          <w:sz w:val="32"/>
          <w:szCs w:val="32"/>
        </w:rPr>
        <w:t>。</w:t>
      </w:r>
    </w:p>
    <w:p w14:paraId="42C5CC1F">
      <w:pPr>
        <w:spacing w:line="360" w:lineRule="auto"/>
        <w:ind w:firstLine="560"/>
        <w:jc w:val="left"/>
        <w:rPr>
          <w:rFonts w:hint="eastAsia" w:eastAsia="仿宋_GB2312" w:cs="仿宋_GB2312"/>
          <w:sz w:val="32"/>
          <w:szCs w:val="28"/>
        </w:rPr>
      </w:pPr>
    </w:p>
    <w:p w14:paraId="17DF369A">
      <w:pPr>
        <w:rPr>
          <w:rFonts w:ascii="微软雅黑" w:hAnsi="微软雅黑" w:eastAsia="微软雅黑"/>
          <w:color w:val="333333"/>
          <w:sz w:val="28"/>
          <w:szCs w:val="28"/>
        </w:rPr>
      </w:pPr>
    </w:p>
    <w:p w14:paraId="3CC31457">
      <w:pPr>
        <w:jc w:val="both"/>
        <w:rPr>
          <w:rFonts w:ascii="微软雅黑" w:hAnsi="微软雅黑" w:eastAsia="微软雅黑"/>
          <w:color w:val="333333"/>
          <w:sz w:val="28"/>
          <w:szCs w:val="28"/>
        </w:rPr>
      </w:pPr>
    </w:p>
    <w:p w14:paraId="0FC774D0">
      <w:pPr>
        <w:jc w:val="both"/>
        <w:rPr>
          <w:rFonts w:ascii="微软雅黑" w:hAnsi="微软雅黑" w:eastAsia="微软雅黑"/>
          <w:color w:val="333333"/>
          <w:sz w:val="28"/>
          <w:szCs w:val="28"/>
        </w:rPr>
      </w:pPr>
    </w:p>
    <w:p w14:paraId="6898D2A2">
      <w:pPr>
        <w:bidi w:val="0"/>
        <w:jc w:val="left"/>
        <w:rPr>
          <w:rFonts w:hint="eastAsia"/>
          <w:lang w:val="en-US" w:eastAsia="zh-CN"/>
        </w:rPr>
      </w:pPr>
    </w:p>
    <w:sectPr>
      <w:footerReference r:id="rId3" w:type="default"/>
      <w:footerReference r:id="rId4" w:type="even"/>
      <w:pgSz w:w="11906" w:h="16838"/>
      <w:pgMar w:top="1417" w:right="1134"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兰亭黑_GBK">
    <w:altName w:val="方正黑体_GBK"/>
    <w:panose1 w:val="02000000000000000000"/>
    <w:charset w:val="86"/>
    <w:family w:val="script"/>
    <w:pitch w:val="default"/>
    <w:sig w:usb0="00000000" w:usb1="00000000" w:usb2="0008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8937B">
    <w:pPr>
      <w:pStyle w:val="6"/>
      <w:framePr w:wrap="around" w:vAnchor="text" w:hAnchor="margin" w:xAlign="center" w:y="1"/>
      <w:tabs>
        <w:tab w:val="clear" w:pos="4153"/>
        <w:tab w:val="clear" w:pos="8306"/>
      </w:tabs>
    </w:pPr>
    <w:r>
      <w:rPr>
        <w:rStyle w:val="10"/>
      </w:rPr>
      <w:fldChar w:fldCharType="begin"/>
    </w:r>
    <w:r>
      <w:rPr>
        <w:rStyle w:val="10"/>
      </w:rPr>
      <w:instrText xml:space="preserve">PAGE  </w:instrText>
    </w:r>
    <w:r>
      <w:rPr>
        <w:rStyle w:val="10"/>
      </w:rPr>
      <w:fldChar w:fldCharType="separate"/>
    </w:r>
    <w:r>
      <w:rPr>
        <w:rStyle w:val="10"/>
      </w:rPr>
      <w:t>2</w:t>
    </w:r>
    <w:r>
      <w:rPr>
        <w:rStyle w:val="10"/>
      </w:rPr>
      <w:fldChar w:fldCharType="end"/>
    </w:r>
  </w:p>
  <w:p w14:paraId="5C2F5BC3">
    <w:pPr>
      <w:pStyle w:val="6"/>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724D">
    <w:pPr>
      <w:pStyle w:val="6"/>
      <w:framePr w:wrap="around" w:vAnchor="text" w:hAnchor="margin" w:xAlign="center" w:y="1"/>
      <w:tabs>
        <w:tab w:val="clear" w:pos="4153"/>
        <w:tab w:val="clear" w:pos="8306"/>
      </w:tabs>
    </w:pPr>
    <w:r>
      <w:rPr>
        <w:rStyle w:val="10"/>
      </w:rPr>
      <w:fldChar w:fldCharType="begin"/>
    </w:r>
    <w:r>
      <w:rPr>
        <w:rStyle w:val="10"/>
      </w:rPr>
      <w:instrText xml:space="preserve">PAGE  </w:instrText>
    </w:r>
    <w:r>
      <w:rPr>
        <w:rStyle w:val="10"/>
      </w:rPr>
      <w:fldChar w:fldCharType="separate"/>
    </w:r>
    <w:r>
      <w:rPr>
        <w:rStyle w:val="10"/>
      </w:rPr>
      <w:t xml:space="preserve"> </w:t>
    </w:r>
    <w:r>
      <w:rPr>
        <w:rStyle w:val="10"/>
      </w:rPr>
      <w:fldChar w:fldCharType="end"/>
    </w:r>
  </w:p>
  <w:p w14:paraId="5D8D9C21">
    <w:pPr>
      <w:pStyle w:val="6"/>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3F724BA"/>
    <w:rsid w:val="05B2389E"/>
    <w:rsid w:val="095FDA08"/>
    <w:rsid w:val="09FE6AAB"/>
    <w:rsid w:val="0A2FF52E"/>
    <w:rsid w:val="0B5FB76D"/>
    <w:rsid w:val="0DFF1B16"/>
    <w:rsid w:val="0EF8ACE1"/>
    <w:rsid w:val="0FEFB9CE"/>
    <w:rsid w:val="0FFF043C"/>
    <w:rsid w:val="13FB3DDE"/>
    <w:rsid w:val="15BF42FF"/>
    <w:rsid w:val="169F031E"/>
    <w:rsid w:val="16F7E5B5"/>
    <w:rsid w:val="18FDDAD8"/>
    <w:rsid w:val="18FE1890"/>
    <w:rsid w:val="1A7F259B"/>
    <w:rsid w:val="1B7F90DB"/>
    <w:rsid w:val="1BFFF0D3"/>
    <w:rsid w:val="1CEBBDDF"/>
    <w:rsid w:val="1CF943FE"/>
    <w:rsid w:val="1D67D461"/>
    <w:rsid w:val="1D6E20AD"/>
    <w:rsid w:val="1DBED8FC"/>
    <w:rsid w:val="1DE2C853"/>
    <w:rsid w:val="1F7922EC"/>
    <w:rsid w:val="1F7B05B6"/>
    <w:rsid w:val="1FBF5EDF"/>
    <w:rsid w:val="1FBFD7B8"/>
    <w:rsid w:val="1FD9D41D"/>
    <w:rsid w:val="1FEF3C3E"/>
    <w:rsid w:val="1FEFA65A"/>
    <w:rsid w:val="1FF7ADAC"/>
    <w:rsid w:val="1FFFA29C"/>
    <w:rsid w:val="233F2A5A"/>
    <w:rsid w:val="234A4133"/>
    <w:rsid w:val="24F76F01"/>
    <w:rsid w:val="24FDED76"/>
    <w:rsid w:val="26294CD1"/>
    <w:rsid w:val="263D97C9"/>
    <w:rsid w:val="276FFE7E"/>
    <w:rsid w:val="27720ACC"/>
    <w:rsid w:val="27EB505A"/>
    <w:rsid w:val="27FA9902"/>
    <w:rsid w:val="28DFB9DE"/>
    <w:rsid w:val="296BA6F7"/>
    <w:rsid w:val="2BEE7C6F"/>
    <w:rsid w:val="2BF922B6"/>
    <w:rsid w:val="2BFF51B1"/>
    <w:rsid w:val="2DFDF902"/>
    <w:rsid w:val="2E5FD898"/>
    <w:rsid w:val="2EFCB04D"/>
    <w:rsid w:val="2F9764A0"/>
    <w:rsid w:val="2FB766C2"/>
    <w:rsid w:val="2FFB8237"/>
    <w:rsid w:val="334B7373"/>
    <w:rsid w:val="33669F28"/>
    <w:rsid w:val="34BF9937"/>
    <w:rsid w:val="353F028E"/>
    <w:rsid w:val="35F3D97C"/>
    <w:rsid w:val="35F61C7F"/>
    <w:rsid w:val="369F8EE0"/>
    <w:rsid w:val="377D0724"/>
    <w:rsid w:val="37B33774"/>
    <w:rsid w:val="37BF95AC"/>
    <w:rsid w:val="37DDE695"/>
    <w:rsid w:val="37EC3C98"/>
    <w:rsid w:val="37F30EA4"/>
    <w:rsid w:val="37F71FD6"/>
    <w:rsid w:val="37FE085F"/>
    <w:rsid w:val="37FFA7B7"/>
    <w:rsid w:val="3837DAEB"/>
    <w:rsid w:val="38BFE836"/>
    <w:rsid w:val="395E85E8"/>
    <w:rsid w:val="397BC72B"/>
    <w:rsid w:val="3AFC82DA"/>
    <w:rsid w:val="3AFEFC13"/>
    <w:rsid w:val="3B1FC670"/>
    <w:rsid w:val="3B7BDBA4"/>
    <w:rsid w:val="3B7FE815"/>
    <w:rsid w:val="3B970BF7"/>
    <w:rsid w:val="3BA50514"/>
    <w:rsid w:val="3BCBDFA4"/>
    <w:rsid w:val="3BFAF20C"/>
    <w:rsid w:val="3BFB7CAE"/>
    <w:rsid w:val="3C6DFB5E"/>
    <w:rsid w:val="3C73D0E1"/>
    <w:rsid w:val="3CF198D2"/>
    <w:rsid w:val="3D78453F"/>
    <w:rsid w:val="3D7D32AD"/>
    <w:rsid w:val="3DB53CB7"/>
    <w:rsid w:val="3DFD1A6C"/>
    <w:rsid w:val="3DFD5ECE"/>
    <w:rsid w:val="3E7F8381"/>
    <w:rsid w:val="3EBB0DEF"/>
    <w:rsid w:val="3EBF640A"/>
    <w:rsid w:val="3EC73A8E"/>
    <w:rsid w:val="3ED69698"/>
    <w:rsid w:val="3EEDFC20"/>
    <w:rsid w:val="3EF9188D"/>
    <w:rsid w:val="3EFD705F"/>
    <w:rsid w:val="3EFF6E8F"/>
    <w:rsid w:val="3EFF7735"/>
    <w:rsid w:val="3F132A76"/>
    <w:rsid w:val="3F16E098"/>
    <w:rsid w:val="3FB78CB6"/>
    <w:rsid w:val="3FB956F2"/>
    <w:rsid w:val="3FBB60D2"/>
    <w:rsid w:val="3FBD4E99"/>
    <w:rsid w:val="3FBDEDB5"/>
    <w:rsid w:val="3FBF3DC9"/>
    <w:rsid w:val="3FBF504C"/>
    <w:rsid w:val="3FCD0C28"/>
    <w:rsid w:val="3FCDC928"/>
    <w:rsid w:val="3FD53909"/>
    <w:rsid w:val="3FD75E47"/>
    <w:rsid w:val="3FDE1755"/>
    <w:rsid w:val="3FDF9F84"/>
    <w:rsid w:val="3FEF2B5B"/>
    <w:rsid w:val="3FEFC769"/>
    <w:rsid w:val="3FF60071"/>
    <w:rsid w:val="3FF71721"/>
    <w:rsid w:val="3FFB6AC1"/>
    <w:rsid w:val="3FFF58D0"/>
    <w:rsid w:val="44D76D4D"/>
    <w:rsid w:val="47331F92"/>
    <w:rsid w:val="47475B9E"/>
    <w:rsid w:val="47CF6595"/>
    <w:rsid w:val="47DC408A"/>
    <w:rsid w:val="47DF7246"/>
    <w:rsid w:val="47F9051F"/>
    <w:rsid w:val="47FE977B"/>
    <w:rsid w:val="47FF0642"/>
    <w:rsid w:val="4967D8FE"/>
    <w:rsid w:val="49BDB5B8"/>
    <w:rsid w:val="4AE19CA9"/>
    <w:rsid w:val="4AFFD6ED"/>
    <w:rsid w:val="4BDB6CF0"/>
    <w:rsid w:val="4BDDDD68"/>
    <w:rsid w:val="4CCD56C2"/>
    <w:rsid w:val="4CD7419A"/>
    <w:rsid w:val="4D6F9091"/>
    <w:rsid w:val="4EDE084B"/>
    <w:rsid w:val="4EF7E017"/>
    <w:rsid w:val="4F1FFA82"/>
    <w:rsid w:val="4F6F6501"/>
    <w:rsid w:val="4F7DC36A"/>
    <w:rsid w:val="4F7F170E"/>
    <w:rsid w:val="4F929E87"/>
    <w:rsid w:val="4FA70E83"/>
    <w:rsid w:val="4FE5D50F"/>
    <w:rsid w:val="4FEFF51D"/>
    <w:rsid w:val="4FF7D132"/>
    <w:rsid w:val="4FFFE22D"/>
    <w:rsid w:val="51BDA079"/>
    <w:rsid w:val="51FFE2F3"/>
    <w:rsid w:val="529C6AA2"/>
    <w:rsid w:val="53036F3E"/>
    <w:rsid w:val="53F6E4DB"/>
    <w:rsid w:val="54DFE7D3"/>
    <w:rsid w:val="55CB6E2C"/>
    <w:rsid w:val="55E9DE69"/>
    <w:rsid w:val="567D8E84"/>
    <w:rsid w:val="577E14EA"/>
    <w:rsid w:val="579FB528"/>
    <w:rsid w:val="57DD5841"/>
    <w:rsid w:val="57E78765"/>
    <w:rsid w:val="57FF041D"/>
    <w:rsid w:val="595CBE2B"/>
    <w:rsid w:val="5A1E7314"/>
    <w:rsid w:val="5AB7443A"/>
    <w:rsid w:val="5B67848C"/>
    <w:rsid w:val="5BAF6DDA"/>
    <w:rsid w:val="5BE68F97"/>
    <w:rsid w:val="5BF5932C"/>
    <w:rsid w:val="5BFDB3C0"/>
    <w:rsid w:val="5BFF937C"/>
    <w:rsid w:val="5BFFB5EA"/>
    <w:rsid w:val="5BFFCFFB"/>
    <w:rsid w:val="5C379F9F"/>
    <w:rsid w:val="5E9E4073"/>
    <w:rsid w:val="5EDFC6B5"/>
    <w:rsid w:val="5EFD1CB1"/>
    <w:rsid w:val="5F1EEDAB"/>
    <w:rsid w:val="5F1F98DA"/>
    <w:rsid w:val="5F3FB8DB"/>
    <w:rsid w:val="5F470C76"/>
    <w:rsid w:val="5F47E1A0"/>
    <w:rsid w:val="5F4E8A2E"/>
    <w:rsid w:val="5F4FA3A0"/>
    <w:rsid w:val="5F6EC2DB"/>
    <w:rsid w:val="5F7FDC5B"/>
    <w:rsid w:val="5F7FDD0E"/>
    <w:rsid w:val="5F8A521E"/>
    <w:rsid w:val="5FB52387"/>
    <w:rsid w:val="5FB71EE6"/>
    <w:rsid w:val="5FBFA4E0"/>
    <w:rsid w:val="5FD60CF1"/>
    <w:rsid w:val="5FDFF280"/>
    <w:rsid w:val="5FE7F111"/>
    <w:rsid w:val="5FEF821E"/>
    <w:rsid w:val="5FF3DD25"/>
    <w:rsid w:val="5FF4A80C"/>
    <w:rsid w:val="5FF6E199"/>
    <w:rsid w:val="5FF7512A"/>
    <w:rsid w:val="5FFB0351"/>
    <w:rsid w:val="5FFBC2A8"/>
    <w:rsid w:val="5FFE4685"/>
    <w:rsid w:val="5FFEEA06"/>
    <w:rsid w:val="5FFF6D79"/>
    <w:rsid w:val="5FFFEB5F"/>
    <w:rsid w:val="627FB2E6"/>
    <w:rsid w:val="62FF0043"/>
    <w:rsid w:val="636F6E9D"/>
    <w:rsid w:val="63FA5DB5"/>
    <w:rsid w:val="63FEBA32"/>
    <w:rsid w:val="665F6947"/>
    <w:rsid w:val="667B7F6B"/>
    <w:rsid w:val="66AF673A"/>
    <w:rsid w:val="66FA0A3F"/>
    <w:rsid w:val="677FBCB4"/>
    <w:rsid w:val="67FFD3C4"/>
    <w:rsid w:val="68DF0D35"/>
    <w:rsid w:val="69F7EEE9"/>
    <w:rsid w:val="69F93DE2"/>
    <w:rsid w:val="69FECD6A"/>
    <w:rsid w:val="6A364288"/>
    <w:rsid w:val="6AAB65A9"/>
    <w:rsid w:val="6AFF7855"/>
    <w:rsid w:val="6B77D487"/>
    <w:rsid w:val="6BAFBF55"/>
    <w:rsid w:val="6BF74C7A"/>
    <w:rsid w:val="6BFF35D8"/>
    <w:rsid w:val="6CAF8A37"/>
    <w:rsid w:val="6CDE835E"/>
    <w:rsid w:val="6CF52D07"/>
    <w:rsid w:val="6D6F7CDB"/>
    <w:rsid w:val="6D7EFE1A"/>
    <w:rsid w:val="6D7FDB49"/>
    <w:rsid w:val="6DFF38DD"/>
    <w:rsid w:val="6DFFCBD8"/>
    <w:rsid w:val="6E9F10F2"/>
    <w:rsid w:val="6EBE38F3"/>
    <w:rsid w:val="6EDE8552"/>
    <w:rsid w:val="6EFCC4D1"/>
    <w:rsid w:val="6EFF9371"/>
    <w:rsid w:val="6F7AE573"/>
    <w:rsid w:val="6F7DB6A3"/>
    <w:rsid w:val="6F7E7A24"/>
    <w:rsid w:val="6F7EAF87"/>
    <w:rsid w:val="6FBBFA21"/>
    <w:rsid w:val="6FBE462C"/>
    <w:rsid w:val="6FBF4D65"/>
    <w:rsid w:val="6FCF534F"/>
    <w:rsid w:val="6FD6F8AF"/>
    <w:rsid w:val="6FD7E86B"/>
    <w:rsid w:val="6FD9C170"/>
    <w:rsid w:val="6FDFDB57"/>
    <w:rsid w:val="6FEBB0DA"/>
    <w:rsid w:val="6FFA2BE4"/>
    <w:rsid w:val="6FFD8D7F"/>
    <w:rsid w:val="70FFE602"/>
    <w:rsid w:val="717D0D36"/>
    <w:rsid w:val="71E1B7B9"/>
    <w:rsid w:val="72D363CF"/>
    <w:rsid w:val="72E7EB44"/>
    <w:rsid w:val="72F33804"/>
    <w:rsid w:val="72FE90F8"/>
    <w:rsid w:val="736A9A14"/>
    <w:rsid w:val="736F941F"/>
    <w:rsid w:val="73DE52A8"/>
    <w:rsid w:val="73FAD12B"/>
    <w:rsid w:val="746DAD08"/>
    <w:rsid w:val="74AF1DA0"/>
    <w:rsid w:val="74CB6DD0"/>
    <w:rsid w:val="74DF0996"/>
    <w:rsid w:val="74FB4693"/>
    <w:rsid w:val="74FF8D0F"/>
    <w:rsid w:val="75B6574C"/>
    <w:rsid w:val="75BE64D1"/>
    <w:rsid w:val="75D9C5FF"/>
    <w:rsid w:val="75F6E25A"/>
    <w:rsid w:val="75FDBA00"/>
    <w:rsid w:val="75FE61AF"/>
    <w:rsid w:val="75FEC830"/>
    <w:rsid w:val="75FF0E94"/>
    <w:rsid w:val="76BF7905"/>
    <w:rsid w:val="76CBB90A"/>
    <w:rsid w:val="76CE203F"/>
    <w:rsid w:val="76FB7F3D"/>
    <w:rsid w:val="775B9D6C"/>
    <w:rsid w:val="77A13D7C"/>
    <w:rsid w:val="77AFFF5F"/>
    <w:rsid w:val="77B709BA"/>
    <w:rsid w:val="77B7FAC8"/>
    <w:rsid w:val="77BE538B"/>
    <w:rsid w:val="77DB57E9"/>
    <w:rsid w:val="77DDA1F9"/>
    <w:rsid w:val="77DFAAF0"/>
    <w:rsid w:val="77F608E0"/>
    <w:rsid w:val="77F62DF0"/>
    <w:rsid w:val="77F713C4"/>
    <w:rsid w:val="77FB75F2"/>
    <w:rsid w:val="78DE3CE0"/>
    <w:rsid w:val="78EF0A1C"/>
    <w:rsid w:val="792F64B9"/>
    <w:rsid w:val="799F554A"/>
    <w:rsid w:val="79EB388F"/>
    <w:rsid w:val="79F7B2C2"/>
    <w:rsid w:val="79FE4BDD"/>
    <w:rsid w:val="79FFDF5C"/>
    <w:rsid w:val="7A9DD5E9"/>
    <w:rsid w:val="7AA7B32D"/>
    <w:rsid w:val="7AD687BD"/>
    <w:rsid w:val="7AF9C574"/>
    <w:rsid w:val="7AFECAC7"/>
    <w:rsid w:val="7AFF2D54"/>
    <w:rsid w:val="7B159B52"/>
    <w:rsid w:val="7B3FCE3D"/>
    <w:rsid w:val="7B5D52E4"/>
    <w:rsid w:val="7B9DF9D6"/>
    <w:rsid w:val="7BB568E1"/>
    <w:rsid w:val="7BB6C81C"/>
    <w:rsid w:val="7BBB6A1A"/>
    <w:rsid w:val="7BBE64DC"/>
    <w:rsid w:val="7BBF8D54"/>
    <w:rsid w:val="7BD76340"/>
    <w:rsid w:val="7BDE22C8"/>
    <w:rsid w:val="7BEFFB86"/>
    <w:rsid w:val="7BF5359B"/>
    <w:rsid w:val="7BF87834"/>
    <w:rsid w:val="7BF9B9D2"/>
    <w:rsid w:val="7BFB0969"/>
    <w:rsid w:val="7BFF95D2"/>
    <w:rsid w:val="7BFFDF7F"/>
    <w:rsid w:val="7C2F55B7"/>
    <w:rsid w:val="7C3E1D9F"/>
    <w:rsid w:val="7C7DAC5A"/>
    <w:rsid w:val="7CB58167"/>
    <w:rsid w:val="7CBF24AA"/>
    <w:rsid w:val="7CBF546A"/>
    <w:rsid w:val="7CFCF03C"/>
    <w:rsid w:val="7CFD60A8"/>
    <w:rsid w:val="7CFF875B"/>
    <w:rsid w:val="7D4FD7BD"/>
    <w:rsid w:val="7D57F823"/>
    <w:rsid w:val="7D774CF6"/>
    <w:rsid w:val="7D7B175F"/>
    <w:rsid w:val="7D9A7ADC"/>
    <w:rsid w:val="7DB78CD5"/>
    <w:rsid w:val="7DBE7427"/>
    <w:rsid w:val="7DD919C2"/>
    <w:rsid w:val="7DDD17EE"/>
    <w:rsid w:val="7DDFD371"/>
    <w:rsid w:val="7DE99F07"/>
    <w:rsid w:val="7DEDCCF2"/>
    <w:rsid w:val="7DEEA820"/>
    <w:rsid w:val="7DF712EA"/>
    <w:rsid w:val="7DFBE555"/>
    <w:rsid w:val="7DFD8EDC"/>
    <w:rsid w:val="7DFEB64C"/>
    <w:rsid w:val="7DFF15A2"/>
    <w:rsid w:val="7E2C8C42"/>
    <w:rsid w:val="7E36FAA7"/>
    <w:rsid w:val="7E43480F"/>
    <w:rsid w:val="7E772947"/>
    <w:rsid w:val="7E9D0E9D"/>
    <w:rsid w:val="7E9F7317"/>
    <w:rsid w:val="7EDDC0EB"/>
    <w:rsid w:val="7EE52D26"/>
    <w:rsid w:val="7EE59AE6"/>
    <w:rsid w:val="7EE9DBEB"/>
    <w:rsid w:val="7EEF87A2"/>
    <w:rsid w:val="7EEF9629"/>
    <w:rsid w:val="7EF6077C"/>
    <w:rsid w:val="7EF60930"/>
    <w:rsid w:val="7EF7A842"/>
    <w:rsid w:val="7EF9CAE1"/>
    <w:rsid w:val="7EFA7D01"/>
    <w:rsid w:val="7EFFCC5C"/>
    <w:rsid w:val="7F1DF357"/>
    <w:rsid w:val="7F2C7EFF"/>
    <w:rsid w:val="7F36AF72"/>
    <w:rsid w:val="7F3B210A"/>
    <w:rsid w:val="7F3E1F12"/>
    <w:rsid w:val="7F3E6129"/>
    <w:rsid w:val="7F4F6E65"/>
    <w:rsid w:val="7F57B34B"/>
    <w:rsid w:val="7F5A2F20"/>
    <w:rsid w:val="7F77AF10"/>
    <w:rsid w:val="7F792676"/>
    <w:rsid w:val="7F7B66D8"/>
    <w:rsid w:val="7F7C4C8A"/>
    <w:rsid w:val="7F7E0B8F"/>
    <w:rsid w:val="7F7FCBB4"/>
    <w:rsid w:val="7F854132"/>
    <w:rsid w:val="7F8C746B"/>
    <w:rsid w:val="7F8EB448"/>
    <w:rsid w:val="7F9B34B6"/>
    <w:rsid w:val="7F9F5510"/>
    <w:rsid w:val="7FB0D2C9"/>
    <w:rsid w:val="7FBB2B8B"/>
    <w:rsid w:val="7FBE0D6A"/>
    <w:rsid w:val="7FBEB4AD"/>
    <w:rsid w:val="7FBF4052"/>
    <w:rsid w:val="7FBF5733"/>
    <w:rsid w:val="7FBFB86D"/>
    <w:rsid w:val="7FC71DF4"/>
    <w:rsid w:val="7FCF1D5C"/>
    <w:rsid w:val="7FCFA1E0"/>
    <w:rsid w:val="7FD332DD"/>
    <w:rsid w:val="7FD464DD"/>
    <w:rsid w:val="7FD683C7"/>
    <w:rsid w:val="7FDB2B8F"/>
    <w:rsid w:val="7FDD11B7"/>
    <w:rsid w:val="7FDE3C27"/>
    <w:rsid w:val="7FDF21C4"/>
    <w:rsid w:val="7FDF3B03"/>
    <w:rsid w:val="7FE7DD32"/>
    <w:rsid w:val="7FE95161"/>
    <w:rsid w:val="7FE9591F"/>
    <w:rsid w:val="7FEBB2C9"/>
    <w:rsid w:val="7FEBD421"/>
    <w:rsid w:val="7FEE31D1"/>
    <w:rsid w:val="7FEF369A"/>
    <w:rsid w:val="7FEF3A0F"/>
    <w:rsid w:val="7FEF4183"/>
    <w:rsid w:val="7FEFA7E2"/>
    <w:rsid w:val="7FEFB803"/>
    <w:rsid w:val="7FF38A59"/>
    <w:rsid w:val="7FF5D37F"/>
    <w:rsid w:val="7FF657E9"/>
    <w:rsid w:val="7FF65C8A"/>
    <w:rsid w:val="7FF7A3D9"/>
    <w:rsid w:val="7FF7AE43"/>
    <w:rsid w:val="7FF7D5B8"/>
    <w:rsid w:val="7FF91A42"/>
    <w:rsid w:val="7FFA8056"/>
    <w:rsid w:val="7FFAE962"/>
    <w:rsid w:val="7FFB3CA4"/>
    <w:rsid w:val="7FFD1307"/>
    <w:rsid w:val="7FFD1A3F"/>
    <w:rsid w:val="7FFD8C8D"/>
    <w:rsid w:val="7FFD9974"/>
    <w:rsid w:val="7FFDF2F0"/>
    <w:rsid w:val="7FFE8FA8"/>
    <w:rsid w:val="7FFF0B86"/>
    <w:rsid w:val="7FFF12CF"/>
    <w:rsid w:val="7FFF227C"/>
    <w:rsid w:val="7FFF4AAD"/>
    <w:rsid w:val="7FFF5887"/>
    <w:rsid w:val="7FFF78E8"/>
    <w:rsid w:val="7FFFF9BD"/>
    <w:rsid w:val="7FFFFF5C"/>
    <w:rsid w:val="806B4EEC"/>
    <w:rsid w:val="83FE5BE7"/>
    <w:rsid w:val="87ED2768"/>
    <w:rsid w:val="8DBE124F"/>
    <w:rsid w:val="8DE704C0"/>
    <w:rsid w:val="8EBF9EC4"/>
    <w:rsid w:val="8FBDA90E"/>
    <w:rsid w:val="8FE33538"/>
    <w:rsid w:val="933B99E6"/>
    <w:rsid w:val="977F1C6C"/>
    <w:rsid w:val="97A384D8"/>
    <w:rsid w:val="99BF0794"/>
    <w:rsid w:val="9B70FB3C"/>
    <w:rsid w:val="9C27D2F9"/>
    <w:rsid w:val="9C8F4E09"/>
    <w:rsid w:val="9CFF2B06"/>
    <w:rsid w:val="9D7FBB84"/>
    <w:rsid w:val="9DF759D1"/>
    <w:rsid w:val="9E9D4EEC"/>
    <w:rsid w:val="9EBC0F9B"/>
    <w:rsid w:val="9F5E64FA"/>
    <w:rsid w:val="9F772FD6"/>
    <w:rsid w:val="9FB70103"/>
    <w:rsid w:val="9FFBC859"/>
    <w:rsid w:val="9FFE5572"/>
    <w:rsid w:val="9FFE56DA"/>
    <w:rsid w:val="9FFF8268"/>
    <w:rsid w:val="A15EA7E2"/>
    <w:rsid w:val="A2FDD968"/>
    <w:rsid w:val="A3CCF785"/>
    <w:rsid w:val="A67DFF2C"/>
    <w:rsid w:val="A6FFDD97"/>
    <w:rsid w:val="A71EBB53"/>
    <w:rsid w:val="A75F4938"/>
    <w:rsid w:val="A7689DC6"/>
    <w:rsid w:val="A77EB1E5"/>
    <w:rsid w:val="A7BF0A1B"/>
    <w:rsid w:val="A8BCED9F"/>
    <w:rsid w:val="A9AF0ED6"/>
    <w:rsid w:val="A9DFCF4A"/>
    <w:rsid w:val="A9F59F6F"/>
    <w:rsid w:val="AB3D48BC"/>
    <w:rsid w:val="AB3FC227"/>
    <w:rsid w:val="ABC749BF"/>
    <w:rsid w:val="ABC94A5B"/>
    <w:rsid w:val="ABF0DABB"/>
    <w:rsid w:val="ABFFE0CE"/>
    <w:rsid w:val="ADDF657A"/>
    <w:rsid w:val="ADFF851F"/>
    <w:rsid w:val="ADFFCDAF"/>
    <w:rsid w:val="AEBFE3B7"/>
    <w:rsid w:val="AEDF859A"/>
    <w:rsid w:val="AEDFA8F6"/>
    <w:rsid w:val="AF7FA1D0"/>
    <w:rsid w:val="AFBC5745"/>
    <w:rsid w:val="AFEFD1E5"/>
    <w:rsid w:val="AFFB4E87"/>
    <w:rsid w:val="AFFFFC72"/>
    <w:rsid w:val="B377E8FF"/>
    <w:rsid w:val="B37F241C"/>
    <w:rsid w:val="B557C730"/>
    <w:rsid w:val="B5DFAEC8"/>
    <w:rsid w:val="B5E7946D"/>
    <w:rsid w:val="B5E94246"/>
    <w:rsid w:val="B6662060"/>
    <w:rsid w:val="B777A694"/>
    <w:rsid w:val="B77FA399"/>
    <w:rsid w:val="B7BE35C6"/>
    <w:rsid w:val="B7DD4C78"/>
    <w:rsid w:val="B7F90FC2"/>
    <w:rsid w:val="B8FE206F"/>
    <w:rsid w:val="B97F6728"/>
    <w:rsid w:val="B9EE8CB8"/>
    <w:rsid w:val="BADEA1C0"/>
    <w:rsid w:val="BAE2D1CA"/>
    <w:rsid w:val="BBAF97BC"/>
    <w:rsid w:val="BBD514FE"/>
    <w:rsid w:val="BBFDC61F"/>
    <w:rsid w:val="BBFF021D"/>
    <w:rsid w:val="BC4712BF"/>
    <w:rsid w:val="BCF6DC97"/>
    <w:rsid w:val="BD6FA8AA"/>
    <w:rsid w:val="BD770A05"/>
    <w:rsid w:val="BD8B4B93"/>
    <w:rsid w:val="BDAA6A9E"/>
    <w:rsid w:val="BDB4BF99"/>
    <w:rsid w:val="BDCE4E88"/>
    <w:rsid w:val="BDFF98D5"/>
    <w:rsid w:val="BE758602"/>
    <w:rsid w:val="BEAC51A5"/>
    <w:rsid w:val="BEBA90FC"/>
    <w:rsid w:val="BEBF0ECA"/>
    <w:rsid w:val="BEBF3954"/>
    <w:rsid w:val="BED7FAC5"/>
    <w:rsid w:val="BED9733C"/>
    <w:rsid w:val="BEE60F04"/>
    <w:rsid w:val="BEF20989"/>
    <w:rsid w:val="BF1FB90D"/>
    <w:rsid w:val="BF7F5B4C"/>
    <w:rsid w:val="BF7FA7C4"/>
    <w:rsid w:val="BFA785D4"/>
    <w:rsid w:val="BFAFA35F"/>
    <w:rsid w:val="BFBA7719"/>
    <w:rsid w:val="BFBBC832"/>
    <w:rsid w:val="BFBF5210"/>
    <w:rsid w:val="BFDFFBFE"/>
    <w:rsid w:val="BFE73CCB"/>
    <w:rsid w:val="BFF3CD4B"/>
    <w:rsid w:val="BFF7DE3B"/>
    <w:rsid w:val="BFF7EE89"/>
    <w:rsid w:val="BFF9710E"/>
    <w:rsid w:val="BFF97962"/>
    <w:rsid w:val="BFFBCA11"/>
    <w:rsid w:val="BFFD5314"/>
    <w:rsid w:val="BFFF2286"/>
    <w:rsid w:val="BFFFC805"/>
    <w:rsid w:val="C1FDCB41"/>
    <w:rsid w:val="C1FF3676"/>
    <w:rsid w:val="C375992E"/>
    <w:rsid w:val="C6FB25AC"/>
    <w:rsid w:val="C766D3AD"/>
    <w:rsid w:val="C7EF18D4"/>
    <w:rsid w:val="C7F93D70"/>
    <w:rsid w:val="C7FFDAE3"/>
    <w:rsid w:val="CB0C9CE5"/>
    <w:rsid w:val="CB74C464"/>
    <w:rsid w:val="CB9F9772"/>
    <w:rsid w:val="CBCFB1B9"/>
    <w:rsid w:val="CD2B6977"/>
    <w:rsid w:val="CEE3723F"/>
    <w:rsid w:val="CF1D8020"/>
    <w:rsid w:val="CF3BCCC0"/>
    <w:rsid w:val="CF678534"/>
    <w:rsid w:val="CFB60CA3"/>
    <w:rsid w:val="CFF64FCA"/>
    <w:rsid w:val="CFF6D063"/>
    <w:rsid w:val="D0EBFC38"/>
    <w:rsid w:val="D31723C4"/>
    <w:rsid w:val="D3FF027B"/>
    <w:rsid w:val="D5FF221D"/>
    <w:rsid w:val="D71FA91C"/>
    <w:rsid w:val="D73F3397"/>
    <w:rsid w:val="D77F0AA5"/>
    <w:rsid w:val="D7B76199"/>
    <w:rsid w:val="D7C9824F"/>
    <w:rsid w:val="D7D747B6"/>
    <w:rsid w:val="D7FFBC33"/>
    <w:rsid w:val="D93DE8D5"/>
    <w:rsid w:val="D9B7B06B"/>
    <w:rsid w:val="D9BDE815"/>
    <w:rsid w:val="D9CDE8BD"/>
    <w:rsid w:val="DA7DF4A5"/>
    <w:rsid w:val="DAEF2E4C"/>
    <w:rsid w:val="DB73A518"/>
    <w:rsid w:val="DBA74BCA"/>
    <w:rsid w:val="DBA7F7B0"/>
    <w:rsid w:val="DBACCDC8"/>
    <w:rsid w:val="DBAF2107"/>
    <w:rsid w:val="DBBF3483"/>
    <w:rsid w:val="DBCFB649"/>
    <w:rsid w:val="DBFCA585"/>
    <w:rsid w:val="DBFF1778"/>
    <w:rsid w:val="DC3DF980"/>
    <w:rsid w:val="DCB64723"/>
    <w:rsid w:val="DCFA41AA"/>
    <w:rsid w:val="DCFE8247"/>
    <w:rsid w:val="DD01E6EF"/>
    <w:rsid w:val="DD7F0E2F"/>
    <w:rsid w:val="DDED9CC3"/>
    <w:rsid w:val="DDEE90DA"/>
    <w:rsid w:val="DDF7798D"/>
    <w:rsid w:val="DDF7F6EB"/>
    <w:rsid w:val="DDFCA030"/>
    <w:rsid w:val="DE19237E"/>
    <w:rsid w:val="DE2FC7E0"/>
    <w:rsid w:val="DE4FC646"/>
    <w:rsid w:val="DE6C7E4E"/>
    <w:rsid w:val="DE6FD51A"/>
    <w:rsid w:val="DE7F9F60"/>
    <w:rsid w:val="DE8A028B"/>
    <w:rsid w:val="DECAF0BD"/>
    <w:rsid w:val="DEDF1529"/>
    <w:rsid w:val="DEF7B45F"/>
    <w:rsid w:val="DEFFC4F6"/>
    <w:rsid w:val="DF3D56B2"/>
    <w:rsid w:val="DF3FF253"/>
    <w:rsid w:val="DF5EA0F7"/>
    <w:rsid w:val="DF6FBB91"/>
    <w:rsid w:val="DF74890F"/>
    <w:rsid w:val="DF756D15"/>
    <w:rsid w:val="DF75843E"/>
    <w:rsid w:val="DF93308A"/>
    <w:rsid w:val="DF97941F"/>
    <w:rsid w:val="DFB2A0C1"/>
    <w:rsid w:val="DFBF32E9"/>
    <w:rsid w:val="DFCBA51E"/>
    <w:rsid w:val="DFD6703C"/>
    <w:rsid w:val="DFDDCD5F"/>
    <w:rsid w:val="DFDE81A1"/>
    <w:rsid w:val="DFE984A3"/>
    <w:rsid w:val="DFE9F7DC"/>
    <w:rsid w:val="DFEBDAC8"/>
    <w:rsid w:val="DFED8D48"/>
    <w:rsid w:val="DFF71991"/>
    <w:rsid w:val="DFF759E3"/>
    <w:rsid w:val="DFF7CBC8"/>
    <w:rsid w:val="DFFBCAF7"/>
    <w:rsid w:val="DFFDB284"/>
    <w:rsid w:val="E133F445"/>
    <w:rsid w:val="E17F4AB9"/>
    <w:rsid w:val="E1EAE852"/>
    <w:rsid w:val="E51D84F3"/>
    <w:rsid w:val="E55F8B07"/>
    <w:rsid w:val="E5B3BCCE"/>
    <w:rsid w:val="E5E1E104"/>
    <w:rsid w:val="E5FA597E"/>
    <w:rsid w:val="E66FE10A"/>
    <w:rsid w:val="E74324A8"/>
    <w:rsid w:val="E773B041"/>
    <w:rsid w:val="E7A6D1B5"/>
    <w:rsid w:val="E7A75211"/>
    <w:rsid w:val="E7AE10D4"/>
    <w:rsid w:val="E7AEAB3E"/>
    <w:rsid w:val="E7C597C6"/>
    <w:rsid w:val="E7D659DC"/>
    <w:rsid w:val="E7DB356F"/>
    <w:rsid w:val="E7F3424D"/>
    <w:rsid w:val="E7FBB072"/>
    <w:rsid w:val="E7FE4973"/>
    <w:rsid w:val="E968BA55"/>
    <w:rsid w:val="E976DECF"/>
    <w:rsid w:val="E97F06B5"/>
    <w:rsid w:val="E9EFC6E1"/>
    <w:rsid w:val="EB7B4208"/>
    <w:rsid w:val="EBBDE25A"/>
    <w:rsid w:val="EBBF8CE1"/>
    <w:rsid w:val="EBD33457"/>
    <w:rsid w:val="EBED1B9C"/>
    <w:rsid w:val="EBF717D9"/>
    <w:rsid w:val="EBFF3D40"/>
    <w:rsid w:val="EBFFD930"/>
    <w:rsid w:val="EC4F8EBF"/>
    <w:rsid w:val="ED4DEEE7"/>
    <w:rsid w:val="ED6EB4EF"/>
    <w:rsid w:val="EDA9A810"/>
    <w:rsid w:val="EDDE8A37"/>
    <w:rsid w:val="EDEF6583"/>
    <w:rsid w:val="EDFB8A5D"/>
    <w:rsid w:val="EDFCF86F"/>
    <w:rsid w:val="EDFFCF0E"/>
    <w:rsid w:val="EE4D13D9"/>
    <w:rsid w:val="EE7FE753"/>
    <w:rsid w:val="EEAC5E6D"/>
    <w:rsid w:val="EEB5E231"/>
    <w:rsid w:val="EEBFB7CB"/>
    <w:rsid w:val="EEF9675C"/>
    <w:rsid w:val="EEFF3E8E"/>
    <w:rsid w:val="EF378EF4"/>
    <w:rsid w:val="EF3F4FD2"/>
    <w:rsid w:val="EF5F847C"/>
    <w:rsid w:val="EF6D5BDD"/>
    <w:rsid w:val="EF7CA8B4"/>
    <w:rsid w:val="EF7F3A34"/>
    <w:rsid w:val="EF7F6AFD"/>
    <w:rsid w:val="EF9CF179"/>
    <w:rsid w:val="EFAD22CA"/>
    <w:rsid w:val="EFBD44B4"/>
    <w:rsid w:val="EFBF58C6"/>
    <w:rsid w:val="EFBFA48A"/>
    <w:rsid w:val="EFCBC2B5"/>
    <w:rsid w:val="EFD92753"/>
    <w:rsid w:val="EFEF99A8"/>
    <w:rsid w:val="EFF33CC6"/>
    <w:rsid w:val="EFF555C3"/>
    <w:rsid w:val="EFFBAEB2"/>
    <w:rsid w:val="EFFE85E3"/>
    <w:rsid w:val="EFFF186A"/>
    <w:rsid w:val="EFFF2201"/>
    <w:rsid w:val="EFFF95E0"/>
    <w:rsid w:val="EFFFB71C"/>
    <w:rsid w:val="EFFFC4CE"/>
    <w:rsid w:val="F18CAC9B"/>
    <w:rsid w:val="F317BB0D"/>
    <w:rsid w:val="F3BFD6AC"/>
    <w:rsid w:val="F3EBA151"/>
    <w:rsid w:val="F3EDA728"/>
    <w:rsid w:val="F3FB1923"/>
    <w:rsid w:val="F3FFA970"/>
    <w:rsid w:val="F44B748A"/>
    <w:rsid w:val="F4CB719F"/>
    <w:rsid w:val="F4FE4572"/>
    <w:rsid w:val="F53C26D0"/>
    <w:rsid w:val="F5AF0ED1"/>
    <w:rsid w:val="F5B712D5"/>
    <w:rsid w:val="F5DFCDCC"/>
    <w:rsid w:val="F5EFFDE1"/>
    <w:rsid w:val="F5F7F469"/>
    <w:rsid w:val="F63EB2F2"/>
    <w:rsid w:val="F671159E"/>
    <w:rsid w:val="F677766F"/>
    <w:rsid w:val="F6792CB2"/>
    <w:rsid w:val="F67E22DA"/>
    <w:rsid w:val="F69E95C7"/>
    <w:rsid w:val="F6BF942C"/>
    <w:rsid w:val="F6FFA7AF"/>
    <w:rsid w:val="F72A5C8E"/>
    <w:rsid w:val="F736CC1E"/>
    <w:rsid w:val="F73F3803"/>
    <w:rsid w:val="F74F554D"/>
    <w:rsid w:val="F75F27C8"/>
    <w:rsid w:val="F77DB84A"/>
    <w:rsid w:val="F77FB04C"/>
    <w:rsid w:val="F78D0BB5"/>
    <w:rsid w:val="F7BD89C2"/>
    <w:rsid w:val="F7BF4893"/>
    <w:rsid w:val="F7EB9F0C"/>
    <w:rsid w:val="F7F748A1"/>
    <w:rsid w:val="F7F99590"/>
    <w:rsid w:val="F7FAFF69"/>
    <w:rsid w:val="F7FD83D7"/>
    <w:rsid w:val="F7FE8FFA"/>
    <w:rsid w:val="F7FE988E"/>
    <w:rsid w:val="F87E58D8"/>
    <w:rsid w:val="F88ED50D"/>
    <w:rsid w:val="F8DF9F53"/>
    <w:rsid w:val="F97D30E7"/>
    <w:rsid w:val="F9CB3F53"/>
    <w:rsid w:val="F9CF21B4"/>
    <w:rsid w:val="F9F590C8"/>
    <w:rsid w:val="F9FB865D"/>
    <w:rsid w:val="F9FDCC9A"/>
    <w:rsid w:val="F9FF6438"/>
    <w:rsid w:val="FA1B116C"/>
    <w:rsid w:val="FAE79023"/>
    <w:rsid w:val="FAEFABF7"/>
    <w:rsid w:val="FB5590E8"/>
    <w:rsid w:val="FB5FE5F9"/>
    <w:rsid w:val="FB6BA865"/>
    <w:rsid w:val="FB773261"/>
    <w:rsid w:val="FB7B1626"/>
    <w:rsid w:val="FB7F27C5"/>
    <w:rsid w:val="FB9695FC"/>
    <w:rsid w:val="FBAD219E"/>
    <w:rsid w:val="FBAD5B50"/>
    <w:rsid w:val="FBADC9ED"/>
    <w:rsid w:val="FBAE06F7"/>
    <w:rsid w:val="FBBE5C5C"/>
    <w:rsid w:val="FBBFD585"/>
    <w:rsid w:val="FBCE8E18"/>
    <w:rsid w:val="FBDD9BDE"/>
    <w:rsid w:val="FBDF1140"/>
    <w:rsid w:val="FBEB09A6"/>
    <w:rsid w:val="FBEF5C33"/>
    <w:rsid w:val="FBF56165"/>
    <w:rsid w:val="FBF60C43"/>
    <w:rsid w:val="FBF79325"/>
    <w:rsid w:val="FBF8C790"/>
    <w:rsid w:val="FBFB2659"/>
    <w:rsid w:val="FBFD0290"/>
    <w:rsid w:val="FBFD2414"/>
    <w:rsid w:val="FBFDA147"/>
    <w:rsid w:val="FBFF000D"/>
    <w:rsid w:val="FBFF2A51"/>
    <w:rsid w:val="FBFF50AB"/>
    <w:rsid w:val="FBFFC3CC"/>
    <w:rsid w:val="FC3FC3DF"/>
    <w:rsid w:val="FC6F84FC"/>
    <w:rsid w:val="FC73559F"/>
    <w:rsid w:val="FCAB97CE"/>
    <w:rsid w:val="FCBF25B5"/>
    <w:rsid w:val="FCDD8BA5"/>
    <w:rsid w:val="FCF39342"/>
    <w:rsid w:val="FCFA61FF"/>
    <w:rsid w:val="FCFADC04"/>
    <w:rsid w:val="FD389B11"/>
    <w:rsid w:val="FD3B774C"/>
    <w:rsid w:val="FD5B3D18"/>
    <w:rsid w:val="FD5E5BD9"/>
    <w:rsid w:val="FD7603E4"/>
    <w:rsid w:val="FD7D7DBC"/>
    <w:rsid w:val="FD7ECE20"/>
    <w:rsid w:val="FD7FFAD9"/>
    <w:rsid w:val="FDA87073"/>
    <w:rsid w:val="FDB76863"/>
    <w:rsid w:val="FDBFF710"/>
    <w:rsid w:val="FDDD782E"/>
    <w:rsid w:val="FDE00369"/>
    <w:rsid w:val="FDE75CD3"/>
    <w:rsid w:val="FDF3A4BC"/>
    <w:rsid w:val="FDF6005C"/>
    <w:rsid w:val="FDF73C76"/>
    <w:rsid w:val="FDF7D91C"/>
    <w:rsid w:val="FDF9617C"/>
    <w:rsid w:val="FDFDCCC9"/>
    <w:rsid w:val="FDFEED03"/>
    <w:rsid w:val="FDFFB55B"/>
    <w:rsid w:val="FE5919E7"/>
    <w:rsid w:val="FE5D727F"/>
    <w:rsid w:val="FE6F72BE"/>
    <w:rsid w:val="FE74FDDE"/>
    <w:rsid w:val="FE7A0CE2"/>
    <w:rsid w:val="FE7DA333"/>
    <w:rsid w:val="FE7FAE48"/>
    <w:rsid w:val="FE9DB0CA"/>
    <w:rsid w:val="FEA3D6D7"/>
    <w:rsid w:val="FEAE6C1A"/>
    <w:rsid w:val="FECD831C"/>
    <w:rsid w:val="FEDC85B3"/>
    <w:rsid w:val="FEDF7319"/>
    <w:rsid w:val="FEE5A1A3"/>
    <w:rsid w:val="FEFB320C"/>
    <w:rsid w:val="FEFDADE4"/>
    <w:rsid w:val="FEFF679A"/>
    <w:rsid w:val="FEFFA6B9"/>
    <w:rsid w:val="FF3549CA"/>
    <w:rsid w:val="FF3BCDD6"/>
    <w:rsid w:val="FF53BF70"/>
    <w:rsid w:val="FF5FA7FF"/>
    <w:rsid w:val="FF6543C8"/>
    <w:rsid w:val="FF67E38A"/>
    <w:rsid w:val="FF6B2E8E"/>
    <w:rsid w:val="FF78BA00"/>
    <w:rsid w:val="FF79CA4D"/>
    <w:rsid w:val="FF7A6F37"/>
    <w:rsid w:val="FF7B05AB"/>
    <w:rsid w:val="FF7D0924"/>
    <w:rsid w:val="FF7D301A"/>
    <w:rsid w:val="FF83C166"/>
    <w:rsid w:val="FF8F076F"/>
    <w:rsid w:val="FF8F472E"/>
    <w:rsid w:val="FF9F9C7B"/>
    <w:rsid w:val="FFAD324D"/>
    <w:rsid w:val="FFAF4F7A"/>
    <w:rsid w:val="FFB48B2A"/>
    <w:rsid w:val="FFBF2A72"/>
    <w:rsid w:val="FFBF602F"/>
    <w:rsid w:val="FFBF848F"/>
    <w:rsid w:val="FFBFBD76"/>
    <w:rsid w:val="FFBFC43B"/>
    <w:rsid w:val="FFBFE886"/>
    <w:rsid w:val="FFD0BA9B"/>
    <w:rsid w:val="FFD33EEF"/>
    <w:rsid w:val="FFDBC300"/>
    <w:rsid w:val="FFDD329A"/>
    <w:rsid w:val="FFDE88E4"/>
    <w:rsid w:val="FFDFAD82"/>
    <w:rsid w:val="FFDFE007"/>
    <w:rsid w:val="FFDFE61F"/>
    <w:rsid w:val="FFE66C98"/>
    <w:rsid w:val="FFE7767D"/>
    <w:rsid w:val="FFE81310"/>
    <w:rsid w:val="FFEB7833"/>
    <w:rsid w:val="FFEC8A61"/>
    <w:rsid w:val="FFED0C58"/>
    <w:rsid w:val="FFEDA61A"/>
    <w:rsid w:val="FFEEE7ED"/>
    <w:rsid w:val="FFEF48BD"/>
    <w:rsid w:val="FFEF9C3C"/>
    <w:rsid w:val="FFEFBB98"/>
    <w:rsid w:val="FFEFC74E"/>
    <w:rsid w:val="FFF3315A"/>
    <w:rsid w:val="FFF6ED4F"/>
    <w:rsid w:val="FFF7B114"/>
    <w:rsid w:val="FFF909A4"/>
    <w:rsid w:val="FFF95DF8"/>
    <w:rsid w:val="FFFAF821"/>
    <w:rsid w:val="FFFB4CA8"/>
    <w:rsid w:val="FFFB739B"/>
    <w:rsid w:val="FFFBA6DD"/>
    <w:rsid w:val="FFFBACB6"/>
    <w:rsid w:val="FFFC83BE"/>
    <w:rsid w:val="FFFCC9B2"/>
    <w:rsid w:val="FFFD379A"/>
    <w:rsid w:val="FFFD9838"/>
    <w:rsid w:val="FFFDCE27"/>
    <w:rsid w:val="FFFE877B"/>
    <w:rsid w:val="FFFF1410"/>
    <w:rsid w:val="FFFF1DDD"/>
    <w:rsid w:val="FFFF6271"/>
    <w:rsid w:val="FFFFB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2"/>
    <w:qFormat/>
    <w:uiPriority w:val="0"/>
    <w:pPr>
      <w:keepNext/>
      <w:keepLines/>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link w:val="13"/>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page number"/>
    <w:qFormat/>
    <w:uiPriority w:val="0"/>
  </w:style>
  <w:style w:type="character" w:customStyle="1" w:styleId="11">
    <w:name w:val="heading 1 Char"/>
    <w:basedOn w:val="9"/>
    <w:link w:val="2"/>
    <w:qFormat/>
    <w:uiPriority w:val="0"/>
    <w:rPr>
      <w:rFonts w:ascii="Times New Roman" w:hAnsi="Times New Roman" w:eastAsia="宋体" w:cs="Times New Roman"/>
      <w:b/>
      <w:bCs/>
      <w:kern w:val="44"/>
      <w:sz w:val="44"/>
      <w:szCs w:val="44"/>
      <w:lang w:val="en-US" w:eastAsia="zh-CN" w:bidi="ar-SA"/>
    </w:rPr>
  </w:style>
  <w:style w:type="character" w:customStyle="1" w:styleId="12">
    <w:name w:val="heading 2 Char"/>
    <w:basedOn w:val="9"/>
    <w:link w:val="3"/>
    <w:qFormat/>
    <w:uiPriority w:val="0"/>
    <w:rPr>
      <w:rFonts w:ascii="方正兰亭黑_GBK" w:hAnsi="Times New Roman" w:eastAsia="黑体" w:cs="Times New Roman"/>
      <w:b/>
      <w:bCs/>
      <w:kern w:val="2"/>
      <w:sz w:val="32"/>
      <w:szCs w:val="32"/>
      <w:lang w:val="en-US" w:eastAsia="zh-CN" w:bidi="ar-SA"/>
    </w:rPr>
  </w:style>
  <w:style w:type="character" w:customStyle="1" w:styleId="13">
    <w:name w:val="heading 3 Char"/>
    <w:basedOn w:val="9"/>
    <w:link w:val="4"/>
    <w:qFormat/>
    <w:uiPriority w:val="0"/>
    <w:rPr>
      <w:rFonts w:ascii="Times New Roman" w:hAnsi="Times New Roman" w:eastAsia="宋体" w:cs="Times New Roman"/>
      <w:b/>
      <w:bCs/>
      <w:kern w:val="2"/>
      <w:sz w:val="32"/>
      <w:szCs w:val="32"/>
      <w:lang w:val="en-US" w:eastAsia="zh-CN" w:bidi="ar-SA"/>
    </w:rPr>
  </w:style>
  <w:style w:type="paragraph" w:styleId="14">
    <w:name w:val="List Paragraph"/>
    <w:basedOn w:val="1"/>
    <w:qFormat/>
    <w:uiPriority w:val="0"/>
    <w:pPr>
      <w:ind w:firstLine="20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BE230CD-5290-4375-831D-7717E46890C4}">
  <ds:schemaRefs/>
</ds:datastoreItem>
</file>

<file path=docProps/app.xml><?xml version="1.0" encoding="utf-8"?>
<Properties xmlns="http://schemas.openxmlformats.org/officeDocument/2006/extended-properties" xmlns:vt="http://schemas.openxmlformats.org/officeDocument/2006/docPropsVTypes">
  <Template>Normal.eit</Template>
  <Pages>7</Pages>
  <Words>3518</Words>
  <Characters>3573</Characters>
  <Lines>0</Lines>
  <Paragraphs>110</Paragraphs>
  <TotalTime>1</TotalTime>
  <ScaleCrop>false</ScaleCrop>
  <LinksUpToDate>false</LinksUpToDate>
  <CharactersWithSpaces>3616</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2025-11-28T02:49:00Z</dcterms:created>
  <dc:creator>lejin</dc:creator>
  <cp:lastModifiedBy>zedd260536</cp:lastModifiedBy>
  <dcterms:modified xsi:type="dcterms:W3CDTF">2026-09-09T16:24:11Z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eyJoZGlkIjoiNGJmN2FmYTZkYTJjYjYxNjU4M2U1ODA3MmVlMDFmMmIiLCJ1c2VySWQiOiIyMzU0Njc5MjIifQ==</vt:lpwstr>
  </property>
  <property fmtid="{D5CDD505-2E9C-101B-9397-08002B2CF9AE}" pid="4" name="ICV">
    <vt:lpwstr>8FC8F77B7C18424EBFEAACF10B9C1D70_13</vt:lpwstr>
  </property>
</Properties>
</file>