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D2CB5">
      <w:pPr>
        <w:pStyle w:val="2"/>
        <w:bidi w:val="0"/>
        <w:jc w:val="center"/>
        <w:rPr>
          <w:color w:val="auto"/>
        </w:rPr>
      </w:pPr>
      <w:bookmarkStart w:id="2" w:name="_GoBack"/>
      <w:bookmarkEnd w:id="2"/>
      <w:bookmarkStart w:id="0" w:name="_Toc29761"/>
      <w:r>
        <w:rPr>
          <w:rFonts w:hint="eastAsia"/>
          <w:color w:val="auto"/>
        </w:rPr>
        <w:t>五、主要生态环境保护措施</w:t>
      </w:r>
      <w:bookmarkEnd w:id="0"/>
    </w:p>
    <w:tbl>
      <w:tblPr>
        <w:tblStyle w:val="10"/>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7751"/>
      </w:tblGrid>
      <w:tr w14:paraId="1C039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408" w:type="pct"/>
            <w:noWrap w:val="0"/>
            <w:tcMar>
              <w:left w:w="28" w:type="dxa"/>
              <w:right w:w="28" w:type="dxa"/>
            </w:tcMar>
            <w:vAlign w:val="center"/>
          </w:tcPr>
          <w:p w14:paraId="6D04CF08">
            <w:pPr>
              <w:adjustRightInd w:val="0"/>
              <w:snapToGrid w:val="0"/>
              <w:jc w:val="center"/>
              <w:rPr>
                <w:rFonts w:hint="default" w:ascii="Times New Roman" w:hAnsi="Times New Roman" w:cs="Times New Roman"/>
                <w:bCs/>
                <w:color w:val="auto"/>
                <w:sz w:val="24"/>
              </w:rPr>
            </w:pPr>
            <w:r>
              <w:rPr>
                <w:rFonts w:hint="default" w:ascii="Times New Roman" w:hAnsi="Times New Roman" w:cs="Times New Roman"/>
                <w:bCs/>
                <w:color w:val="auto"/>
                <w:spacing w:val="10"/>
                <w:sz w:val="24"/>
              </w:rPr>
              <w:t>施工期生态环境保护措施</w:t>
            </w:r>
          </w:p>
        </w:tc>
        <w:tc>
          <w:tcPr>
            <w:tcW w:w="4591" w:type="pct"/>
            <w:noWrap w:val="0"/>
            <w:vAlign w:val="top"/>
          </w:tcPr>
          <w:p w14:paraId="7FD227A3">
            <w:pPr>
              <w:pStyle w:val="4"/>
              <w:spacing w:line="36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一、施工期生态环境保护措施</w:t>
            </w:r>
          </w:p>
          <w:p w14:paraId="76D26737">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1、生态预防保护措施</w:t>
            </w:r>
          </w:p>
          <w:p w14:paraId="42E23210">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（1）对施工及管理人员普及生态保护知识，优化施工工艺和施工时序安排，尽量减少施工开挖和降低施工噪声，减少对河道水生生态和陆生生态的破坏。</w:t>
            </w:r>
          </w:p>
          <w:p w14:paraId="160D9E33">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（2）在施工动土中，对表土要加以剥离、单独存放，用于受损区域的回填覆盖，植树种草。</w:t>
            </w:r>
          </w:p>
          <w:p w14:paraId="364EBD27">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（3）避开暴雨，减少暴雨冲刷，减轻水土流失。</w:t>
            </w:r>
          </w:p>
          <w:p w14:paraId="50EC1D06">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（4）建设方应对各项消减生态影响的措施提出详细施工方案和运行方案，并接受地方环保部门和水保部门的监督。</w:t>
            </w:r>
          </w:p>
          <w:p w14:paraId="5AF4233F">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2、陆生生态保护措施</w:t>
            </w:r>
          </w:p>
          <w:p w14:paraId="27311EF1">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（1）为减免工程施工对工程区及影响区植被造成的不利影响，工程施工设计中应尽量减少施工占地面积和扰动面积。</w:t>
            </w:r>
          </w:p>
          <w:p w14:paraId="18511A23">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（2）在工程施工区设置警示牌标明施工活动区，将施工活动限制在预先划定的区域内。严禁施工人员到非施工区域活动，禁止破坏施工征地范围以外的植被。</w:t>
            </w:r>
          </w:p>
          <w:p w14:paraId="703FBFB0">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（3）加强施工管理，优选施工时间，降低施工机械噪声，避开野生动物活动的高峰时段。</w:t>
            </w:r>
          </w:p>
          <w:p w14:paraId="0F15DCE5">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（4）对施工废水、生活垃圾和固体废物进行集中、快速处理、无害化处理，防止生产和生活废水、废渣、垃圾污染环境，尽量降低对野生动物特别是两栖爬行类动物、水域鸟类的影响。</w:t>
            </w:r>
          </w:p>
          <w:p w14:paraId="3E800A8E">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在施工开始时，需对临时场地进行表土剥离，并妥善保存表土，施工结束后，采用原表土进行施工场地恢复，尽量为陆生动物营造一个较为稳定的栖息环境。填挖土方等作业在气候干燥且来往运输车辆较频繁时，加强对施工场地洒水以减少粉尘对植被生长的影响，运输易起尘的物料要加盖篷布控制速度，防止物料洒落和产生扬尘；卸载时应尽量减少落差，减少扬尘。</w:t>
            </w:r>
          </w:p>
          <w:p w14:paraId="08F6F1EE">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）施工期和植被恢复期间，采取措施，防止生态入侵，避免火灾等重大事故的发生，避免对野生动物栖息环境造成巨大影响。</w:t>
            </w:r>
          </w:p>
          <w:p w14:paraId="56289557">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3、水生生态保护措施</w:t>
            </w:r>
          </w:p>
          <w:p w14:paraId="2A40B52B">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（1）避让措施</w:t>
            </w:r>
          </w:p>
          <w:p w14:paraId="3A402E16">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合理安排施工进度，尽量缩短涉水施工时间，避开雨季施工，以减小对水生态环境的影响。</w:t>
            </w:r>
          </w:p>
          <w:p w14:paraId="6463D201">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加强管理，施工期间禁止向河道随意倾倒废渣、施工废水、垃圾及其他废弃物。</w:t>
            </w:r>
          </w:p>
          <w:p w14:paraId="182694CA">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施工期间加强对施工人员宣传教育，禁止非法捕鱼。</w:t>
            </w:r>
          </w:p>
          <w:p w14:paraId="1C0D675C">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（2）减缓措施</w:t>
            </w:r>
          </w:p>
          <w:p w14:paraId="684FF995">
            <w:pPr>
              <w:pStyle w:val="4"/>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rPr>
              <w:t>优化施工方案，设置围堰前，可采用声波驱散施工</w:t>
            </w:r>
            <w:r>
              <w:rPr>
                <w:rFonts w:hint="eastAsia" w:ascii="Times New Roman" w:hAnsi="Times New Roman" w:eastAsia="宋体" w:cs="Times New Roman"/>
                <w:color w:val="auto"/>
                <w:sz w:val="24"/>
                <w:lang w:val="en-US" w:eastAsia="zh-CN"/>
              </w:rPr>
              <w:t>区</w:t>
            </w:r>
            <w:r>
              <w:rPr>
                <w:rFonts w:hint="default" w:ascii="Times New Roman" w:hAnsi="Times New Roman" w:eastAsia="宋体" w:cs="Times New Roman"/>
                <w:color w:val="auto"/>
                <w:sz w:val="24"/>
              </w:rPr>
              <w:t>及临近水域鱼群，将鱼类驱离施工区，降低对鱼类的影响。尽量控制和减少污染物排放，优化施工工艺，选择低噪声机械降低施工噪声；确保施工期地表水体的水质不受到油污、弃渣、生活垃圾</w:t>
            </w:r>
            <w:r>
              <w:rPr>
                <w:rFonts w:hint="default" w:ascii="Times New Roman" w:hAnsi="Times New Roman" w:eastAsia="宋体" w:cs="Times New Roman"/>
                <w:color w:val="auto"/>
                <w:sz w:val="24"/>
                <w:highlight w:val="none"/>
              </w:rPr>
              <w:t>的影响。</w:t>
            </w:r>
          </w:p>
          <w:p w14:paraId="1D19E492">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highlight w:val="none"/>
              </w:rPr>
              <w:t>合理安排施工期，涉水施工期避开鱼类繁殖期，安排</w:t>
            </w:r>
            <w:r>
              <w:rPr>
                <w:rFonts w:hint="eastAsia" w:ascii="Times New Roman" w:hAnsi="Times New Roman" w:eastAsia="宋体" w:cs="Times New Roman"/>
                <w:color w:val="auto"/>
                <w:sz w:val="24"/>
                <w:highlight w:val="none"/>
                <w:lang w:val="en-US" w:eastAsia="zh-CN"/>
              </w:rPr>
              <w:t>汛后过渡期、</w:t>
            </w:r>
            <w:r>
              <w:rPr>
                <w:rFonts w:hint="default" w:ascii="Times New Roman" w:hAnsi="Times New Roman" w:eastAsia="宋体" w:cs="Times New Roman"/>
                <w:color w:val="auto"/>
                <w:sz w:val="24"/>
                <w:highlight w:val="none"/>
              </w:rPr>
              <w:t>枯水期施工，减少对河流水体的扰动，有利于保护水生态环</w:t>
            </w:r>
            <w:r>
              <w:rPr>
                <w:rFonts w:hint="default" w:ascii="Times New Roman" w:hAnsi="Times New Roman" w:eastAsia="宋体" w:cs="Times New Roman"/>
                <w:color w:val="auto"/>
                <w:sz w:val="24"/>
              </w:rPr>
              <w:t>境。</w:t>
            </w:r>
          </w:p>
          <w:p w14:paraId="4197BBF5">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对破坏的植被尽快恢复，防止水土流失，避免和减少泥沙和有害物质进入河流，影响水域环境。</w:t>
            </w:r>
          </w:p>
          <w:p w14:paraId="0D8C7CFF">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（3）日常监管措施</w:t>
            </w:r>
          </w:p>
          <w:p w14:paraId="77881116">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树立环境保护意识，在工程施工和运行等各环节都应认真考虑和正确对待资源环境因素，坚持工程建设与资源保护措施“三同时”原则</w:t>
            </w:r>
          </w:p>
          <w:p w14:paraId="6330BD6F">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加强监管，严格按环保要求施工，施工废水禁止排入水体，防止影响水生生物生境污染的事故发生。</w:t>
            </w:r>
          </w:p>
          <w:p w14:paraId="11F4FF99">
            <w:pPr>
              <w:pStyle w:val="4"/>
              <w:spacing w:line="360" w:lineRule="auto"/>
              <w:ind w:firstLine="480" w:firstLineChars="200"/>
              <w:rPr>
                <w:rFonts w:hint="default"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4）生态补偿措施</w:t>
            </w:r>
          </w:p>
          <w:p w14:paraId="31470C55">
            <w:pPr>
              <w:spacing w:line="360" w:lineRule="auto"/>
              <w:ind w:firstLine="480" w:firstLineChars="200"/>
              <w:rPr>
                <w:rFonts w:ascii="Times New Roman" w:hAnsi="Times New Roman" w:cs="Times New Roman"/>
                <w:color w:val="auto"/>
                <w:sz w:val="24"/>
              </w:rPr>
            </w:pPr>
            <w:r>
              <w:rPr>
                <w:rFonts w:hint="default" w:ascii="Times New Roman" w:hAnsi="Times New Roman" w:cs="Times New Roman"/>
                <w:color w:val="auto"/>
                <w:sz w:val="24"/>
              </w:rPr>
              <w:t>1）鱼类增殖放流</w:t>
            </w:r>
          </w:p>
          <w:p w14:paraId="6A831AC5">
            <w:pPr>
              <w:spacing w:line="360" w:lineRule="auto"/>
              <w:ind w:firstLine="480" w:firstLineChars="200"/>
              <w:rPr>
                <w:rFonts w:ascii="Times New Roman" w:hAnsi="Times New Roman" w:cs="Times New Roman"/>
                <w:color w:val="auto"/>
                <w:sz w:val="24"/>
              </w:rPr>
            </w:pPr>
            <w:r>
              <w:rPr>
                <w:rFonts w:hint="default" w:ascii="Times New Roman" w:hAnsi="Times New Roman" w:cs="Times New Roman"/>
                <w:color w:val="auto"/>
                <w:sz w:val="24"/>
              </w:rPr>
              <w:t>本项目施工期对鱼类生存环境会产生不利影响，特别是对鱼类的索饵、越冬和洄游等正常活动造成干扰，进而对工程河段鱼类资源造成不利影响。为此，评价建议采取人工增殖放流，以补充其种群数量和资源。</w:t>
            </w:r>
          </w:p>
          <w:p w14:paraId="59D29303">
            <w:pPr>
              <w:autoSpaceDN w:val="0"/>
              <w:spacing w:line="360" w:lineRule="auto"/>
              <w:ind w:firstLine="480" w:firstLineChars="200"/>
              <w:rPr>
                <w:rFonts w:ascii="Times New Roman" w:hAnsi="Times New Roman" w:cs="Times New Roman"/>
                <w:color w:val="auto"/>
                <w:sz w:val="24"/>
                <w:szCs w:val="21"/>
              </w:rPr>
            </w:pPr>
            <w:r>
              <w:rPr>
                <w:rFonts w:hint="default" w:ascii="Times New Roman" w:hAnsi="Times New Roman" w:cs="Times New Roman"/>
                <w:color w:val="auto"/>
                <w:sz w:val="24"/>
                <w:szCs w:val="21"/>
              </w:rPr>
              <w:t>2）</w:t>
            </w:r>
            <w:r>
              <w:rPr>
                <w:rFonts w:ascii="Times New Roman" w:hAnsi="Times New Roman" w:cs="Times New Roman"/>
                <w:color w:val="auto"/>
                <w:sz w:val="24"/>
                <w:szCs w:val="21"/>
              </w:rPr>
              <w:t>增殖放流对象</w:t>
            </w:r>
          </w:p>
          <w:p w14:paraId="3E5CA93C">
            <w:pPr>
              <w:autoSpaceDN w:val="0"/>
              <w:spacing w:line="360" w:lineRule="auto"/>
              <w:ind w:firstLine="480" w:firstLineChars="200"/>
              <w:rPr>
                <w:rFonts w:ascii="Times New Roman" w:hAnsi="Times New Roman" w:cs="Times New Roman"/>
                <w:color w:val="FF0000"/>
                <w:sz w:val="24"/>
              </w:rPr>
            </w:pPr>
            <w:r>
              <w:rPr>
                <w:rFonts w:hint="eastAsia" w:ascii="Times New Roman" w:hAnsi="Times New Roman" w:cs="Times New Roman"/>
                <w:color w:val="FF0000"/>
                <w:sz w:val="24"/>
              </w:rPr>
              <w:t>增殖放流的种类确定，需要坚持统筹兼顾和突出重点的原则。在已经确定的保护对象中，依据保护鱼类资源状况、生物学特性、生态环境变化趋势和技术可行性等多方面综合分析，远近结合，合理优化。在实际操作过程中，增殖放流种类确定大致上和保护对象的确定需要考虑的因素相似。高原鳅对生境要求较低，工程的修建对其影响较小，不作为放流对象考虑。根据工程影响河段鱼类资源分布情况分析，综合考虑分布鱼类珍稀程度、资源量及项目影响程度，并结合人工繁殖成功与否，</w:t>
            </w:r>
            <w:r>
              <w:rPr>
                <w:rFonts w:hint="eastAsia" w:ascii="Times New Roman" w:hAnsi="Times New Roman" w:cs="Times New Roman"/>
                <w:color w:val="FF0000"/>
                <w:sz w:val="24"/>
                <w:lang w:val="en-US" w:eastAsia="zh-CN"/>
              </w:rPr>
              <w:t>确定</w:t>
            </w:r>
            <w:r>
              <w:rPr>
                <w:rFonts w:hint="eastAsia" w:ascii="Times New Roman" w:hAnsi="Times New Roman" w:cs="Times New Roman"/>
                <w:color w:val="FF0000"/>
                <w:sz w:val="24"/>
              </w:rPr>
              <w:t>放流种类为四川裂腹鱼和软刺裸裂尻鱼</w:t>
            </w:r>
            <w:r>
              <w:rPr>
                <w:rFonts w:ascii="Times New Roman" w:hAnsi="Times New Roman" w:cs="Times New Roman"/>
                <w:color w:val="FF0000"/>
                <w:sz w:val="24"/>
              </w:rPr>
              <w:t>。</w:t>
            </w:r>
          </w:p>
          <w:p w14:paraId="748EFC59">
            <w:pPr>
              <w:autoSpaceDN w:val="0"/>
              <w:spacing w:line="360" w:lineRule="auto"/>
              <w:ind w:firstLine="480" w:firstLineChars="200"/>
              <w:rPr>
                <w:rFonts w:hint="default" w:ascii="Times New Roman" w:hAnsi="Times New Roman" w:eastAsia="宋体" w:cs="Times New Roman"/>
                <w:color w:val="auto"/>
                <w:sz w:val="24"/>
                <w:szCs w:val="21"/>
                <w:lang w:val="en-US" w:eastAsia="zh-CN"/>
              </w:rPr>
            </w:pPr>
            <w:r>
              <w:rPr>
                <w:rFonts w:hint="eastAsia" w:ascii="Times New Roman" w:hAnsi="Times New Roman" w:cs="Times New Roman"/>
                <w:color w:val="auto"/>
                <w:sz w:val="24"/>
                <w:szCs w:val="21"/>
                <w:lang w:val="en-US" w:eastAsia="zh-CN"/>
              </w:rPr>
              <w:t>3</w:t>
            </w:r>
            <w:r>
              <w:rPr>
                <w:rFonts w:hint="default" w:ascii="Times New Roman" w:hAnsi="Times New Roman" w:cs="Times New Roman"/>
                <w:color w:val="auto"/>
                <w:sz w:val="24"/>
                <w:szCs w:val="21"/>
              </w:rPr>
              <w:t>）放流苗种</w:t>
            </w:r>
            <w:r>
              <w:rPr>
                <w:rFonts w:hint="eastAsia" w:ascii="Times New Roman" w:hAnsi="Times New Roman" w:cs="Times New Roman"/>
                <w:color w:val="auto"/>
                <w:sz w:val="24"/>
                <w:szCs w:val="21"/>
                <w:lang w:val="en-US" w:eastAsia="zh-CN"/>
              </w:rPr>
              <w:t>规格及来源</w:t>
            </w:r>
          </w:p>
          <w:p w14:paraId="6F9FD4F6">
            <w:pPr>
              <w:spacing w:line="360" w:lineRule="auto"/>
              <w:ind w:firstLine="480" w:firstLineChars="200"/>
              <w:rPr>
                <w:rFonts w:hint="eastAsia" w:ascii="Times New Roman" w:hAnsi="Times New Roman" w:cs="Times New Roman"/>
                <w:color w:val="auto"/>
                <w:sz w:val="24"/>
                <w:szCs w:val="21"/>
              </w:rPr>
            </w:pPr>
            <w:r>
              <w:rPr>
                <w:rFonts w:hint="eastAsia" w:ascii="Times New Roman" w:hAnsi="Times New Roman" w:cs="Times New Roman"/>
                <w:color w:val="auto"/>
                <w:sz w:val="24"/>
                <w:szCs w:val="21"/>
              </w:rPr>
              <w:t>水利工程建设后的增殖放流是保护性措施，属于对资源的一种补偿放流。一般来说，放流鱼类至少应该是各个器官基本发育完善的幼鱼，规格一般在3-5cm左右，主要浮游动物为食，此时对环境的适应能力还比较弱。但是当幼鱼食性已经转变成成鱼的食性的时候，规格一般要在6-8cm 左右，这样的苗种对环境的适应能力较强，在自然河流中存活率也较高，因此推荐这样规格的苗种放流。</w:t>
            </w:r>
          </w:p>
          <w:p w14:paraId="27C4E32D">
            <w:pPr>
              <w:spacing w:line="360" w:lineRule="auto"/>
              <w:ind w:firstLine="480" w:firstLineChars="200"/>
              <w:rPr>
                <w:rFonts w:ascii="Times New Roman" w:hAnsi="Times New Roman" w:cs="Times New Roman"/>
                <w:color w:val="auto"/>
                <w:sz w:val="24"/>
                <w:szCs w:val="21"/>
              </w:rPr>
            </w:pPr>
            <w:r>
              <w:rPr>
                <w:rFonts w:hint="eastAsia" w:ascii="Times New Roman" w:hAnsi="Times New Roman" w:cs="Times New Roman"/>
                <w:color w:val="auto"/>
                <w:sz w:val="24"/>
                <w:szCs w:val="21"/>
              </w:rPr>
              <w:t>根据《水生生物增殖放流管理规定》（农业部令第20号）和《鱼类增殖放流技术规范》（DB51</w:t>
            </w:r>
            <w:r>
              <w:rPr>
                <w:rFonts w:hint="eastAsia" w:ascii="Times New Roman" w:hAnsi="Times New Roman" w:cs="Times New Roman"/>
                <w:color w:val="auto"/>
                <w:sz w:val="24"/>
                <w:szCs w:val="21"/>
                <w:lang w:val="en-US" w:eastAsia="zh-CN"/>
              </w:rPr>
              <w:t>/</w:t>
            </w:r>
            <w:r>
              <w:rPr>
                <w:rFonts w:hint="eastAsia" w:ascii="Times New Roman" w:hAnsi="Times New Roman" w:cs="Times New Roman"/>
                <w:color w:val="auto"/>
                <w:sz w:val="24"/>
                <w:szCs w:val="21"/>
              </w:rPr>
              <w:t>T 2332-2017）：</w:t>
            </w:r>
            <w:r>
              <w:rPr>
                <w:rFonts w:hint="eastAsia" w:ascii="Times New Roman" w:hAnsi="Times New Roman" w:cs="Times New Roman"/>
                <w:color w:val="FF0000"/>
                <w:sz w:val="24"/>
                <w:szCs w:val="21"/>
              </w:rPr>
              <w:t>用于增殖放流的人工繁殖的水生生物物种，应经省级水产主管部门批准的有资质的生产单位提供。</w:t>
            </w:r>
            <w:r>
              <w:rPr>
                <w:rFonts w:hint="eastAsia" w:ascii="Times New Roman" w:hAnsi="Times New Roman" w:cs="Times New Roman"/>
                <w:color w:val="auto"/>
                <w:sz w:val="24"/>
                <w:szCs w:val="21"/>
              </w:rPr>
              <w:t>其中，属于经济物种的，须持有《水产苗种生产许可证》的苗种生产单位；属于珍稀、濒危物种的，须持有《水生野生动物驯养繁殖许可证》的苗种生产单位。用于增殖放流的亲体、苗种等水生生物应属于本地种。苗种应属于本地种的原种或者子一代，确需放流其他苗种的，须通过省级以上渔业行政主管部门组织的专家论证。苗种质量应选择体质健壮、规格整齐、规格合格率≥90%，死亡率、伤残率、畸形率、体色异常率≤5%。禁止使用外来种、杂交种、转基因种以及其他不符合生态要求的水生生物物种进行增殖放流。用于增殖放流的水生生物须依法经检验检疫合格，确保健康无病害、无禁用药物残留</w:t>
            </w:r>
            <w:r>
              <w:rPr>
                <w:rFonts w:ascii="Times New Roman" w:hAnsi="Times New Roman" w:cs="Times New Roman"/>
                <w:color w:val="auto"/>
                <w:sz w:val="24"/>
                <w:szCs w:val="21"/>
              </w:rPr>
              <w:t>。</w:t>
            </w:r>
          </w:p>
          <w:p w14:paraId="1F9E3EC4">
            <w:pPr>
              <w:spacing w:line="360" w:lineRule="auto"/>
              <w:ind w:firstLine="480" w:firstLineChars="200"/>
              <w:rPr>
                <w:rFonts w:ascii="Times New Roman" w:hAnsi="Times New Roman" w:cs="Times New Roman"/>
                <w:color w:val="auto"/>
                <w:sz w:val="24"/>
                <w:szCs w:val="21"/>
              </w:rPr>
            </w:pPr>
            <w:r>
              <w:rPr>
                <w:rFonts w:hint="eastAsia" w:ascii="Times New Roman" w:hAnsi="Times New Roman" w:cs="Times New Roman"/>
                <w:color w:val="auto"/>
                <w:sz w:val="24"/>
                <w:szCs w:val="21"/>
                <w:lang w:val="en-US" w:eastAsia="zh-CN"/>
              </w:rPr>
              <w:t>4</w:t>
            </w:r>
            <w:r>
              <w:rPr>
                <w:rFonts w:hint="default" w:ascii="Times New Roman" w:hAnsi="Times New Roman" w:cs="Times New Roman"/>
                <w:color w:val="auto"/>
                <w:sz w:val="24"/>
                <w:szCs w:val="21"/>
              </w:rPr>
              <w:t>）放流</w:t>
            </w:r>
            <w:r>
              <w:rPr>
                <w:rFonts w:hint="eastAsia" w:ascii="Times New Roman" w:hAnsi="Times New Roman" w:cs="Times New Roman"/>
                <w:color w:val="auto"/>
                <w:sz w:val="24"/>
                <w:szCs w:val="21"/>
                <w:lang w:val="en-US" w:eastAsia="zh-CN"/>
              </w:rPr>
              <w:t>数量及</w:t>
            </w:r>
            <w:r>
              <w:rPr>
                <w:rFonts w:hint="default" w:ascii="Times New Roman" w:hAnsi="Times New Roman" w:cs="Times New Roman"/>
                <w:color w:val="auto"/>
                <w:sz w:val="24"/>
                <w:szCs w:val="21"/>
              </w:rPr>
              <w:t>地点</w:t>
            </w:r>
          </w:p>
          <w:p w14:paraId="74C10CCA">
            <w:pPr>
              <w:autoSpaceDN w:val="0"/>
              <w:spacing w:line="360" w:lineRule="auto"/>
              <w:ind w:firstLine="480" w:firstLineChars="200"/>
              <w:rPr>
                <w:rFonts w:ascii="Times New Roman" w:hAnsi="Times New Roman" w:cs="Times New Roman"/>
                <w:color w:val="auto"/>
                <w:sz w:val="24"/>
                <w:szCs w:val="21"/>
              </w:rPr>
            </w:pPr>
            <w:r>
              <w:rPr>
                <w:rFonts w:hint="default" w:ascii="Times New Roman" w:hAnsi="Times New Roman" w:cs="Times New Roman"/>
                <w:color w:val="auto"/>
                <w:sz w:val="24"/>
                <w:szCs w:val="21"/>
              </w:rPr>
              <w:t>原则上放流点位为工程影响河段，鱼类增殖放流须报县级渔业行政主管批准实施，</w:t>
            </w:r>
            <w:r>
              <w:rPr>
                <w:rFonts w:ascii="Times New Roman" w:hAnsi="Times New Roman" w:cs="Times New Roman"/>
                <w:color w:val="auto"/>
                <w:sz w:val="24"/>
                <w:szCs w:val="21"/>
              </w:rPr>
              <w:t>业主向主管部门申请，主管部门视情况</w:t>
            </w:r>
            <w:r>
              <w:rPr>
                <w:rFonts w:hint="default" w:ascii="Times New Roman" w:hAnsi="Times New Roman" w:cs="Times New Roman"/>
                <w:color w:val="auto"/>
                <w:sz w:val="24"/>
                <w:szCs w:val="21"/>
              </w:rPr>
              <w:t>指定</w:t>
            </w:r>
            <w:r>
              <w:rPr>
                <w:rFonts w:ascii="Times New Roman" w:hAnsi="Times New Roman" w:cs="Times New Roman"/>
                <w:color w:val="auto"/>
                <w:sz w:val="24"/>
                <w:szCs w:val="21"/>
              </w:rPr>
              <w:t>放流地点。</w:t>
            </w:r>
          </w:p>
          <w:p w14:paraId="2EC90D8F">
            <w:pPr>
              <w:autoSpaceDN w:val="0"/>
              <w:spacing w:line="360" w:lineRule="auto"/>
              <w:ind w:firstLine="480" w:firstLineChars="200"/>
              <w:rPr>
                <w:rFonts w:ascii="Times New Roman" w:hAnsi="Times New Roman" w:cs="Times New Roman"/>
                <w:color w:val="auto"/>
                <w:sz w:val="24"/>
                <w:szCs w:val="21"/>
              </w:rPr>
            </w:pPr>
            <w:r>
              <w:rPr>
                <w:rFonts w:hint="default" w:ascii="Times New Roman" w:hAnsi="Times New Roman" w:cs="Times New Roman"/>
                <w:color w:val="auto"/>
                <w:sz w:val="24"/>
                <w:szCs w:val="21"/>
              </w:rPr>
              <w:t>6）放流周期及时间</w:t>
            </w:r>
          </w:p>
          <w:p w14:paraId="44D9BE69">
            <w:pPr>
              <w:spacing w:line="360" w:lineRule="auto"/>
              <w:ind w:firstLine="480" w:firstLineChars="200"/>
              <w:rPr>
                <w:rFonts w:ascii="Times New Roman" w:hAnsi="Times New Roman" w:cs="Times New Roman"/>
                <w:bCs/>
                <w:color w:val="auto"/>
                <w:kern w:val="0"/>
                <w:sz w:val="24"/>
                <w:szCs w:val="20"/>
                <w:lang w:val="zh-CN"/>
              </w:rPr>
            </w:pPr>
            <w:r>
              <w:rPr>
                <w:rFonts w:hint="default" w:ascii="Times New Roman" w:hAnsi="Times New Roman" w:cs="Times New Roman"/>
                <w:bCs/>
                <w:color w:val="auto"/>
                <w:kern w:val="0"/>
                <w:sz w:val="24"/>
                <w:szCs w:val="20"/>
                <w:lang w:val="zh-CN"/>
              </w:rPr>
              <w:t>放流1次，工程完工后1年内完成</w:t>
            </w:r>
            <w:r>
              <w:rPr>
                <w:rFonts w:ascii="Times New Roman" w:hAnsi="Times New Roman" w:cs="Times New Roman"/>
                <w:bCs/>
                <w:color w:val="auto"/>
                <w:kern w:val="0"/>
                <w:sz w:val="24"/>
                <w:szCs w:val="20"/>
                <w:lang w:val="zh-CN"/>
              </w:rPr>
              <w:t>。</w:t>
            </w:r>
          </w:p>
          <w:p w14:paraId="52946370">
            <w:pPr>
              <w:spacing w:line="360" w:lineRule="auto"/>
              <w:ind w:firstLine="480" w:firstLineChars="200"/>
              <w:rPr>
                <w:rFonts w:hint="default" w:ascii="Times New Roman" w:hAnsi="Times New Roman" w:eastAsia="宋体" w:cs="Times New Roman"/>
                <w:bCs/>
                <w:color w:val="FF0000"/>
                <w:kern w:val="0"/>
                <w:sz w:val="24"/>
                <w:szCs w:val="20"/>
                <w:lang w:val="en-US" w:eastAsia="zh-CN"/>
              </w:rPr>
            </w:pPr>
            <w:r>
              <w:rPr>
                <w:rFonts w:hint="eastAsia" w:ascii="Times New Roman" w:hAnsi="Times New Roman" w:cs="Times New Roman"/>
                <w:bCs/>
                <w:color w:val="FF0000"/>
                <w:kern w:val="0"/>
                <w:sz w:val="24"/>
                <w:szCs w:val="20"/>
                <w:lang w:val="en-US" w:eastAsia="zh-CN"/>
              </w:rPr>
              <w:t>7）监测</w:t>
            </w:r>
          </w:p>
          <w:p w14:paraId="038C85A4">
            <w:pPr>
              <w:spacing w:line="360" w:lineRule="auto"/>
              <w:ind w:firstLine="480" w:firstLineChars="200"/>
              <w:rPr>
                <w:rFonts w:hint="default" w:ascii="Times New Roman" w:hAnsi="Times New Roman" w:cs="Times New Roman"/>
                <w:bCs/>
                <w:color w:val="FF0000"/>
                <w:kern w:val="0"/>
                <w:sz w:val="24"/>
                <w:szCs w:val="20"/>
                <w:lang w:val="en-US" w:eastAsia="zh-CN"/>
              </w:rPr>
            </w:pPr>
            <w:r>
              <w:rPr>
                <w:rFonts w:hint="eastAsia" w:ascii="Times New Roman" w:hAnsi="Times New Roman" w:cs="Times New Roman"/>
                <w:bCs/>
                <w:color w:val="FF0000"/>
                <w:kern w:val="0"/>
                <w:sz w:val="24"/>
                <w:szCs w:val="20"/>
                <w:lang w:val="en-US" w:eastAsia="zh-CN"/>
              </w:rPr>
              <w:t>监测断面：根据本项目工程具体特性，监测断面为综合整治河段附近，调查位置可根据具体情况适当前移或后靠。</w:t>
            </w:r>
          </w:p>
          <w:p w14:paraId="78C65E4F">
            <w:pPr>
              <w:spacing w:line="360" w:lineRule="auto"/>
              <w:ind w:firstLine="480" w:firstLineChars="200"/>
              <w:rPr>
                <w:rFonts w:hint="default" w:ascii="Times New Roman" w:hAnsi="Times New Roman" w:cs="Times New Roman"/>
                <w:bCs/>
                <w:color w:val="FF0000"/>
                <w:kern w:val="0"/>
                <w:sz w:val="24"/>
                <w:szCs w:val="20"/>
                <w:lang w:val="en-US" w:eastAsia="zh-CN"/>
              </w:rPr>
            </w:pPr>
            <w:r>
              <w:rPr>
                <w:rFonts w:hint="eastAsia" w:ascii="Times New Roman" w:hAnsi="Times New Roman" w:cs="Times New Roman"/>
                <w:bCs/>
                <w:color w:val="FF0000"/>
                <w:kern w:val="0"/>
                <w:sz w:val="24"/>
                <w:szCs w:val="20"/>
                <w:lang w:val="en-US" w:eastAsia="zh-CN"/>
              </w:rPr>
              <w:t>监测频次：本工程影响河段水生生物监测需在施工期监测1次，工程完工后自然恢复期监测1次，共监测2次。</w:t>
            </w:r>
          </w:p>
          <w:p w14:paraId="35D15BDA">
            <w:pPr>
              <w:spacing w:line="360" w:lineRule="auto"/>
              <w:ind w:firstLine="480" w:firstLineChars="200"/>
              <w:rPr>
                <w:rFonts w:hint="default" w:ascii="Times New Roman" w:hAnsi="Times New Roman" w:cs="Times New Roman"/>
                <w:bCs/>
                <w:color w:val="FF0000"/>
                <w:kern w:val="0"/>
                <w:sz w:val="24"/>
                <w:szCs w:val="20"/>
                <w:lang w:val="en-US" w:eastAsia="zh-CN"/>
              </w:rPr>
            </w:pPr>
            <w:r>
              <w:rPr>
                <w:rFonts w:hint="eastAsia" w:ascii="Times New Roman" w:hAnsi="Times New Roman" w:cs="Times New Roman"/>
                <w:bCs/>
                <w:color w:val="FF0000"/>
                <w:kern w:val="0"/>
                <w:sz w:val="24"/>
                <w:szCs w:val="20"/>
                <w:lang w:val="en-US" w:eastAsia="zh-CN"/>
              </w:rPr>
              <w:t>监测内容：主要包括水环境（pH值、溶解氧、电导率、水温等指标）、水生生物（浮游生物和底栖动物等）、鱼类资源及鱼类重要栖息生境等。</w:t>
            </w:r>
          </w:p>
          <w:p w14:paraId="1D8ACFE8">
            <w:pPr>
              <w:pStyle w:val="4"/>
              <w:spacing w:line="360" w:lineRule="auto"/>
              <w:ind w:firstLine="480" w:firstLineChars="200"/>
              <w:rPr>
                <w:rFonts w:hint="default" w:ascii="Times New Roman" w:hAnsi="Times New Roman" w:eastAsia="宋体" w:cs="Times New Roman"/>
                <w:b w:val="0"/>
                <w:bCs w:val="0"/>
                <w:color w:val="FF0000"/>
                <w:sz w:val="24"/>
                <w:lang w:val="en-US" w:eastAsia="zh-CN"/>
              </w:rPr>
            </w:pPr>
            <w:r>
              <w:rPr>
                <w:rFonts w:hint="eastAsia" w:ascii="Times New Roman" w:hAnsi="Times New Roman" w:eastAsia="宋体" w:cs="Times New Roman"/>
                <w:b w:val="0"/>
                <w:bCs w:val="0"/>
                <w:color w:val="FF0000"/>
                <w:sz w:val="24"/>
                <w:lang w:eastAsia="zh-CN"/>
              </w:rPr>
              <w:t>（</w:t>
            </w:r>
            <w:r>
              <w:rPr>
                <w:rFonts w:hint="eastAsia" w:ascii="Times New Roman" w:hAnsi="Times New Roman" w:eastAsia="宋体" w:cs="Times New Roman"/>
                <w:b w:val="0"/>
                <w:bCs w:val="0"/>
                <w:color w:val="FF0000"/>
                <w:sz w:val="24"/>
                <w:lang w:val="en-US" w:eastAsia="zh-CN"/>
              </w:rPr>
              <w:t>5）优化堤防型式</w:t>
            </w:r>
          </w:p>
          <w:p w14:paraId="754102C0">
            <w:pPr>
              <w:pStyle w:val="4"/>
              <w:spacing w:line="360" w:lineRule="auto"/>
              <w:ind w:firstLine="480" w:firstLineChars="200"/>
              <w:rPr>
                <w:rFonts w:hint="eastAsia" w:ascii="Times New Roman" w:hAnsi="Times New Roman" w:eastAsia="宋体" w:cs="Times New Roman"/>
                <w:b w:val="0"/>
                <w:bCs w:val="0"/>
                <w:color w:val="FF0000"/>
                <w:sz w:val="24"/>
                <w:lang w:eastAsia="zh-CN"/>
              </w:rPr>
            </w:pPr>
            <w:r>
              <w:rPr>
                <w:rFonts w:hint="default" w:ascii="Times New Roman" w:hAnsi="Times New Roman" w:eastAsia="宋体" w:cs="Times New Roman"/>
                <w:b w:val="0"/>
                <w:bCs w:val="0"/>
                <w:color w:val="FF0000"/>
                <w:sz w:val="24"/>
              </w:rPr>
              <w:t>建议新建堤防选取衡重式堤型</w:t>
            </w:r>
            <w:r>
              <w:rPr>
                <w:rFonts w:hint="eastAsia" w:ascii="Times New Roman" w:hAnsi="Times New Roman" w:eastAsia="宋体" w:cs="Times New Roman"/>
                <w:b w:val="0"/>
                <w:bCs w:val="0"/>
                <w:color w:val="FF0000"/>
                <w:sz w:val="24"/>
                <w:lang w:eastAsia="zh-CN"/>
              </w:rPr>
              <w:t>，结构相对轻巧，施工过程中对河流周边生态系统的干扰程度相对较低，同时其施工过程相对灵活，可以根据河流的具体地形和生态条件进行调整，减少对河流生态的破坏。</w:t>
            </w:r>
          </w:p>
          <w:p w14:paraId="0629BD47">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4、工程占地保护措施</w:t>
            </w:r>
          </w:p>
          <w:p w14:paraId="743C2D71">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（1）对永久性占地合理规划，严格控制占地面积。</w:t>
            </w:r>
          </w:p>
          <w:p w14:paraId="66743707">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（2）按设计标准规定，严格控制施工作业带面积，不得超过作业标准规定，对施工宽度控制在设计标准范围内，并尽量沿河堤纵向平行布设，以减少土壤扰动和地表植被破坏，减少裸地和土方暴露面积。</w:t>
            </w:r>
          </w:p>
          <w:p w14:paraId="7C0A5D29">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（3）现场施工作业机械应严格管理，划定活动范围，保持</w:t>
            </w:r>
            <w:r>
              <w:rPr>
                <w:rFonts w:hint="eastAsia" w:ascii="Times New Roman" w:hAnsi="Times New Roman" w:eastAsia="宋体" w:cs="Times New Roman"/>
                <w:color w:val="auto"/>
                <w:sz w:val="24"/>
                <w:lang w:val="en-US" w:eastAsia="zh-CN"/>
              </w:rPr>
              <w:t>红线</w:t>
            </w:r>
            <w:r>
              <w:rPr>
                <w:rFonts w:hint="default" w:ascii="Times New Roman" w:hAnsi="Times New Roman" w:eastAsia="宋体" w:cs="Times New Roman"/>
                <w:color w:val="auto"/>
                <w:sz w:val="24"/>
              </w:rPr>
              <w:t>外植被不被破坏。</w:t>
            </w:r>
          </w:p>
          <w:p w14:paraId="7F693F6A">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5、施工工区保护措施</w:t>
            </w:r>
          </w:p>
          <w:p w14:paraId="169FDD71">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rPr>
              <w:t>）施工工区在工区周边开挖排水沟，地势低洼处设置沉淀池（</w:t>
            </w:r>
            <w:r>
              <w:rPr>
                <w:rFonts w:hint="eastAsia"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共2个</w:t>
            </w:r>
            <w:r>
              <w:rPr>
                <w:rFonts w:hint="default" w:ascii="Times New Roman" w:hAnsi="Times New Roman" w:eastAsia="宋体" w:cs="Times New Roman"/>
                <w:color w:val="auto"/>
                <w:sz w:val="24"/>
              </w:rPr>
              <w:t>）收集废水，避免雨水直接冲刷带入泥沙入河；收集后的废水经沉淀池沉淀后回用于洒水降尘；</w:t>
            </w:r>
          </w:p>
          <w:p w14:paraId="356BF8C4">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）施工结束后及时覆土回填恢复至原有地类。</w:t>
            </w:r>
          </w:p>
          <w:p w14:paraId="5C92E97E">
            <w:pPr>
              <w:pStyle w:val="4"/>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6、临时表土堆场保护措施</w:t>
            </w:r>
          </w:p>
          <w:p w14:paraId="0019B349">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（1）剥离表土分层剥离、分层堆放；剥离作业避开雨天、大风天，防止表土被冲刷或扬尘扩散；若遇突发降雨，立即停止作业并覆盖防护；</w:t>
            </w:r>
          </w:p>
          <w:p w14:paraId="2AC6FEFD">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（2）表土场</w:t>
            </w:r>
            <w:r>
              <w:rPr>
                <w:rFonts w:hint="eastAsia" w:ascii="Times New Roman" w:hAnsi="Times New Roman" w:eastAsia="宋体" w:cs="Times New Roman"/>
                <w:color w:val="auto"/>
                <w:sz w:val="24"/>
                <w:lang w:val="en-US" w:eastAsia="zh-CN"/>
              </w:rPr>
              <w:t>设置在堤防后侧，</w:t>
            </w:r>
            <w:r>
              <w:rPr>
                <w:rFonts w:hint="default" w:ascii="Times New Roman" w:hAnsi="Times New Roman" w:eastAsia="宋体" w:cs="Times New Roman"/>
                <w:color w:val="auto"/>
                <w:sz w:val="24"/>
              </w:rPr>
              <w:t>周边</w:t>
            </w:r>
            <w:r>
              <w:rPr>
                <w:rFonts w:hint="eastAsia" w:ascii="Times New Roman" w:hAnsi="Times New Roman" w:eastAsia="宋体" w:cs="Times New Roman"/>
                <w:color w:val="auto"/>
                <w:sz w:val="24"/>
                <w:lang w:val="en-US" w:eastAsia="zh-CN"/>
              </w:rPr>
              <w:t>并</w:t>
            </w:r>
            <w:r>
              <w:rPr>
                <w:rFonts w:hint="default" w:ascii="Times New Roman" w:hAnsi="Times New Roman" w:eastAsia="宋体" w:cs="Times New Roman"/>
                <w:color w:val="auto"/>
                <w:sz w:val="24"/>
              </w:rPr>
              <w:t>设置连续的防护围挡；</w:t>
            </w:r>
          </w:p>
          <w:p w14:paraId="4483FF98">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（3）周边开挖排水沟，地势低洼处设置沉淀池雨水经</w:t>
            </w:r>
            <w:r>
              <w:rPr>
                <w:rFonts w:hint="eastAsia" w:ascii="Times New Roman" w:hAnsi="Times New Roman" w:eastAsia="宋体" w:cs="Times New Roman"/>
                <w:color w:val="auto"/>
                <w:sz w:val="24"/>
                <w:lang w:val="en-US" w:eastAsia="zh-CN"/>
              </w:rPr>
              <w:t>沉淀池</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10</w:t>
            </w:r>
            <w:r>
              <w:rPr>
                <w:rFonts w:hint="default" w:ascii="Times New Roman" w:hAnsi="Times New Roman" w:eastAsia="宋体" w:cs="Times New Roman"/>
                <w:color w:val="auto"/>
                <w:sz w:val="24"/>
              </w:rPr>
              <w:t>m</w:t>
            </w:r>
            <w:r>
              <w:rPr>
                <w:rFonts w:hint="default" w:ascii="Times New Roman" w:hAnsi="Times New Roman" w:eastAsia="宋体" w:cs="Times New Roman"/>
                <w:color w:val="auto"/>
                <w:sz w:val="24"/>
                <w:vertAlign w:val="superscript"/>
              </w:rPr>
              <w:t>3</w:t>
            </w:r>
            <w:r>
              <w:rPr>
                <w:rFonts w:hint="default" w:ascii="Times New Roman" w:hAnsi="Times New Roman" w:eastAsia="宋体" w:cs="Times New Roman"/>
                <w:color w:val="auto"/>
                <w:sz w:val="24"/>
              </w:rPr>
              <w:t>，</w:t>
            </w:r>
            <w:r>
              <w:rPr>
                <w:rFonts w:hint="eastAsia" w:ascii="Times New Roman" w:hAnsi="Times New Roman" w:eastAsia="宋体" w:cs="Times New Roman"/>
                <w:color w:val="auto"/>
                <w:sz w:val="24"/>
                <w:lang w:val="en-US" w:eastAsia="zh-CN"/>
              </w:rPr>
              <w:t>共2个</w:t>
            </w:r>
            <w:r>
              <w:rPr>
                <w:rFonts w:hint="eastAsia" w:ascii="Times New Roman" w:hAnsi="Times New Roman" w:eastAsia="宋体" w:cs="Times New Roman"/>
                <w:color w:val="auto"/>
                <w:sz w:val="24"/>
                <w:lang w:eastAsia="zh-CN"/>
              </w:rPr>
              <w:t>）</w:t>
            </w:r>
            <w:r>
              <w:rPr>
                <w:rFonts w:hint="default" w:ascii="Times New Roman" w:hAnsi="Times New Roman" w:eastAsia="宋体" w:cs="Times New Roman"/>
                <w:color w:val="auto"/>
                <w:sz w:val="24"/>
              </w:rPr>
              <w:t>沉淀后，回用于洒水降尘；</w:t>
            </w:r>
          </w:p>
          <w:p w14:paraId="3F343C34">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（4）物料堆放不超过4m；</w:t>
            </w:r>
          </w:p>
          <w:p w14:paraId="63F0A8BD">
            <w:pPr>
              <w:pStyle w:val="4"/>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（5）施工结束后及时恢复至原有地类。</w:t>
            </w:r>
          </w:p>
          <w:p w14:paraId="35FDD0DC">
            <w:pPr>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lang w:val="en-US" w:eastAsia="zh-CN"/>
              </w:rPr>
              <w:t>7</w:t>
            </w:r>
            <w:r>
              <w:rPr>
                <w:rFonts w:hint="default" w:ascii="Times New Roman" w:hAnsi="Times New Roman" w:eastAsia="宋体" w:cs="Times New Roman"/>
                <w:b/>
                <w:bCs/>
                <w:snapToGrid w:val="0"/>
                <w:color w:val="auto"/>
                <w:sz w:val="24"/>
                <w:szCs w:val="20"/>
              </w:rPr>
              <w:t>、水土流失防治措施</w:t>
            </w:r>
          </w:p>
          <w:p w14:paraId="32B31EFE">
            <w:pPr>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本工程水土流失防治责任范围应包括项目临时占地以及其他使用与管辖区域。本工程防治责任范围共计</w:t>
            </w:r>
            <w:r>
              <w:rPr>
                <w:rFonts w:hint="eastAsia" w:ascii="Times New Roman" w:hAnsi="Times New Roman" w:eastAsia="宋体" w:cs="Times New Roman"/>
                <w:snapToGrid w:val="0"/>
                <w:color w:val="auto"/>
                <w:sz w:val="24"/>
                <w:szCs w:val="20"/>
                <w:lang w:val="en-US" w:eastAsia="zh-CN"/>
              </w:rPr>
              <w:t>1.8659</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。其中永久占地</w:t>
            </w:r>
            <w:r>
              <w:rPr>
                <w:rFonts w:hint="eastAsia" w:ascii="Times New Roman" w:hAnsi="Times New Roman" w:eastAsia="宋体" w:cs="Times New Roman"/>
                <w:snapToGrid w:val="0"/>
                <w:color w:val="auto"/>
                <w:sz w:val="24"/>
                <w:szCs w:val="20"/>
                <w:lang w:val="en-US" w:eastAsia="zh-CN"/>
              </w:rPr>
              <w:t>0.8406</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，临时占地</w:t>
            </w:r>
            <w:r>
              <w:rPr>
                <w:rFonts w:hint="eastAsia" w:ascii="Times New Roman" w:hAnsi="Times New Roman" w:eastAsia="宋体" w:cs="Times New Roman"/>
                <w:snapToGrid w:val="0"/>
                <w:color w:val="auto"/>
                <w:sz w:val="24"/>
                <w:szCs w:val="20"/>
                <w:lang w:val="en-US" w:eastAsia="zh-CN"/>
              </w:rPr>
              <w:t>1.0253</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，防治责任范围及分区见下表：</w:t>
            </w:r>
          </w:p>
          <w:p w14:paraId="34E82D33">
            <w:pPr>
              <w:pStyle w:val="12"/>
              <w:numPr>
                <w:ilvl w:val="0"/>
                <w:numId w:val="0"/>
              </w:numPr>
              <w:tabs>
                <w:tab w:val="clear" w:pos="0"/>
              </w:tabs>
              <w:ind w:left="0" w:leftChars="0" w:firstLine="0" w:firstLineChars="0"/>
              <w:rPr>
                <w:rFonts w:hint="default" w:ascii="Times New Roman" w:hAnsi="Times New Roman" w:cs="Times New Roman"/>
                <w:color w:val="auto"/>
              </w:rPr>
            </w:pPr>
            <w:r>
              <w:rPr>
                <w:rFonts w:hint="default" w:ascii="Times New Roman" w:hAnsi="Times New Roman" w:eastAsia="宋体" w:cs="Times New Roman"/>
                <w:b/>
                <w:color w:val="auto"/>
                <w:kern w:val="2"/>
                <w:sz w:val="21"/>
                <w:szCs w:val="24"/>
                <w:lang w:val="en-US" w:eastAsia="zh-CN" w:bidi="ar-SA"/>
              </w:rPr>
              <w:t>表5-1</w:t>
            </w:r>
            <w:r>
              <w:rPr>
                <w:rFonts w:hint="eastAsia" w:ascii="Times New Roman" w:hAnsi="Times New Roman" w:cs="Times New Roman"/>
                <w:b/>
                <w:color w:val="auto"/>
                <w:kern w:val="2"/>
                <w:sz w:val="21"/>
                <w:szCs w:val="24"/>
                <w:lang w:val="en-US" w:eastAsia="zh-CN" w:bidi="ar-SA"/>
              </w:rPr>
              <w:t xml:space="preserve">  </w:t>
            </w:r>
            <w:r>
              <w:rPr>
                <w:rFonts w:hint="default" w:ascii="Times New Roman" w:hAnsi="Times New Roman" w:cs="Times New Roman"/>
                <w:color w:val="auto"/>
              </w:rPr>
              <w:t>防治责任范围及分区表  单位hm</w:t>
            </w:r>
            <w:r>
              <w:rPr>
                <w:rFonts w:hint="default" w:ascii="Times New Roman" w:hAnsi="Times New Roman" w:cs="Times New Roman"/>
                <w:color w:val="auto"/>
                <w:vertAlign w:val="superscript"/>
              </w:rPr>
              <w:t>2</w:t>
            </w:r>
          </w:p>
          <w:tbl>
            <w:tblPr>
              <w:tblStyle w:val="10"/>
              <w:tblW w:w="4998"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151"/>
              <w:gridCol w:w="1153"/>
              <w:gridCol w:w="1151"/>
              <w:gridCol w:w="1151"/>
              <w:gridCol w:w="1157"/>
              <w:gridCol w:w="1769"/>
            </w:tblGrid>
            <w:tr w14:paraId="1FD8F3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restart"/>
                  <w:tcBorders>
                    <w:tl2br w:val="nil"/>
                    <w:tr2bl w:val="nil"/>
                  </w:tcBorders>
                  <w:noWrap w:val="0"/>
                  <w:vAlign w:val="center"/>
                </w:tcPr>
                <w:p w14:paraId="0B3F8D3B">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项目名称</w:t>
                  </w:r>
                </w:p>
              </w:tc>
              <w:tc>
                <w:tcPr>
                  <w:tcW w:w="764" w:type="pct"/>
                  <w:vMerge w:val="restart"/>
                  <w:tcBorders>
                    <w:tl2br w:val="nil"/>
                    <w:tr2bl w:val="nil"/>
                  </w:tcBorders>
                  <w:noWrap w:val="0"/>
                  <w:vAlign w:val="center"/>
                </w:tcPr>
                <w:p w14:paraId="68A902C6">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项目</w:t>
                  </w:r>
                </w:p>
              </w:tc>
              <w:tc>
                <w:tcPr>
                  <w:tcW w:w="2296" w:type="pct"/>
                  <w:gridSpan w:val="3"/>
                  <w:tcBorders>
                    <w:tl2br w:val="nil"/>
                    <w:tr2bl w:val="nil"/>
                  </w:tcBorders>
                  <w:noWrap w:val="0"/>
                  <w:vAlign w:val="center"/>
                </w:tcPr>
                <w:p w14:paraId="6662BC7B">
                  <w:pPr>
                    <w:pStyle w:val="13"/>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防治责任范围面积(hm²)</w:t>
                  </w:r>
                </w:p>
              </w:tc>
              <w:tc>
                <w:tcPr>
                  <w:tcW w:w="1173" w:type="pct"/>
                  <w:vMerge w:val="restart"/>
                  <w:tcBorders>
                    <w:tl2br w:val="nil"/>
                    <w:tr2bl w:val="nil"/>
                  </w:tcBorders>
                  <w:noWrap w:val="0"/>
                  <w:vAlign w:val="center"/>
                </w:tcPr>
                <w:p w14:paraId="5F52BA2C">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备注</w:t>
                  </w:r>
                </w:p>
              </w:tc>
            </w:tr>
            <w:tr w14:paraId="3ED8E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continue"/>
                  <w:tcBorders>
                    <w:tl2br w:val="nil"/>
                    <w:tr2bl w:val="nil"/>
                  </w:tcBorders>
                  <w:noWrap w:val="0"/>
                  <w:vAlign w:val="center"/>
                </w:tcPr>
                <w:p w14:paraId="28927BA3">
                  <w:pPr>
                    <w:pStyle w:val="13"/>
                    <w:rPr>
                      <w:rFonts w:hint="default" w:ascii="Times New Roman" w:hAnsi="Times New Roman" w:cs="Times New Roman"/>
                      <w:b/>
                      <w:bCs/>
                      <w:color w:val="auto"/>
                      <w:highlight w:val="none"/>
                    </w:rPr>
                  </w:pPr>
                </w:p>
              </w:tc>
              <w:tc>
                <w:tcPr>
                  <w:tcW w:w="764" w:type="pct"/>
                  <w:vMerge w:val="continue"/>
                  <w:tcBorders>
                    <w:tl2br w:val="nil"/>
                    <w:tr2bl w:val="nil"/>
                  </w:tcBorders>
                  <w:noWrap w:val="0"/>
                  <w:vAlign w:val="center"/>
                </w:tcPr>
                <w:p w14:paraId="2AC0F43B">
                  <w:pPr>
                    <w:pStyle w:val="13"/>
                    <w:rPr>
                      <w:rFonts w:hint="default" w:ascii="Times New Roman" w:hAnsi="Times New Roman" w:cs="Times New Roman"/>
                      <w:b/>
                      <w:bCs/>
                      <w:color w:val="auto"/>
                      <w:highlight w:val="none"/>
                    </w:rPr>
                  </w:pPr>
                </w:p>
              </w:tc>
              <w:tc>
                <w:tcPr>
                  <w:tcW w:w="764" w:type="pct"/>
                  <w:tcBorders>
                    <w:tl2br w:val="nil"/>
                    <w:tr2bl w:val="nil"/>
                  </w:tcBorders>
                  <w:noWrap w:val="0"/>
                  <w:vAlign w:val="center"/>
                </w:tcPr>
                <w:p w14:paraId="67684E97">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永久占地</w:t>
                  </w:r>
                </w:p>
              </w:tc>
              <w:tc>
                <w:tcPr>
                  <w:tcW w:w="764" w:type="pct"/>
                  <w:tcBorders>
                    <w:tl2br w:val="nil"/>
                    <w:tr2bl w:val="nil"/>
                  </w:tcBorders>
                  <w:noWrap w:val="0"/>
                  <w:vAlign w:val="center"/>
                </w:tcPr>
                <w:p w14:paraId="01DD3BB3">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临时占地</w:t>
                  </w:r>
                </w:p>
              </w:tc>
              <w:tc>
                <w:tcPr>
                  <w:tcW w:w="766" w:type="pct"/>
                  <w:tcBorders>
                    <w:tl2br w:val="nil"/>
                    <w:tr2bl w:val="nil"/>
                  </w:tcBorders>
                  <w:noWrap w:val="0"/>
                  <w:vAlign w:val="center"/>
                </w:tcPr>
                <w:p w14:paraId="16F34B12">
                  <w:pPr>
                    <w:pStyle w:val="13"/>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val="en-US" w:eastAsia="zh-CN"/>
                    </w:rPr>
                    <w:t>小计</w:t>
                  </w:r>
                </w:p>
              </w:tc>
              <w:tc>
                <w:tcPr>
                  <w:tcW w:w="1173" w:type="pct"/>
                  <w:vMerge w:val="continue"/>
                  <w:tcBorders>
                    <w:tl2br w:val="nil"/>
                    <w:tr2bl w:val="nil"/>
                  </w:tcBorders>
                  <w:noWrap w:val="0"/>
                  <w:vAlign w:val="center"/>
                </w:tcPr>
                <w:p w14:paraId="17187367">
                  <w:pPr>
                    <w:pStyle w:val="13"/>
                    <w:rPr>
                      <w:rFonts w:hint="default" w:ascii="Times New Roman" w:hAnsi="Times New Roman" w:cs="Times New Roman"/>
                      <w:b/>
                      <w:bCs/>
                      <w:color w:val="auto"/>
                      <w:highlight w:val="none"/>
                    </w:rPr>
                  </w:pPr>
                </w:p>
              </w:tc>
            </w:tr>
            <w:tr w14:paraId="1742F3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trPr>
              <w:tc>
                <w:tcPr>
                  <w:tcW w:w="764" w:type="pct"/>
                  <w:vMerge w:val="restart"/>
                  <w:tcBorders>
                    <w:tl2br w:val="nil"/>
                    <w:tr2bl w:val="nil"/>
                  </w:tcBorders>
                  <w:noWrap w:val="0"/>
                  <w:vAlign w:val="center"/>
                </w:tcPr>
                <w:p w14:paraId="7429E7E2">
                  <w:pPr>
                    <w:pStyle w:val="13"/>
                    <w:snapToGrid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甘孜</w:t>
                  </w:r>
                  <w:r>
                    <w:rPr>
                      <w:rFonts w:hint="default" w:ascii="Times New Roman" w:hAnsi="Times New Roman" w:cs="Times New Roman"/>
                      <w:color w:val="auto"/>
                      <w:highlight w:val="none"/>
                    </w:rPr>
                    <w:t>县</w:t>
                  </w:r>
                  <w:r>
                    <w:rPr>
                      <w:rFonts w:hint="default" w:ascii="Times New Roman" w:hAnsi="Times New Roman" w:cs="Times New Roman"/>
                      <w:color w:val="auto"/>
                      <w:highlight w:val="none"/>
                      <w:lang w:val="en-US" w:eastAsia="zh-CN"/>
                    </w:rPr>
                    <w:t>呷拉乡亚龙村山洪沟治理项目（卓达曲）</w:t>
                  </w:r>
                </w:p>
              </w:tc>
              <w:tc>
                <w:tcPr>
                  <w:tcW w:w="764" w:type="pct"/>
                  <w:tcBorders>
                    <w:tl2br w:val="nil"/>
                    <w:tr2bl w:val="nil"/>
                  </w:tcBorders>
                  <w:noWrap w:val="0"/>
                  <w:vAlign w:val="center"/>
                </w:tcPr>
                <w:p w14:paraId="3D8884A7">
                  <w:pPr>
                    <w:pStyle w:val="13"/>
                    <w:snapToGrid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主体工程区</w:t>
                  </w:r>
                </w:p>
              </w:tc>
              <w:tc>
                <w:tcPr>
                  <w:tcW w:w="764" w:type="pct"/>
                  <w:tcBorders>
                    <w:tl2br w:val="nil"/>
                    <w:tr2bl w:val="nil"/>
                  </w:tcBorders>
                  <w:noWrap w:val="0"/>
                  <w:vAlign w:val="center"/>
                </w:tcPr>
                <w:p w14:paraId="5104E996">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r>
                    <w:rPr>
                      <w:rFonts w:hint="eastAsia" w:cs="Times New Roman"/>
                      <w:color w:val="auto"/>
                      <w:highlight w:val="none"/>
                      <w:lang w:val="en-US" w:eastAsia="zh-CN"/>
                    </w:rPr>
                    <w:t>406</w:t>
                  </w:r>
                </w:p>
              </w:tc>
              <w:tc>
                <w:tcPr>
                  <w:tcW w:w="764" w:type="pct"/>
                  <w:tcBorders>
                    <w:tl2br w:val="nil"/>
                    <w:tr2bl w:val="nil"/>
                  </w:tcBorders>
                  <w:noWrap w:val="0"/>
                  <w:vAlign w:val="center"/>
                </w:tcPr>
                <w:p w14:paraId="3EADEB99">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00</w:t>
                  </w:r>
                </w:p>
              </w:tc>
              <w:tc>
                <w:tcPr>
                  <w:tcW w:w="766" w:type="pct"/>
                  <w:tcBorders>
                    <w:tl2br w:val="nil"/>
                    <w:tr2bl w:val="nil"/>
                  </w:tcBorders>
                  <w:noWrap w:val="0"/>
                  <w:vAlign w:val="center"/>
                </w:tcPr>
                <w:p w14:paraId="64229257">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r>
                    <w:rPr>
                      <w:rFonts w:hint="eastAsia" w:cs="Times New Roman"/>
                      <w:color w:val="auto"/>
                      <w:highlight w:val="none"/>
                      <w:lang w:val="en-US" w:eastAsia="zh-CN"/>
                    </w:rPr>
                    <w:t>406</w:t>
                  </w:r>
                </w:p>
              </w:tc>
              <w:tc>
                <w:tcPr>
                  <w:tcW w:w="1173" w:type="pct"/>
                  <w:tcBorders>
                    <w:tl2br w:val="nil"/>
                    <w:tr2bl w:val="nil"/>
                  </w:tcBorders>
                  <w:noWrap w:val="0"/>
                  <w:vAlign w:val="center"/>
                </w:tcPr>
                <w:p w14:paraId="6DC194E6">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1"/>
                      <w:highlight w:val="none"/>
                      <w:lang w:val="en-US" w:eastAsia="zh-CN"/>
                    </w:rPr>
                    <w:t>堤防</w:t>
                  </w:r>
                  <w:r>
                    <w:rPr>
                      <w:rFonts w:hint="default" w:ascii="Times New Roman" w:hAnsi="Times New Roman" w:cs="Times New Roman"/>
                      <w:color w:val="auto"/>
                      <w:kern w:val="0"/>
                      <w:sz w:val="21"/>
                      <w:highlight w:val="none"/>
                    </w:rPr>
                    <w:t>基础开挖、回填、堤身修筑</w:t>
                  </w:r>
                </w:p>
              </w:tc>
            </w:tr>
            <w:tr w14:paraId="7EC12D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continue"/>
                  <w:tcBorders>
                    <w:tl2br w:val="nil"/>
                    <w:tr2bl w:val="nil"/>
                  </w:tcBorders>
                  <w:noWrap w:val="0"/>
                  <w:vAlign w:val="center"/>
                </w:tcPr>
                <w:p w14:paraId="5D585593">
                  <w:pPr>
                    <w:pStyle w:val="13"/>
                    <w:snapToGrid w:val="0"/>
                    <w:rPr>
                      <w:rFonts w:hint="default" w:ascii="Times New Roman" w:hAnsi="Times New Roman" w:cs="Times New Roman"/>
                      <w:color w:val="auto"/>
                      <w:highlight w:val="none"/>
                    </w:rPr>
                  </w:pPr>
                </w:p>
              </w:tc>
              <w:tc>
                <w:tcPr>
                  <w:tcW w:w="764" w:type="pct"/>
                  <w:tcBorders>
                    <w:tl2br w:val="nil"/>
                    <w:tr2bl w:val="nil"/>
                  </w:tcBorders>
                  <w:noWrap w:val="0"/>
                  <w:vAlign w:val="center"/>
                </w:tcPr>
                <w:p w14:paraId="64ED896B">
                  <w:pPr>
                    <w:pStyle w:val="13"/>
                    <w:snapToGrid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临时堆料场</w:t>
                  </w:r>
                  <w:r>
                    <w:rPr>
                      <w:rFonts w:hint="default" w:ascii="Times New Roman" w:hAnsi="Times New Roman" w:cs="Times New Roman"/>
                      <w:color w:val="auto"/>
                      <w:highlight w:val="none"/>
                      <w:lang w:val="en-US" w:eastAsia="zh-CN"/>
                    </w:rPr>
                    <w:t>区</w:t>
                  </w:r>
                </w:p>
              </w:tc>
              <w:tc>
                <w:tcPr>
                  <w:tcW w:w="764" w:type="pct"/>
                  <w:tcBorders>
                    <w:tl2br w:val="nil"/>
                    <w:tr2bl w:val="nil"/>
                  </w:tcBorders>
                  <w:noWrap w:val="0"/>
                  <w:vAlign w:val="center"/>
                </w:tcPr>
                <w:p w14:paraId="122B4C99">
                  <w:pPr>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00</w:t>
                  </w:r>
                </w:p>
              </w:tc>
              <w:tc>
                <w:tcPr>
                  <w:tcW w:w="764" w:type="pct"/>
                  <w:tcBorders>
                    <w:tl2br w:val="nil"/>
                    <w:tr2bl w:val="nil"/>
                  </w:tcBorders>
                  <w:noWrap w:val="0"/>
                  <w:vAlign w:val="center"/>
                </w:tcPr>
                <w:p w14:paraId="2B9EB0E8">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0.1273</w:t>
                  </w:r>
                </w:p>
              </w:tc>
              <w:tc>
                <w:tcPr>
                  <w:tcW w:w="1199" w:type="dxa"/>
                  <w:tcBorders>
                    <w:tl2br w:val="nil"/>
                    <w:tr2bl w:val="nil"/>
                  </w:tcBorders>
                  <w:noWrap w:val="0"/>
                  <w:vAlign w:val="center"/>
                </w:tcPr>
                <w:p w14:paraId="0A5A6287">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0.1273</w:t>
                  </w:r>
                </w:p>
              </w:tc>
              <w:tc>
                <w:tcPr>
                  <w:tcW w:w="1173" w:type="pct"/>
                  <w:tcBorders>
                    <w:tl2br w:val="nil"/>
                    <w:tr2bl w:val="nil"/>
                  </w:tcBorders>
                  <w:noWrap w:val="0"/>
                  <w:vAlign w:val="center"/>
                </w:tcPr>
                <w:p w14:paraId="0BFF6ABC">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临时堆土</w:t>
                  </w:r>
                </w:p>
              </w:tc>
            </w:tr>
            <w:tr w14:paraId="297E73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continue"/>
                  <w:tcBorders>
                    <w:tl2br w:val="nil"/>
                    <w:tr2bl w:val="nil"/>
                  </w:tcBorders>
                  <w:noWrap w:val="0"/>
                  <w:vAlign w:val="center"/>
                </w:tcPr>
                <w:p w14:paraId="2BF6BFD8">
                  <w:pPr>
                    <w:pStyle w:val="13"/>
                    <w:snapToGrid w:val="0"/>
                    <w:rPr>
                      <w:rFonts w:hint="default" w:ascii="Times New Roman" w:hAnsi="Times New Roman" w:cs="Times New Roman"/>
                      <w:color w:val="auto"/>
                      <w:highlight w:val="none"/>
                    </w:rPr>
                  </w:pPr>
                </w:p>
              </w:tc>
              <w:tc>
                <w:tcPr>
                  <w:tcW w:w="764" w:type="pct"/>
                  <w:tcBorders>
                    <w:tl2br w:val="nil"/>
                    <w:tr2bl w:val="nil"/>
                  </w:tcBorders>
                  <w:noWrap w:val="0"/>
                  <w:vAlign w:val="center"/>
                </w:tcPr>
                <w:p w14:paraId="1006DCB8">
                  <w:pPr>
                    <w:pStyle w:val="13"/>
                    <w:snapToGrid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施工便道区</w:t>
                  </w:r>
                </w:p>
              </w:tc>
              <w:tc>
                <w:tcPr>
                  <w:tcW w:w="764" w:type="pct"/>
                  <w:tcBorders>
                    <w:tl2br w:val="nil"/>
                    <w:tr2bl w:val="nil"/>
                  </w:tcBorders>
                  <w:noWrap w:val="0"/>
                  <w:vAlign w:val="center"/>
                </w:tcPr>
                <w:p w14:paraId="4DF644DB">
                  <w:pPr>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00</w:t>
                  </w:r>
                </w:p>
              </w:tc>
              <w:tc>
                <w:tcPr>
                  <w:tcW w:w="764" w:type="pct"/>
                  <w:tcBorders>
                    <w:tl2br w:val="nil"/>
                    <w:tr2bl w:val="nil"/>
                  </w:tcBorders>
                  <w:noWrap w:val="0"/>
                  <w:vAlign w:val="center"/>
                </w:tcPr>
                <w:p w14:paraId="6966D679">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03267</w:t>
                  </w:r>
                </w:p>
              </w:tc>
              <w:tc>
                <w:tcPr>
                  <w:tcW w:w="1199" w:type="dxa"/>
                  <w:tcBorders>
                    <w:tl2br w:val="nil"/>
                    <w:tr2bl w:val="nil"/>
                  </w:tcBorders>
                  <w:noWrap w:val="0"/>
                  <w:vAlign w:val="center"/>
                </w:tcPr>
                <w:p w14:paraId="7EE55482">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0.3267</w:t>
                  </w:r>
                </w:p>
              </w:tc>
              <w:tc>
                <w:tcPr>
                  <w:tcW w:w="1173" w:type="pct"/>
                  <w:tcBorders>
                    <w:tl2br w:val="nil"/>
                    <w:tr2bl w:val="nil"/>
                  </w:tcBorders>
                  <w:noWrap w:val="0"/>
                  <w:vAlign w:val="center"/>
                </w:tcPr>
                <w:p w14:paraId="2A0CD1BB">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1"/>
                      <w:highlight w:val="none"/>
                    </w:rPr>
                    <w:t>路基平整及清理</w:t>
                  </w:r>
                </w:p>
              </w:tc>
            </w:tr>
            <w:tr w14:paraId="4BC66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continue"/>
                  <w:tcBorders>
                    <w:tl2br w:val="nil"/>
                    <w:tr2bl w:val="nil"/>
                  </w:tcBorders>
                  <w:noWrap w:val="0"/>
                  <w:vAlign w:val="center"/>
                </w:tcPr>
                <w:p w14:paraId="50112B6C">
                  <w:pPr>
                    <w:pStyle w:val="13"/>
                    <w:rPr>
                      <w:rFonts w:hint="default" w:ascii="Times New Roman" w:hAnsi="Times New Roman" w:cs="Times New Roman"/>
                      <w:color w:val="auto"/>
                      <w:highlight w:val="none"/>
                    </w:rPr>
                  </w:pPr>
                </w:p>
              </w:tc>
              <w:tc>
                <w:tcPr>
                  <w:tcW w:w="764" w:type="pct"/>
                  <w:tcBorders>
                    <w:tl2br w:val="nil"/>
                    <w:tr2bl w:val="nil"/>
                  </w:tcBorders>
                  <w:noWrap w:val="0"/>
                  <w:vAlign w:val="center"/>
                </w:tcPr>
                <w:p w14:paraId="33F963FF">
                  <w:pPr>
                    <w:pStyle w:val="13"/>
                    <w:rPr>
                      <w:rFonts w:hint="default" w:ascii="Times New Roman" w:hAnsi="Times New Roman" w:cs="Times New Roman"/>
                      <w:color w:val="auto"/>
                      <w:highlight w:val="none"/>
                    </w:rPr>
                  </w:pPr>
                  <w:r>
                    <w:rPr>
                      <w:rFonts w:hint="default" w:ascii="Times New Roman" w:hAnsi="Times New Roman" w:cs="Times New Roman"/>
                      <w:color w:val="auto"/>
                      <w:highlight w:val="none"/>
                    </w:rPr>
                    <w:t>施工生产区</w:t>
                  </w:r>
                </w:p>
              </w:tc>
              <w:tc>
                <w:tcPr>
                  <w:tcW w:w="764" w:type="pct"/>
                  <w:tcBorders>
                    <w:tl2br w:val="nil"/>
                    <w:tr2bl w:val="nil"/>
                  </w:tcBorders>
                  <w:noWrap w:val="0"/>
                  <w:vAlign w:val="center"/>
                </w:tcPr>
                <w:p w14:paraId="5F99EABF">
                  <w:pPr>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00</w:t>
                  </w:r>
                </w:p>
              </w:tc>
              <w:tc>
                <w:tcPr>
                  <w:tcW w:w="764" w:type="pct"/>
                  <w:tcBorders>
                    <w:tl2br w:val="nil"/>
                    <w:tr2bl w:val="nil"/>
                  </w:tcBorders>
                  <w:noWrap w:val="0"/>
                  <w:vAlign w:val="center"/>
                </w:tcPr>
                <w:p w14:paraId="7FDABB45">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0.0900</w:t>
                  </w:r>
                </w:p>
              </w:tc>
              <w:tc>
                <w:tcPr>
                  <w:tcW w:w="1199" w:type="dxa"/>
                  <w:tcBorders>
                    <w:tl2br w:val="nil"/>
                    <w:tr2bl w:val="nil"/>
                  </w:tcBorders>
                  <w:noWrap w:val="0"/>
                  <w:vAlign w:val="center"/>
                </w:tcPr>
                <w:p w14:paraId="5EF30E55">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0.0900</w:t>
                  </w:r>
                </w:p>
              </w:tc>
              <w:tc>
                <w:tcPr>
                  <w:tcW w:w="1173" w:type="pct"/>
                  <w:tcBorders>
                    <w:tl2br w:val="nil"/>
                    <w:tr2bl w:val="nil"/>
                  </w:tcBorders>
                  <w:noWrap w:val="0"/>
                  <w:vAlign w:val="center"/>
                </w:tcPr>
                <w:p w14:paraId="1F05129F">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1"/>
                      <w:highlight w:val="none"/>
                    </w:rPr>
                    <w:t>施工生产设施布设</w:t>
                  </w:r>
                </w:p>
              </w:tc>
            </w:tr>
            <w:tr w14:paraId="5222F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64" w:type="pct"/>
                  <w:vMerge w:val="continue"/>
                  <w:tcBorders>
                    <w:tl2br w:val="nil"/>
                    <w:tr2bl w:val="nil"/>
                  </w:tcBorders>
                  <w:noWrap w:val="0"/>
                  <w:vAlign w:val="center"/>
                </w:tcPr>
                <w:p w14:paraId="25E62C93">
                  <w:pPr>
                    <w:pStyle w:val="13"/>
                    <w:rPr>
                      <w:rFonts w:hint="default" w:ascii="Times New Roman" w:hAnsi="Times New Roman" w:cs="Times New Roman"/>
                      <w:color w:val="auto"/>
                      <w:highlight w:val="none"/>
                    </w:rPr>
                  </w:pPr>
                </w:p>
              </w:tc>
              <w:tc>
                <w:tcPr>
                  <w:tcW w:w="764" w:type="pct"/>
                  <w:tcBorders>
                    <w:tl2br w:val="nil"/>
                    <w:tr2bl w:val="nil"/>
                  </w:tcBorders>
                  <w:noWrap w:val="0"/>
                  <w:vAlign w:val="center"/>
                </w:tcPr>
                <w:p w14:paraId="4D8886A9">
                  <w:pPr>
                    <w:pStyle w:val="13"/>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施工围堰区</w:t>
                  </w:r>
                </w:p>
              </w:tc>
              <w:tc>
                <w:tcPr>
                  <w:tcW w:w="764" w:type="pct"/>
                  <w:tcBorders>
                    <w:tl2br w:val="nil"/>
                    <w:tr2bl w:val="nil"/>
                  </w:tcBorders>
                  <w:noWrap w:val="0"/>
                  <w:vAlign w:val="center"/>
                </w:tcPr>
                <w:p w14:paraId="4585AA5A">
                  <w:pPr>
                    <w:snapToGrid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0.00</w:t>
                  </w:r>
                  <w:r>
                    <w:rPr>
                      <w:rFonts w:hint="eastAsia" w:cs="Times New Roman"/>
                      <w:color w:val="auto"/>
                      <w:highlight w:val="none"/>
                      <w:lang w:val="en-US" w:eastAsia="zh-CN"/>
                    </w:rPr>
                    <w:t>00</w:t>
                  </w:r>
                </w:p>
              </w:tc>
              <w:tc>
                <w:tcPr>
                  <w:tcW w:w="764" w:type="pct"/>
                  <w:tcBorders>
                    <w:tl2br w:val="nil"/>
                    <w:tr2bl w:val="nil"/>
                  </w:tcBorders>
                  <w:noWrap w:val="0"/>
                  <w:vAlign w:val="center"/>
                </w:tcPr>
                <w:p w14:paraId="76B64CB9">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0.4813</w:t>
                  </w:r>
                </w:p>
              </w:tc>
              <w:tc>
                <w:tcPr>
                  <w:tcW w:w="1199" w:type="dxa"/>
                  <w:tcBorders>
                    <w:tl2br w:val="nil"/>
                    <w:tr2bl w:val="nil"/>
                  </w:tcBorders>
                  <w:noWrap w:val="0"/>
                  <w:vAlign w:val="center"/>
                </w:tcPr>
                <w:p w14:paraId="2C4BCBE8">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0.4813</w:t>
                  </w:r>
                </w:p>
              </w:tc>
              <w:tc>
                <w:tcPr>
                  <w:tcW w:w="1173" w:type="pct"/>
                  <w:tcBorders>
                    <w:tl2br w:val="nil"/>
                    <w:tr2bl w:val="nil"/>
                  </w:tcBorders>
                  <w:noWrap w:val="0"/>
                  <w:vAlign w:val="center"/>
                </w:tcPr>
                <w:p w14:paraId="48D5D3D5">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kern w:val="0"/>
                      <w:sz w:val="21"/>
                      <w:highlight w:val="none"/>
                    </w:rPr>
                    <w:t>围堰填筑及拆除</w:t>
                  </w:r>
                </w:p>
              </w:tc>
            </w:tr>
            <w:tr w14:paraId="139501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529" w:type="pct"/>
                  <w:gridSpan w:val="2"/>
                  <w:tcBorders>
                    <w:tl2br w:val="nil"/>
                    <w:tr2bl w:val="nil"/>
                  </w:tcBorders>
                  <w:noWrap w:val="0"/>
                  <w:vAlign w:val="center"/>
                </w:tcPr>
                <w:p w14:paraId="02388237">
                  <w:pPr>
                    <w:pStyle w:val="13"/>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c>
                <w:tcPr>
                  <w:tcW w:w="764" w:type="pct"/>
                  <w:tcBorders>
                    <w:tl2br w:val="nil"/>
                    <w:tr2bl w:val="nil"/>
                  </w:tcBorders>
                  <w:noWrap w:val="0"/>
                  <w:vAlign w:val="center"/>
                </w:tcPr>
                <w:p w14:paraId="6D921BA1">
                  <w:pPr>
                    <w:pStyle w:val="13"/>
                    <w:snapToGrid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0.8</w:t>
                  </w:r>
                  <w:r>
                    <w:rPr>
                      <w:rFonts w:hint="eastAsia" w:cs="Times New Roman"/>
                      <w:color w:val="auto"/>
                      <w:highlight w:val="none"/>
                      <w:lang w:val="en-US" w:eastAsia="zh-CN"/>
                    </w:rPr>
                    <w:t>406</w:t>
                  </w:r>
                </w:p>
              </w:tc>
              <w:tc>
                <w:tcPr>
                  <w:tcW w:w="764" w:type="pct"/>
                  <w:tcBorders>
                    <w:tl2br w:val="nil"/>
                    <w:tr2bl w:val="nil"/>
                  </w:tcBorders>
                  <w:noWrap w:val="0"/>
                  <w:vAlign w:val="center"/>
                </w:tcPr>
                <w:p w14:paraId="1FD94461">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1.0253</w:t>
                  </w:r>
                </w:p>
              </w:tc>
              <w:tc>
                <w:tcPr>
                  <w:tcW w:w="766" w:type="pct"/>
                  <w:tcBorders>
                    <w:tl2br w:val="nil"/>
                    <w:tr2bl w:val="nil"/>
                  </w:tcBorders>
                  <w:noWrap w:val="0"/>
                  <w:vAlign w:val="center"/>
                </w:tcPr>
                <w:p w14:paraId="23EB5084">
                  <w:pPr>
                    <w:pStyle w:val="13"/>
                    <w:snapToGrid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1.8659</w:t>
                  </w:r>
                </w:p>
              </w:tc>
              <w:tc>
                <w:tcPr>
                  <w:tcW w:w="1173" w:type="pct"/>
                  <w:tcBorders>
                    <w:tl2br w:val="nil"/>
                    <w:tr2bl w:val="nil"/>
                  </w:tcBorders>
                  <w:noWrap w:val="0"/>
                  <w:vAlign w:val="center"/>
                </w:tcPr>
                <w:p w14:paraId="10F1CB6B">
                  <w:pPr>
                    <w:pStyle w:val="13"/>
                    <w:snapToGrid w:val="0"/>
                    <w:rPr>
                      <w:rFonts w:hint="default" w:ascii="Times New Roman" w:hAnsi="Times New Roman" w:cs="Times New Roman"/>
                      <w:color w:val="auto"/>
                      <w:highlight w:val="none"/>
                      <w:lang w:val="en-US" w:eastAsia="zh-CN"/>
                    </w:rPr>
                  </w:pPr>
                </w:p>
              </w:tc>
            </w:tr>
          </w:tbl>
          <w:p w14:paraId="1A2D6060">
            <w:pPr>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（1）主体工程</w:t>
            </w:r>
          </w:p>
          <w:p w14:paraId="43B1900E">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1）</w:t>
            </w:r>
            <w:r>
              <w:rPr>
                <w:rFonts w:hint="default" w:ascii="Times New Roman" w:hAnsi="Times New Roman" w:eastAsia="宋体" w:cs="Times New Roman"/>
                <w:snapToGrid w:val="0"/>
                <w:color w:val="auto"/>
                <w:sz w:val="24"/>
                <w:szCs w:val="20"/>
              </w:rPr>
              <w:t>临时苫盖：施工过程中为防止雨水对裸露或扰动地表造成冲刷，表面采用密目网苫盖防护，边缘石块压边。经统计，密目网苫盖约</w:t>
            </w: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000m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1A6E8C64">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2）</w:t>
            </w:r>
            <w:r>
              <w:rPr>
                <w:rFonts w:hint="default" w:ascii="Times New Roman" w:hAnsi="Times New Roman" w:eastAsia="宋体" w:cs="Times New Roman"/>
                <w:snapToGrid w:val="0"/>
                <w:color w:val="auto"/>
                <w:sz w:val="24"/>
                <w:szCs w:val="20"/>
              </w:rPr>
              <w:t>土地整治：</w:t>
            </w:r>
            <w:r>
              <w:rPr>
                <w:rFonts w:hint="default" w:ascii="Times New Roman" w:hAnsi="Times New Roman" w:eastAsia="宋体" w:cs="Times New Roman"/>
                <w:color w:val="auto"/>
                <w:spacing w:val="0"/>
                <w:kern w:val="2"/>
                <w:sz w:val="24"/>
                <w:szCs w:val="24"/>
                <w:highlight w:val="none"/>
                <w:lang w:val="zh-CN" w:eastAsia="zh-CN"/>
              </w:rPr>
              <w:t>主体工程区剥离表土</w:t>
            </w:r>
            <w:r>
              <w:rPr>
                <w:rFonts w:hint="eastAsia" w:ascii="Times New Roman" w:hAnsi="Times New Roman" w:eastAsia="宋体" w:cs="Times New Roman"/>
                <w:color w:val="auto"/>
                <w:spacing w:val="0"/>
                <w:kern w:val="2"/>
                <w:sz w:val="24"/>
                <w:szCs w:val="24"/>
                <w:highlight w:val="none"/>
                <w:lang w:val="en-US" w:eastAsia="zh-CN"/>
              </w:rPr>
              <w:t>0.10万</w:t>
            </w:r>
            <w:r>
              <w:rPr>
                <w:rFonts w:hint="default" w:ascii="Times New Roman" w:hAnsi="Times New Roman" w:eastAsia="宋体" w:cs="Times New Roman"/>
                <w:color w:val="auto"/>
                <w:spacing w:val="0"/>
                <w:kern w:val="2"/>
                <w:sz w:val="24"/>
                <w:szCs w:val="24"/>
                <w:highlight w:val="none"/>
                <w:lang w:val="zh-CN" w:eastAsia="zh-CN"/>
              </w:rPr>
              <w:t>m³，</w:t>
            </w:r>
            <w:r>
              <w:rPr>
                <w:rFonts w:hint="default" w:ascii="Times New Roman" w:hAnsi="Times New Roman" w:eastAsia="宋体" w:cs="Times New Roman"/>
                <w:color w:val="auto"/>
                <w:spacing w:val="0"/>
                <w:kern w:val="2"/>
                <w:sz w:val="24"/>
                <w:szCs w:val="24"/>
                <w:highlight w:val="none"/>
                <w:lang w:val="en-US" w:eastAsia="zh-CN"/>
              </w:rPr>
              <w:t>后期用于其他区</w:t>
            </w:r>
            <w:r>
              <w:rPr>
                <w:rFonts w:hint="default" w:ascii="Times New Roman" w:hAnsi="Times New Roman" w:eastAsia="宋体" w:cs="Times New Roman"/>
                <w:color w:val="auto"/>
                <w:spacing w:val="0"/>
                <w:kern w:val="2"/>
                <w:sz w:val="24"/>
                <w:szCs w:val="24"/>
                <w:highlight w:val="none"/>
                <w:lang w:val="zh-CN" w:eastAsia="zh-CN"/>
              </w:rPr>
              <w:t>的绿化覆土及迹地恢复</w:t>
            </w:r>
            <w:r>
              <w:rPr>
                <w:rFonts w:hint="default" w:ascii="Times New Roman" w:hAnsi="Times New Roman" w:eastAsia="宋体" w:cs="Times New Roman"/>
                <w:snapToGrid w:val="0"/>
                <w:color w:val="auto"/>
                <w:sz w:val="24"/>
                <w:szCs w:val="20"/>
              </w:rPr>
              <w:t>。</w:t>
            </w:r>
          </w:p>
          <w:p w14:paraId="276C10EF">
            <w:pPr>
              <w:keepNext w:val="0"/>
              <w:keepLines w:val="0"/>
              <w:pageBreakBefore w:val="0"/>
              <w:widowControl w:val="0"/>
              <w:kinsoku/>
              <w:wordWrap/>
              <w:overflowPunct/>
              <w:topLinePunct w:val="0"/>
              <w:autoSpaceDE/>
              <w:autoSpaceDN/>
              <w:bidi w:val="0"/>
              <w:adjustRightInd/>
              <w:snapToGrid w:val="0"/>
              <w:spacing w:line="360" w:lineRule="auto"/>
              <w:ind w:right="0" w:firstLine="480" w:firstLineChars="200"/>
              <w:textAlignment w:val="auto"/>
              <w:rPr>
                <w:rFonts w:hint="default" w:ascii="Times New Roman" w:hAnsi="Times New Roman" w:eastAsia="宋体" w:cs="Times New Roman"/>
                <w:color w:val="auto"/>
                <w:spacing w:val="0"/>
                <w:kern w:val="2"/>
                <w:sz w:val="24"/>
                <w:szCs w:val="24"/>
                <w:highlight w:val="none"/>
                <w:lang w:val="zh-CN" w:eastAsia="zh-CN"/>
              </w:rPr>
            </w:pPr>
            <w:r>
              <w:rPr>
                <w:rFonts w:hint="eastAsia" w:ascii="Times New Roman" w:hAnsi="Times New Roman" w:eastAsia="宋体" w:cs="Times New Roman"/>
                <w:snapToGrid w:val="0"/>
                <w:color w:val="auto"/>
                <w:sz w:val="24"/>
                <w:szCs w:val="20"/>
                <w:lang w:val="en-US" w:eastAsia="zh-CN"/>
              </w:rPr>
              <w:t>3）</w:t>
            </w:r>
            <w:r>
              <w:rPr>
                <w:rFonts w:hint="default" w:ascii="Times New Roman" w:hAnsi="Times New Roman" w:eastAsia="宋体" w:cs="Times New Roman"/>
                <w:snapToGrid w:val="0"/>
                <w:color w:val="auto"/>
                <w:sz w:val="24"/>
                <w:szCs w:val="20"/>
              </w:rPr>
              <w:t>植物措施：</w:t>
            </w:r>
            <w:r>
              <w:rPr>
                <w:rFonts w:hint="default" w:ascii="Times New Roman" w:hAnsi="Times New Roman" w:eastAsia="宋体" w:cs="Times New Roman"/>
                <w:color w:val="auto"/>
                <w:spacing w:val="0"/>
                <w:kern w:val="2"/>
                <w:sz w:val="24"/>
                <w:szCs w:val="24"/>
                <w:highlight w:val="none"/>
                <w:lang w:val="en-US" w:eastAsia="zh-CN"/>
              </w:rPr>
              <w:t>本项目主体工程区均已进行硬化处理，无需进行植被恢复与建设工程设计。</w:t>
            </w:r>
          </w:p>
          <w:p w14:paraId="77154AA3">
            <w:pPr>
              <w:spacing w:line="360" w:lineRule="auto"/>
              <w:ind w:firstLine="482" w:firstLineChars="200"/>
              <w:rPr>
                <w:rFonts w:hint="eastAsia" w:ascii="Times New Roman" w:hAnsi="Times New Roman" w:eastAsia="宋体" w:cs="Times New Roman"/>
                <w:b/>
                <w:bCs/>
                <w:snapToGrid w:val="0"/>
                <w:color w:val="auto"/>
                <w:sz w:val="24"/>
                <w:szCs w:val="20"/>
                <w:lang w:val="en-US" w:eastAsia="zh-CN"/>
              </w:rPr>
            </w:pPr>
            <w:r>
              <w:rPr>
                <w:rFonts w:hint="default" w:ascii="Times New Roman" w:hAnsi="Times New Roman" w:eastAsia="宋体" w:cs="Times New Roman"/>
                <w:b/>
                <w:bCs/>
                <w:snapToGrid w:val="0"/>
                <w:color w:val="auto"/>
                <w:sz w:val="24"/>
                <w:szCs w:val="20"/>
              </w:rPr>
              <w:t>（2）临时</w:t>
            </w:r>
            <w:r>
              <w:rPr>
                <w:rFonts w:hint="eastAsia" w:ascii="Times New Roman" w:hAnsi="Times New Roman" w:eastAsia="宋体" w:cs="Times New Roman"/>
                <w:b/>
                <w:bCs/>
                <w:snapToGrid w:val="0"/>
                <w:color w:val="auto"/>
                <w:sz w:val="24"/>
                <w:szCs w:val="20"/>
                <w:lang w:val="en-US" w:eastAsia="zh-CN"/>
              </w:rPr>
              <w:t>堆料场</w:t>
            </w:r>
          </w:p>
          <w:p w14:paraId="5E52DE95">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1）</w:t>
            </w:r>
            <w:r>
              <w:rPr>
                <w:rFonts w:hint="default" w:ascii="Times New Roman" w:hAnsi="Times New Roman" w:eastAsia="宋体" w:cs="Times New Roman"/>
                <w:snapToGrid w:val="0"/>
                <w:color w:val="auto"/>
                <w:sz w:val="24"/>
                <w:szCs w:val="20"/>
              </w:rPr>
              <w:t>临时拦挡及苫盖：施工过程中为防止该区域堆放表土发生水土流失，表面采用土工布苫盖防护，临时堆土四周采用装土编织袋进行临时拦挡防护。编织袋挡墙采用梯形断面，高度0.5m，底宽0.6m。经统计，需编织袋拦挡长度200m，编</w:t>
            </w:r>
            <w:r>
              <w:rPr>
                <w:rFonts w:hint="eastAsia" w:ascii="Times New Roman" w:hAnsi="Times New Roman" w:eastAsia="宋体" w:cs="Times New Roman"/>
                <w:snapToGrid w:val="0"/>
                <w:color w:val="auto"/>
                <w:sz w:val="24"/>
                <w:szCs w:val="20"/>
                <w:lang w:val="en-US" w:eastAsia="zh-CN"/>
              </w:rPr>
              <w:t>织</w:t>
            </w:r>
            <w:r>
              <w:rPr>
                <w:rFonts w:hint="default" w:ascii="Times New Roman" w:hAnsi="Times New Roman" w:eastAsia="宋体" w:cs="Times New Roman"/>
                <w:snapToGrid w:val="0"/>
                <w:color w:val="auto"/>
                <w:sz w:val="24"/>
                <w:szCs w:val="20"/>
              </w:rPr>
              <w:t>袋填筑96m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，挡墙拆除96m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，密目网苫盖约1200m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78DFD15E">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2）</w:t>
            </w:r>
            <w:r>
              <w:rPr>
                <w:rFonts w:hint="default" w:ascii="Times New Roman" w:hAnsi="Times New Roman" w:eastAsia="宋体" w:cs="Times New Roman"/>
                <w:snapToGrid w:val="0"/>
                <w:color w:val="auto"/>
                <w:sz w:val="24"/>
                <w:szCs w:val="20"/>
              </w:rPr>
              <w:t>临时排水沟及</w:t>
            </w:r>
            <w:r>
              <w:rPr>
                <w:rFonts w:hint="default" w:ascii="Times New Roman" w:hAnsi="Times New Roman" w:eastAsia="宋体" w:cs="Times New Roman"/>
                <w:snapToGrid w:val="0"/>
                <w:color w:val="auto"/>
                <w:sz w:val="24"/>
                <w:szCs w:val="20"/>
                <w:lang w:val="en-US" w:eastAsia="zh-CN"/>
              </w:rPr>
              <w:t>沉淀池</w:t>
            </w:r>
            <w:r>
              <w:rPr>
                <w:rFonts w:hint="default" w:ascii="Times New Roman" w:hAnsi="Times New Roman" w:eastAsia="宋体" w:cs="Times New Roman"/>
                <w:snapToGrid w:val="0"/>
                <w:color w:val="auto"/>
                <w:sz w:val="24"/>
                <w:szCs w:val="20"/>
              </w:rPr>
              <w:t>：临时堆土区周边布设临时排水沟进行防护，排水沟顺接天然沟道，采用梯形断面土质排水沟，底宽0.3m，深0.3m，边坡为1:0.5，每延米土方开挖量为0.135m</w:t>
            </w:r>
            <w:r>
              <w:rPr>
                <w:rFonts w:hint="eastAsia" w:ascii="Times New Roman" w:hAnsi="Times New Roman" w:eastAsia="宋体" w:cs="Times New Roman"/>
                <w:snapToGrid w:val="0"/>
                <w:color w:val="auto"/>
                <w:sz w:val="24"/>
                <w:szCs w:val="20"/>
                <w:vertAlign w:val="superscript"/>
                <w:lang w:val="en-US" w:eastAsia="zh-CN"/>
              </w:rPr>
              <w:t>3</w:t>
            </w:r>
            <w:r>
              <w:rPr>
                <w:rFonts w:hint="eastAsia" w:ascii="Times New Roman" w:hAnsi="Times New Roman" w:eastAsia="宋体" w:cs="Times New Roman"/>
                <w:snapToGrid w:val="0"/>
                <w:color w:val="auto"/>
                <w:sz w:val="24"/>
                <w:szCs w:val="20"/>
                <w:lang w:val="en-US" w:eastAsia="zh-CN"/>
              </w:rPr>
              <w:t>，</w:t>
            </w:r>
            <w:r>
              <w:rPr>
                <w:rFonts w:hint="default" w:ascii="Times New Roman" w:hAnsi="Times New Roman" w:eastAsia="宋体" w:cs="Times New Roman"/>
                <w:snapToGrid w:val="0"/>
                <w:color w:val="auto"/>
                <w:sz w:val="24"/>
                <w:szCs w:val="20"/>
              </w:rPr>
              <w:t>共布设排水沟300m。临时排水沟出口布置临时</w:t>
            </w:r>
            <w:r>
              <w:rPr>
                <w:rFonts w:hint="default" w:ascii="Times New Roman" w:hAnsi="Times New Roman" w:eastAsia="宋体" w:cs="Times New Roman"/>
                <w:snapToGrid w:val="0"/>
                <w:color w:val="auto"/>
                <w:sz w:val="24"/>
                <w:szCs w:val="20"/>
                <w:lang w:val="en-US" w:eastAsia="zh-CN"/>
              </w:rPr>
              <w:t>沉淀池</w:t>
            </w:r>
            <w:r>
              <w:rPr>
                <w:rFonts w:hint="default" w:ascii="Times New Roman" w:hAnsi="Times New Roman" w:eastAsia="宋体" w:cs="Times New Roman"/>
                <w:snapToGrid w:val="0"/>
                <w:color w:val="auto"/>
                <w:sz w:val="24"/>
                <w:szCs w:val="20"/>
              </w:rPr>
              <w:t>，拦截泥沙，沉</w:t>
            </w:r>
            <w:r>
              <w:rPr>
                <w:rFonts w:hint="eastAsia" w:ascii="Times New Roman" w:hAnsi="Times New Roman" w:eastAsia="宋体" w:cs="Times New Roman"/>
                <w:snapToGrid w:val="0"/>
                <w:color w:val="auto"/>
                <w:sz w:val="24"/>
                <w:szCs w:val="20"/>
                <w:lang w:val="en-US" w:eastAsia="zh-CN"/>
              </w:rPr>
              <w:t>淀</w:t>
            </w:r>
            <w:r>
              <w:rPr>
                <w:rFonts w:hint="default" w:ascii="Times New Roman" w:hAnsi="Times New Roman" w:eastAsia="宋体" w:cs="Times New Roman"/>
                <w:snapToGrid w:val="0"/>
                <w:color w:val="auto"/>
                <w:sz w:val="24"/>
                <w:szCs w:val="20"/>
              </w:rPr>
              <w:t>池另一端接入自然沟渠内，共布置</w:t>
            </w:r>
            <w:r>
              <w:rPr>
                <w:rFonts w:hint="eastAsia" w:ascii="Times New Roman" w:hAnsi="Times New Roman" w:eastAsia="宋体" w:cs="Times New Roman"/>
                <w:snapToGrid w:val="0"/>
                <w:color w:val="auto"/>
                <w:sz w:val="24"/>
                <w:szCs w:val="20"/>
                <w:lang w:val="en-US" w:eastAsia="zh-CN"/>
              </w:rPr>
              <w:t>1</w:t>
            </w:r>
            <w:r>
              <w:rPr>
                <w:rFonts w:hint="default" w:ascii="Times New Roman" w:hAnsi="Times New Roman" w:eastAsia="宋体" w:cs="Times New Roman"/>
                <w:snapToGrid w:val="0"/>
                <w:color w:val="auto"/>
                <w:sz w:val="24"/>
                <w:szCs w:val="20"/>
              </w:rPr>
              <w:t>座，临时</w:t>
            </w:r>
            <w:r>
              <w:rPr>
                <w:rFonts w:hint="eastAsia" w:ascii="Times New Roman" w:hAnsi="Times New Roman" w:eastAsia="宋体" w:cs="Times New Roman"/>
                <w:snapToGrid w:val="0"/>
                <w:color w:val="auto"/>
                <w:sz w:val="24"/>
                <w:szCs w:val="20"/>
                <w:lang w:val="en-US" w:eastAsia="zh-CN"/>
              </w:rPr>
              <w:t>沉淀池</w:t>
            </w:r>
            <w:r>
              <w:rPr>
                <w:rFonts w:hint="default" w:ascii="Times New Roman" w:hAnsi="Times New Roman" w:eastAsia="宋体" w:cs="Times New Roman"/>
                <w:snapToGrid w:val="0"/>
                <w:color w:val="auto"/>
                <w:sz w:val="24"/>
                <w:szCs w:val="20"/>
              </w:rPr>
              <w:t>的规格为底长1.0m，宽1.0m，深1.0m，侧坡比1:0.75，池壁拍实。</w:t>
            </w:r>
          </w:p>
          <w:p w14:paraId="763AC4B2">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3）</w:t>
            </w:r>
            <w:r>
              <w:rPr>
                <w:rFonts w:hint="default" w:ascii="Times New Roman" w:hAnsi="Times New Roman" w:eastAsia="宋体" w:cs="Times New Roman"/>
                <w:snapToGrid w:val="0"/>
                <w:color w:val="auto"/>
                <w:sz w:val="24"/>
                <w:szCs w:val="20"/>
              </w:rPr>
              <w:t>表土回覆：施工结束后，本区剥离的表土</w:t>
            </w:r>
            <w:r>
              <w:rPr>
                <w:rFonts w:hint="eastAsia" w:ascii="Times New Roman" w:hAnsi="Times New Roman" w:eastAsia="宋体" w:cs="Times New Roman"/>
                <w:snapToGrid w:val="0"/>
                <w:color w:val="auto"/>
                <w:sz w:val="24"/>
                <w:szCs w:val="20"/>
                <w:lang w:val="en-US" w:eastAsia="zh-CN"/>
              </w:rPr>
              <w:t>0.02</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，回覆表土面积</w:t>
            </w:r>
            <w:r>
              <w:rPr>
                <w:rFonts w:hint="eastAsia" w:ascii="Times New Roman" w:hAnsi="Times New Roman" w:eastAsia="宋体" w:cs="Times New Roman"/>
                <w:snapToGrid w:val="0"/>
                <w:color w:val="auto"/>
                <w:sz w:val="24"/>
                <w:szCs w:val="20"/>
                <w:lang w:val="en-US" w:eastAsia="zh-CN"/>
              </w:rPr>
              <w:t>0.04</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w:t>
            </w:r>
            <w:r>
              <w:rPr>
                <w:rFonts w:hint="eastAsia" w:ascii="Times New Roman" w:hAnsi="Times New Roman" w:eastAsia="宋体" w:cs="Times New Roman"/>
                <w:snapToGrid w:val="0"/>
                <w:color w:val="auto"/>
                <w:sz w:val="24"/>
                <w:szCs w:val="20"/>
                <w:lang w:val="en-US" w:eastAsia="zh-CN"/>
              </w:rPr>
              <w:t>调用主体工程表土0.02</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，覆土厚度0.20m。</w:t>
            </w:r>
          </w:p>
          <w:p w14:paraId="1CB30120">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土地整治：</w:t>
            </w:r>
            <w:r>
              <w:rPr>
                <w:rFonts w:hint="default" w:ascii="Times New Roman" w:hAnsi="Times New Roman" w:eastAsia="宋体" w:cs="Times New Roman"/>
                <w:color w:val="auto"/>
                <w:spacing w:val="0"/>
                <w:kern w:val="2"/>
                <w:sz w:val="24"/>
                <w:szCs w:val="24"/>
                <w:highlight w:val="none"/>
                <w:lang w:val="zh-CN" w:eastAsia="zh-CN"/>
              </w:rPr>
              <w:t>在临时堆料过后，采用土地整治措施，需整治面积</w:t>
            </w:r>
            <w:r>
              <w:rPr>
                <w:rFonts w:hint="default" w:ascii="Times New Roman" w:hAnsi="Times New Roman" w:eastAsia="宋体" w:cs="Times New Roman"/>
                <w:color w:val="auto"/>
                <w:spacing w:val="0"/>
                <w:kern w:val="2"/>
                <w:sz w:val="24"/>
                <w:szCs w:val="24"/>
                <w:highlight w:val="none"/>
                <w:lang w:val="en-US" w:eastAsia="zh-CN"/>
              </w:rPr>
              <w:t>0.1</w:t>
            </w:r>
            <w:r>
              <w:rPr>
                <w:rFonts w:hint="default" w:ascii="Times New Roman" w:hAnsi="Times New Roman" w:eastAsia="宋体" w:cs="Times New Roman"/>
                <w:color w:val="auto"/>
                <w:spacing w:val="0"/>
                <w:kern w:val="2"/>
                <w:sz w:val="24"/>
                <w:szCs w:val="24"/>
                <w:highlight w:val="none"/>
                <w:lang w:val="zh-CN" w:eastAsia="zh-CN"/>
              </w:rPr>
              <w:t>hm²</w:t>
            </w:r>
            <w:r>
              <w:rPr>
                <w:rFonts w:hint="default" w:ascii="Times New Roman" w:hAnsi="Times New Roman" w:eastAsia="宋体" w:cs="Times New Roman"/>
                <w:snapToGrid w:val="0"/>
                <w:color w:val="auto"/>
                <w:sz w:val="24"/>
                <w:szCs w:val="20"/>
              </w:rPr>
              <w:t>。</w:t>
            </w:r>
          </w:p>
          <w:p w14:paraId="65D58F7C">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5）</w:t>
            </w:r>
            <w:r>
              <w:rPr>
                <w:rFonts w:hint="default" w:ascii="Times New Roman" w:hAnsi="Times New Roman" w:eastAsia="宋体" w:cs="Times New Roman"/>
                <w:snapToGrid w:val="0"/>
                <w:color w:val="auto"/>
                <w:sz w:val="24"/>
                <w:szCs w:val="20"/>
              </w:rPr>
              <w:t>植物措施：施工结束，对临时占地撒播草籽绿化恢复，草种选择</w:t>
            </w:r>
            <w:r>
              <w:rPr>
                <w:rFonts w:hint="eastAsia" w:ascii="Times New Roman" w:hAnsi="Times New Roman" w:eastAsia="宋体" w:cs="Times New Roman"/>
                <w:snapToGrid w:val="0"/>
                <w:color w:val="auto"/>
                <w:sz w:val="24"/>
                <w:szCs w:val="20"/>
                <w:lang w:val="en-US" w:eastAsia="zh-CN"/>
              </w:rPr>
              <w:t>垂穗披碱草、四川嵩草</w:t>
            </w:r>
            <w:r>
              <w:rPr>
                <w:rFonts w:hint="default" w:ascii="Times New Roman" w:hAnsi="Times New Roman" w:eastAsia="宋体" w:cs="Times New Roman"/>
                <w:snapToGrid w:val="0"/>
                <w:color w:val="auto"/>
                <w:sz w:val="24"/>
                <w:szCs w:val="20"/>
              </w:rPr>
              <w:t>1:1混合，撒播密度为80kg/hm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，临时绿化面积</w:t>
            </w:r>
            <w:r>
              <w:rPr>
                <w:rFonts w:hint="eastAsia" w:ascii="Times New Roman" w:hAnsi="Times New Roman" w:eastAsia="宋体" w:cs="Times New Roman"/>
                <w:snapToGrid w:val="0"/>
                <w:color w:val="auto"/>
                <w:sz w:val="24"/>
                <w:szCs w:val="20"/>
                <w:lang w:val="en-US" w:eastAsia="zh-CN"/>
              </w:rPr>
              <w:t>0.1273</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1FF05A67">
            <w:pPr>
              <w:spacing w:line="360" w:lineRule="auto"/>
              <w:ind w:firstLine="482" w:firstLineChars="200"/>
              <w:rPr>
                <w:rFonts w:hint="eastAsia" w:ascii="Times New Roman" w:hAnsi="Times New Roman" w:eastAsia="宋体" w:cs="Times New Roman"/>
                <w:b/>
                <w:bCs/>
                <w:snapToGrid w:val="0"/>
                <w:color w:val="auto"/>
                <w:sz w:val="24"/>
                <w:szCs w:val="20"/>
                <w:lang w:eastAsia="zh-CN"/>
              </w:rPr>
            </w:pPr>
            <w:r>
              <w:rPr>
                <w:rFonts w:hint="default" w:ascii="Times New Roman" w:hAnsi="Times New Roman" w:eastAsia="宋体" w:cs="Times New Roman"/>
                <w:b/>
                <w:bCs/>
                <w:snapToGrid w:val="0"/>
                <w:color w:val="auto"/>
                <w:sz w:val="24"/>
                <w:szCs w:val="20"/>
              </w:rPr>
              <w:t>（3）施工</w:t>
            </w:r>
            <w:r>
              <w:rPr>
                <w:rFonts w:hint="eastAsia" w:ascii="Times New Roman" w:hAnsi="Times New Roman" w:eastAsia="宋体" w:cs="Times New Roman"/>
                <w:b/>
                <w:bCs/>
                <w:snapToGrid w:val="0"/>
                <w:color w:val="auto"/>
                <w:sz w:val="24"/>
                <w:szCs w:val="20"/>
                <w:lang w:val="en-US" w:eastAsia="zh-CN"/>
              </w:rPr>
              <w:t>便道</w:t>
            </w:r>
          </w:p>
          <w:p w14:paraId="5431D18D">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1）</w:t>
            </w:r>
            <w:r>
              <w:rPr>
                <w:rFonts w:hint="default" w:ascii="Times New Roman" w:hAnsi="Times New Roman" w:eastAsia="宋体" w:cs="Times New Roman"/>
                <w:snapToGrid w:val="0"/>
                <w:color w:val="auto"/>
                <w:sz w:val="24"/>
                <w:szCs w:val="20"/>
              </w:rPr>
              <w:t>临时拦挡及苫盖：剥离表土临时就近堆放在临时</w:t>
            </w:r>
            <w:r>
              <w:rPr>
                <w:rFonts w:hint="eastAsia" w:ascii="Times New Roman" w:hAnsi="Times New Roman" w:eastAsia="宋体" w:cs="Times New Roman"/>
                <w:snapToGrid w:val="0"/>
                <w:color w:val="auto"/>
                <w:sz w:val="24"/>
                <w:szCs w:val="20"/>
                <w:lang w:val="en-US" w:eastAsia="zh-CN"/>
              </w:rPr>
              <w:t>堆料场</w:t>
            </w:r>
            <w:r>
              <w:rPr>
                <w:rFonts w:hint="default" w:ascii="Times New Roman" w:hAnsi="Times New Roman" w:eastAsia="宋体" w:cs="Times New Roman"/>
                <w:snapToGrid w:val="0"/>
                <w:color w:val="auto"/>
                <w:sz w:val="24"/>
                <w:szCs w:val="20"/>
              </w:rPr>
              <w:t>内。在临时</w:t>
            </w:r>
            <w:r>
              <w:rPr>
                <w:rFonts w:hint="eastAsia" w:ascii="Times New Roman" w:hAnsi="Times New Roman" w:eastAsia="宋体" w:cs="Times New Roman"/>
                <w:snapToGrid w:val="0"/>
                <w:color w:val="auto"/>
                <w:sz w:val="24"/>
                <w:szCs w:val="20"/>
                <w:lang w:val="en-US" w:eastAsia="zh-CN"/>
              </w:rPr>
              <w:t>堆料场</w:t>
            </w:r>
            <w:r>
              <w:rPr>
                <w:rFonts w:hint="default" w:ascii="Times New Roman" w:hAnsi="Times New Roman" w:eastAsia="宋体" w:cs="Times New Roman"/>
                <w:snapToGrid w:val="0"/>
                <w:color w:val="auto"/>
                <w:sz w:val="24"/>
                <w:szCs w:val="20"/>
              </w:rPr>
              <w:t>统一防护。</w:t>
            </w:r>
          </w:p>
          <w:p w14:paraId="518CAB99">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2）</w:t>
            </w:r>
            <w:r>
              <w:rPr>
                <w:rFonts w:hint="default" w:ascii="Times New Roman" w:hAnsi="Times New Roman" w:eastAsia="宋体" w:cs="Times New Roman"/>
                <w:snapToGrid w:val="0"/>
                <w:color w:val="auto"/>
                <w:sz w:val="24"/>
                <w:szCs w:val="20"/>
              </w:rPr>
              <w:t>表土回覆：施工结束后，本区剥离的表土</w:t>
            </w:r>
            <w:r>
              <w:rPr>
                <w:rFonts w:hint="eastAsia" w:ascii="Times New Roman" w:hAnsi="Times New Roman" w:eastAsia="宋体" w:cs="Times New Roman"/>
                <w:snapToGrid w:val="0"/>
                <w:color w:val="auto"/>
                <w:sz w:val="24"/>
                <w:szCs w:val="20"/>
                <w:lang w:val="en-US" w:eastAsia="zh-CN"/>
              </w:rPr>
              <w:t>0.08</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，回覆表土面积</w:t>
            </w:r>
            <w:r>
              <w:rPr>
                <w:rFonts w:hint="eastAsia" w:ascii="Times New Roman" w:hAnsi="Times New Roman" w:eastAsia="宋体" w:cs="Times New Roman"/>
                <w:snapToGrid w:val="0"/>
                <w:color w:val="auto"/>
                <w:sz w:val="24"/>
                <w:szCs w:val="20"/>
                <w:lang w:val="en-US" w:eastAsia="zh-CN"/>
              </w:rPr>
              <w:t>0.14</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w:t>
            </w:r>
            <w:r>
              <w:rPr>
                <w:rFonts w:hint="eastAsia" w:ascii="Times New Roman" w:hAnsi="Times New Roman" w:eastAsia="宋体" w:cs="Times New Roman"/>
                <w:snapToGrid w:val="0"/>
                <w:color w:val="auto"/>
                <w:sz w:val="24"/>
                <w:szCs w:val="20"/>
                <w:lang w:val="en-US" w:eastAsia="zh-CN"/>
              </w:rPr>
              <w:t>调用主体工程表土0.06</w:t>
            </w:r>
            <w:r>
              <w:rPr>
                <w:rFonts w:hint="default" w:ascii="Times New Roman" w:hAnsi="Times New Roman" w:eastAsia="宋体" w:cs="Times New Roman"/>
                <w:snapToGrid w:val="0"/>
                <w:color w:val="auto"/>
                <w:sz w:val="24"/>
                <w:szCs w:val="20"/>
              </w:rPr>
              <w:t>万m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，覆土厚度0.20m。</w:t>
            </w:r>
          </w:p>
          <w:p w14:paraId="7BDA46AF">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3）</w:t>
            </w:r>
            <w:r>
              <w:rPr>
                <w:rFonts w:hint="default" w:ascii="Times New Roman" w:hAnsi="Times New Roman" w:eastAsia="宋体" w:cs="Times New Roman"/>
                <w:snapToGrid w:val="0"/>
                <w:color w:val="auto"/>
                <w:sz w:val="24"/>
                <w:szCs w:val="20"/>
              </w:rPr>
              <w:t>土地整治：单块区域回填及覆土后立即进行土地整治。整地对立地条件的改善体现在对土壤结构、养分和水分等方面的改善。</w:t>
            </w:r>
            <w:r>
              <w:rPr>
                <w:rFonts w:hint="eastAsia" w:ascii="Times New Roman" w:hAnsi="Times New Roman" w:eastAsia="宋体" w:cs="Times New Roman"/>
                <w:snapToGrid w:val="0"/>
                <w:color w:val="auto"/>
                <w:sz w:val="24"/>
                <w:szCs w:val="20"/>
                <w:lang w:val="en-US" w:eastAsia="zh-CN"/>
              </w:rPr>
              <w:t>本区域</w:t>
            </w:r>
            <w:r>
              <w:rPr>
                <w:rFonts w:hint="default" w:ascii="Times New Roman" w:hAnsi="Times New Roman" w:eastAsia="宋体" w:cs="Times New Roman"/>
                <w:color w:val="auto"/>
                <w:spacing w:val="0"/>
                <w:kern w:val="2"/>
                <w:sz w:val="24"/>
                <w:szCs w:val="24"/>
                <w:highlight w:val="none"/>
                <w:lang w:val="zh-CN" w:eastAsia="zh-CN"/>
              </w:rPr>
              <w:t>需整治面积0.</w:t>
            </w:r>
            <w:r>
              <w:rPr>
                <w:rFonts w:hint="eastAsia" w:ascii="Times New Roman" w:hAnsi="Times New Roman" w:eastAsia="宋体" w:cs="Times New Roman"/>
                <w:color w:val="auto"/>
                <w:spacing w:val="0"/>
                <w:kern w:val="2"/>
                <w:sz w:val="24"/>
                <w:szCs w:val="24"/>
                <w:highlight w:val="none"/>
                <w:lang w:val="en-US" w:eastAsia="zh-CN"/>
              </w:rPr>
              <w:t>4</w:t>
            </w:r>
            <w:r>
              <w:rPr>
                <w:rFonts w:hint="default" w:ascii="Times New Roman" w:hAnsi="Times New Roman" w:eastAsia="宋体" w:cs="Times New Roman"/>
                <w:color w:val="auto"/>
                <w:spacing w:val="0"/>
                <w:kern w:val="2"/>
                <w:sz w:val="24"/>
                <w:szCs w:val="24"/>
                <w:highlight w:val="none"/>
                <w:lang w:val="zh-CN" w:eastAsia="zh-CN"/>
              </w:rPr>
              <w:t>hm²</w:t>
            </w:r>
            <w:r>
              <w:rPr>
                <w:rFonts w:hint="default" w:ascii="Times New Roman" w:hAnsi="Times New Roman" w:eastAsia="宋体" w:cs="Times New Roman"/>
                <w:snapToGrid w:val="0"/>
                <w:color w:val="auto"/>
                <w:sz w:val="24"/>
                <w:szCs w:val="20"/>
              </w:rPr>
              <w:t>。</w:t>
            </w:r>
          </w:p>
          <w:p w14:paraId="0EC61776">
            <w:pPr>
              <w:spacing w:line="360" w:lineRule="auto"/>
              <w:ind w:firstLine="480" w:firstLineChars="200"/>
              <w:rPr>
                <w:rFonts w:hint="default" w:ascii="Times New Roman" w:hAnsi="Times New Roman" w:eastAsia="宋体" w:cs="Times New Roman"/>
                <w:snapToGrid w:val="0"/>
                <w:color w:val="auto"/>
                <w:sz w:val="24"/>
                <w:szCs w:val="20"/>
                <w:vertAlign w:val="baseline"/>
                <w:lang w:val="en-US" w:eastAsia="zh-CN"/>
              </w:rPr>
            </w:pP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植物措施：施工结束，主体设计对临时占地撒播草籽绿化恢复，草种选择</w:t>
            </w:r>
            <w:r>
              <w:rPr>
                <w:rFonts w:hint="eastAsia" w:ascii="Times New Roman" w:hAnsi="Times New Roman" w:eastAsia="宋体" w:cs="Times New Roman"/>
                <w:snapToGrid w:val="0"/>
                <w:color w:val="auto"/>
                <w:sz w:val="24"/>
                <w:szCs w:val="20"/>
                <w:lang w:val="en-US" w:eastAsia="zh-CN"/>
              </w:rPr>
              <w:t>垂穗披碱草、四川嵩草</w:t>
            </w:r>
            <w:r>
              <w:rPr>
                <w:rFonts w:hint="default" w:ascii="Times New Roman" w:hAnsi="Times New Roman" w:eastAsia="宋体" w:cs="Times New Roman"/>
                <w:snapToGrid w:val="0"/>
                <w:color w:val="auto"/>
                <w:sz w:val="24"/>
                <w:szCs w:val="20"/>
              </w:rPr>
              <w:t>1:1混合，撒播密度为80kg/hm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，临时绿化面积0.</w:t>
            </w:r>
            <w:r>
              <w:rPr>
                <w:rFonts w:hint="eastAsia" w:ascii="Times New Roman" w:hAnsi="Times New Roman" w:eastAsia="宋体" w:cs="Times New Roman"/>
                <w:snapToGrid w:val="0"/>
                <w:color w:val="auto"/>
                <w:sz w:val="24"/>
                <w:szCs w:val="20"/>
                <w:lang w:val="en-US" w:eastAsia="zh-CN"/>
              </w:rPr>
              <w:t>3267</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eastAsia" w:ascii="Times New Roman" w:hAnsi="Times New Roman" w:eastAsia="宋体" w:cs="Times New Roman"/>
                <w:snapToGrid w:val="0"/>
                <w:color w:val="auto"/>
                <w:sz w:val="24"/>
                <w:szCs w:val="20"/>
                <w:vertAlign w:val="baseline"/>
                <w:lang w:eastAsia="zh-CN"/>
              </w:rPr>
              <w:t>，</w:t>
            </w:r>
            <w:r>
              <w:rPr>
                <w:rFonts w:hint="eastAsia" w:ascii="Times New Roman" w:hAnsi="Times New Roman" w:eastAsia="宋体" w:cs="Times New Roman"/>
                <w:snapToGrid w:val="0"/>
                <w:color w:val="auto"/>
                <w:sz w:val="24"/>
                <w:szCs w:val="20"/>
                <w:vertAlign w:val="baseline"/>
                <w:lang w:val="en-US" w:eastAsia="zh-CN"/>
              </w:rPr>
              <w:t>其余</w:t>
            </w:r>
            <w:r>
              <w:rPr>
                <w:rFonts w:hint="eastAsia" w:ascii="Times New Roman" w:hAnsi="Times New Roman" w:eastAsia="宋体" w:cs="Times New Roman"/>
                <w:snapToGrid w:val="0"/>
                <w:color w:val="auto"/>
                <w:sz w:val="24"/>
                <w:szCs w:val="20"/>
                <w:lang w:val="en-US" w:eastAsia="zh-CN"/>
              </w:rPr>
              <w:t>进行耕地</w:t>
            </w:r>
            <w:r>
              <w:rPr>
                <w:rFonts w:hint="default" w:ascii="Times New Roman" w:hAnsi="Times New Roman" w:eastAsia="宋体" w:cs="Times New Roman"/>
                <w:snapToGrid w:val="0"/>
                <w:color w:val="auto"/>
                <w:sz w:val="24"/>
                <w:szCs w:val="20"/>
              </w:rPr>
              <w:t>恢复，</w:t>
            </w:r>
            <w:r>
              <w:rPr>
                <w:rFonts w:hint="eastAsia" w:ascii="Times New Roman" w:hAnsi="Times New Roman" w:eastAsia="宋体" w:cs="Times New Roman"/>
                <w:snapToGrid w:val="0"/>
                <w:color w:val="auto"/>
                <w:sz w:val="24"/>
                <w:szCs w:val="20"/>
                <w:lang w:val="en-US" w:eastAsia="zh-CN"/>
              </w:rPr>
              <w:t>作物</w:t>
            </w:r>
            <w:r>
              <w:rPr>
                <w:rFonts w:hint="default" w:ascii="Times New Roman" w:hAnsi="Times New Roman" w:eastAsia="宋体" w:cs="Times New Roman"/>
                <w:snapToGrid w:val="0"/>
                <w:color w:val="auto"/>
                <w:sz w:val="24"/>
                <w:szCs w:val="20"/>
              </w:rPr>
              <w:t>选择</w:t>
            </w:r>
            <w:r>
              <w:rPr>
                <w:rFonts w:hint="eastAsia" w:ascii="Times New Roman" w:hAnsi="Times New Roman" w:eastAsia="宋体" w:cs="Times New Roman"/>
                <w:snapToGrid w:val="0"/>
                <w:color w:val="auto"/>
                <w:sz w:val="24"/>
                <w:szCs w:val="20"/>
                <w:lang w:val="en-US" w:eastAsia="zh-CN"/>
              </w:rPr>
              <w:t>青稞</w:t>
            </w:r>
            <w:r>
              <w:rPr>
                <w:rFonts w:hint="default" w:ascii="Times New Roman" w:hAnsi="Times New Roman" w:eastAsia="宋体" w:cs="Times New Roman"/>
                <w:snapToGrid w:val="0"/>
                <w:color w:val="auto"/>
                <w:sz w:val="24"/>
                <w:szCs w:val="20"/>
              </w:rPr>
              <w:t>，临时</w:t>
            </w:r>
            <w:r>
              <w:rPr>
                <w:rFonts w:hint="eastAsia" w:ascii="Times New Roman" w:hAnsi="Times New Roman" w:eastAsia="宋体" w:cs="Times New Roman"/>
                <w:snapToGrid w:val="0"/>
                <w:color w:val="auto"/>
                <w:sz w:val="24"/>
                <w:szCs w:val="20"/>
                <w:lang w:val="en-US" w:eastAsia="zh-CN"/>
              </w:rPr>
              <w:t>耕种</w:t>
            </w:r>
            <w:r>
              <w:rPr>
                <w:rFonts w:hint="default" w:ascii="Times New Roman" w:hAnsi="Times New Roman" w:eastAsia="宋体" w:cs="Times New Roman"/>
                <w:snapToGrid w:val="0"/>
                <w:color w:val="auto"/>
                <w:sz w:val="24"/>
                <w:szCs w:val="20"/>
              </w:rPr>
              <w:t>面积0.</w:t>
            </w:r>
            <w:r>
              <w:rPr>
                <w:rFonts w:hint="eastAsia" w:ascii="Times New Roman" w:hAnsi="Times New Roman" w:eastAsia="宋体" w:cs="Times New Roman"/>
                <w:snapToGrid w:val="0"/>
                <w:color w:val="auto"/>
                <w:sz w:val="24"/>
                <w:szCs w:val="20"/>
                <w:lang w:val="en-US" w:eastAsia="zh-CN"/>
              </w:rPr>
              <w:t>0520</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0930D7E5">
            <w:pPr>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（4）施工工区</w:t>
            </w:r>
          </w:p>
          <w:p w14:paraId="6BF9905B">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1）</w:t>
            </w:r>
            <w:r>
              <w:rPr>
                <w:rFonts w:hint="default" w:ascii="Times New Roman" w:hAnsi="Times New Roman" w:eastAsia="宋体" w:cs="Times New Roman"/>
                <w:snapToGrid w:val="0"/>
                <w:color w:val="auto"/>
                <w:sz w:val="24"/>
                <w:szCs w:val="20"/>
              </w:rPr>
              <w:t>临时拦挡及苫盖：剥离表土临时就近堆放在临时堆土区内。在临时堆土区统一防护。</w:t>
            </w:r>
          </w:p>
          <w:p w14:paraId="0B7D1C27">
            <w:pPr>
              <w:keepNext w:val="0"/>
              <w:keepLines w:val="0"/>
              <w:pageBreakBefore w:val="0"/>
              <w:widowControl w:val="0"/>
              <w:kinsoku/>
              <w:wordWrap/>
              <w:overflowPunct/>
              <w:topLinePunct w:val="0"/>
              <w:autoSpaceDE/>
              <w:autoSpaceDN/>
              <w:bidi w:val="0"/>
              <w:adjustRightInd/>
              <w:snapToGrid w:val="0"/>
              <w:spacing w:line="360" w:lineRule="auto"/>
              <w:ind w:right="0" w:firstLine="480" w:firstLineChars="200"/>
              <w:textAlignment w:val="auto"/>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2）</w:t>
            </w:r>
            <w:r>
              <w:rPr>
                <w:rFonts w:hint="default" w:ascii="Times New Roman" w:hAnsi="Times New Roman" w:eastAsia="宋体" w:cs="Times New Roman"/>
                <w:snapToGrid w:val="0"/>
                <w:color w:val="auto"/>
                <w:sz w:val="24"/>
                <w:szCs w:val="20"/>
              </w:rPr>
              <w:t>表土回覆：</w:t>
            </w:r>
            <w:r>
              <w:rPr>
                <w:rFonts w:hint="default" w:ascii="Times New Roman" w:hAnsi="Times New Roman" w:eastAsia="宋体" w:cs="Times New Roman"/>
                <w:color w:val="auto"/>
                <w:spacing w:val="0"/>
                <w:kern w:val="2"/>
                <w:sz w:val="24"/>
                <w:szCs w:val="24"/>
                <w:highlight w:val="none"/>
                <w:lang w:val="zh-CN" w:eastAsia="zh-CN"/>
              </w:rPr>
              <w:t>在施工生产前进行表土剥离，剥离量</w:t>
            </w:r>
            <w:r>
              <w:rPr>
                <w:rFonts w:hint="eastAsia" w:ascii="Times New Roman" w:hAnsi="Times New Roman" w:eastAsia="宋体" w:cs="Times New Roman"/>
                <w:color w:val="auto"/>
                <w:spacing w:val="0"/>
                <w:kern w:val="2"/>
                <w:sz w:val="24"/>
                <w:szCs w:val="24"/>
                <w:highlight w:val="none"/>
                <w:lang w:val="en-US" w:eastAsia="zh-CN"/>
              </w:rPr>
              <w:t>0.02</w:t>
            </w:r>
            <w:r>
              <w:rPr>
                <w:rFonts w:hint="default" w:ascii="Times New Roman" w:hAnsi="Times New Roman" w:eastAsia="宋体" w:cs="Times New Roman"/>
                <w:color w:val="auto"/>
                <w:spacing w:val="0"/>
                <w:kern w:val="2"/>
                <w:sz w:val="24"/>
                <w:szCs w:val="24"/>
                <w:highlight w:val="none"/>
                <w:lang w:val="zh-CN" w:eastAsia="zh-CN"/>
              </w:rPr>
              <w:t>m³，在土地整治过后进行表土回覆，回覆量</w:t>
            </w:r>
            <w:r>
              <w:rPr>
                <w:rFonts w:hint="eastAsia" w:ascii="Times New Roman" w:hAnsi="Times New Roman" w:eastAsia="宋体" w:cs="Times New Roman"/>
                <w:color w:val="auto"/>
                <w:spacing w:val="0"/>
                <w:kern w:val="2"/>
                <w:sz w:val="24"/>
                <w:szCs w:val="24"/>
                <w:highlight w:val="none"/>
                <w:lang w:val="en-US" w:eastAsia="zh-CN"/>
              </w:rPr>
              <w:t>0.04</w:t>
            </w:r>
            <w:r>
              <w:rPr>
                <w:rFonts w:hint="default" w:ascii="Times New Roman" w:hAnsi="Times New Roman" w:eastAsia="宋体" w:cs="Times New Roman"/>
                <w:color w:val="auto"/>
                <w:spacing w:val="0"/>
                <w:kern w:val="2"/>
                <w:sz w:val="24"/>
                <w:szCs w:val="24"/>
                <w:highlight w:val="none"/>
                <w:lang w:val="zh-CN" w:eastAsia="zh-CN"/>
              </w:rPr>
              <w:t>m³，</w:t>
            </w:r>
            <w:r>
              <w:rPr>
                <w:rFonts w:hint="default" w:ascii="Times New Roman" w:hAnsi="Times New Roman" w:eastAsia="宋体" w:cs="Times New Roman"/>
                <w:snapToGrid w:val="0"/>
                <w:color w:val="auto"/>
                <w:sz w:val="24"/>
                <w:szCs w:val="20"/>
              </w:rPr>
              <w:t>覆土厚度0.20m。</w:t>
            </w:r>
          </w:p>
          <w:p w14:paraId="3CD0DDD5">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3）</w:t>
            </w:r>
            <w:r>
              <w:rPr>
                <w:rFonts w:hint="default" w:ascii="Times New Roman" w:hAnsi="Times New Roman" w:eastAsia="宋体" w:cs="Times New Roman"/>
                <w:snapToGrid w:val="0"/>
                <w:color w:val="auto"/>
                <w:sz w:val="24"/>
                <w:szCs w:val="20"/>
              </w:rPr>
              <w:t>土地整治：本区施工辅助结束后就地翻松进行土地整治，整治面积为0.0</w:t>
            </w:r>
            <w:r>
              <w:rPr>
                <w:rFonts w:hint="eastAsia" w:ascii="Times New Roman" w:hAnsi="Times New Roman" w:eastAsia="宋体" w:cs="Times New Roman"/>
                <w:snapToGrid w:val="0"/>
                <w:color w:val="auto"/>
                <w:sz w:val="24"/>
                <w:szCs w:val="20"/>
                <w:lang w:val="en-US" w:eastAsia="zh-CN"/>
              </w:rPr>
              <w:t>3</w:t>
            </w:r>
            <w:r>
              <w:rPr>
                <w:rFonts w:hint="default" w:ascii="Times New Roman" w:hAnsi="Times New Roman" w:eastAsia="宋体" w:cs="Times New Roman"/>
                <w:snapToGrid w:val="0"/>
                <w:color w:val="auto"/>
                <w:sz w:val="24"/>
                <w:szCs w:val="20"/>
              </w:rPr>
              <w:t>hm</w:t>
            </w:r>
            <w:r>
              <w:rPr>
                <w:rFonts w:hint="default" w:ascii="Times New Roman" w:hAnsi="Times New Roman" w:eastAsia="宋体" w:cs="Times New Roman"/>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765BCF15">
            <w:pPr>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植物措施：施工结束，</w:t>
            </w:r>
            <w:r>
              <w:rPr>
                <w:snapToGrid w:val="0"/>
                <w:color w:val="auto"/>
                <w:sz w:val="24"/>
                <w:szCs w:val="20"/>
              </w:rPr>
              <w:t>主体设计对临时占地</w:t>
            </w:r>
            <w:r>
              <w:rPr>
                <w:rFonts w:hint="eastAsia"/>
                <w:snapToGrid w:val="0"/>
                <w:color w:val="auto"/>
                <w:sz w:val="24"/>
                <w:szCs w:val="20"/>
              </w:rPr>
              <w:t>进行</w:t>
            </w:r>
            <w:r>
              <w:rPr>
                <w:snapToGrid w:val="0"/>
                <w:color w:val="auto"/>
                <w:sz w:val="24"/>
                <w:szCs w:val="20"/>
              </w:rPr>
              <w:t>撒播草籽绿化恢复，草种选择</w:t>
            </w:r>
            <w:r>
              <w:rPr>
                <w:rFonts w:hint="eastAsia"/>
                <w:snapToGrid w:val="0"/>
                <w:color w:val="auto"/>
                <w:sz w:val="24"/>
                <w:szCs w:val="20"/>
              </w:rPr>
              <w:t>垂穗披碱草、四川嵩草</w:t>
            </w:r>
            <w:r>
              <w:rPr>
                <w:snapToGrid w:val="0"/>
                <w:color w:val="auto"/>
                <w:sz w:val="24"/>
                <w:szCs w:val="20"/>
              </w:rPr>
              <w:t>1:1混合，撒播密度为80kg/hm</w:t>
            </w:r>
            <w:r>
              <w:rPr>
                <w:snapToGrid w:val="0"/>
                <w:color w:val="auto"/>
                <w:sz w:val="24"/>
                <w:szCs w:val="20"/>
                <w:vertAlign w:val="superscript"/>
              </w:rPr>
              <w:t>2</w:t>
            </w:r>
            <w:r>
              <w:rPr>
                <w:snapToGrid w:val="0"/>
                <w:color w:val="auto"/>
                <w:sz w:val="24"/>
                <w:szCs w:val="20"/>
              </w:rPr>
              <w:t>，临时绿化面积0.</w:t>
            </w:r>
            <w:r>
              <w:rPr>
                <w:rFonts w:hint="eastAsia"/>
                <w:snapToGrid w:val="0"/>
                <w:color w:val="auto"/>
                <w:sz w:val="24"/>
                <w:szCs w:val="20"/>
                <w:lang w:val="en-US" w:eastAsia="zh-CN"/>
              </w:rPr>
              <w:t>0900</w:t>
            </w:r>
            <w:r>
              <w:rPr>
                <w:snapToGrid w:val="0"/>
                <w:color w:val="auto"/>
                <w:sz w:val="24"/>
                <w:szCs w:val="20"/>
              </w:rPr>
              <w:t>hm</w:t>
            </w:r>
            <w:r>
              <w:rPr>
                <w:snapToGrid w:val="0"/>
                <w:color w:val="auto"/>
                <w:sz w:val="24"/>
                <w:szCs w:val="20"/>
                <w:vertAlign w:val="superscript"/>
              </w:rPr>
              <w:t>2</w:t>
            </w:r>
            <w:r>
              <w:rPr>
                <w:rFonts w:hint="default" w:ascii="Times New Roman" w:hAnsi="Times New Roman" w:eastAsia="宋体" w:cs="Times New Roman"/>
                <w:snapToGrid w:val="0"/>
                <w:color w:val="auto"/>
                <w:sz w:val="24"/>
                <w:szCs w:val="20"/>
              </w:rPr>
              <w:t>。</w:t>
            </w:r>
          </w:p>
          <w:p w14:paraId="21B215C4">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bCs/>
                <w:snapToGrid w:val="0"/>
                <w:color w:val="auto"/>
                <w:sz w:val="24"/>
                <w:szCs w:val="20"/>
                <w:lang w:val="en-US" w:eastAsia="zh-CN"/>
              </w:rPr>
            </w:pPr>
            <w:r>
              <w:rPr>
                <w:rFonts w:hint="eastAsia" w:ascii="Times New Roman" w:hAnsi="Times New Roman" w:eastAsia="宋体" w:cs="Times New Roman"/>
                <w:b/>
                <w:bCs/>
                <w:snapToGrid w:val="0"/>
                <w:color w:val="auto"/>
                <w:sz w:val="24"/>
                <w:szCs w:val="20"/>
                <w:lang w:val="en-US" w:eastAsia="zh-CN"/>
              </w:rPr>
              <w:t>8、基本农田保护措施</w:t>
            </w:r>
          </w:p>
          <w:p w14:paraId="42AE0892">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b w:val="0"/>
                <w:bCs w:val="0"/>
                <w:snapToGrid w:val="0"/>
                <w:color w:val="auto"/>
                <w:sz w:val="24"/>
                <w:szCs w:val="20"/>
                <w:lang w:val="en-US" w:eastAsia="zh-CN"/>
              </w:rPr>
            </w:pPr>
            <w:r>
              <w:rPr>
                <w:rFonts w:hint="default" w:ascii="Times New Roman" w:hAnsi="Times New Roman" w:eastAsia="宋体" w:cs="Times New Roman"/>
                <w:b w:val="0"/>
                <w:bCs w:val="0"/>
                <w:snapToGrid w:val="0"/>
                <w:color w:val="auto"/>
                <w:sz w:val="24"/>
                <w:szCs w:val="20"/>
                <w:lang w:val="en-US" w:eastAsia="zh-CN"/>
              </w:rPr>
              <w:t>本次环评要求施工单位在施工中划定施工范围，尽可能缩小施工作业带宽度，</w:t>
            </w:r>
            <w:r>
              <w:rPr>
                <w:rFonts w:hint="eastAsia" w:ascii="Times New Roman" w:hAnsi="Times New Roman" w:eastAsia="宋体" w:cs="Times New Roman"/>
                <w:b w:val="0"/>
                <w:bCs w:val="0"/>
                <w:snapToGrid w:val="0"/>
                <w:color w:val="auto"/>
                <w:sz w:val="24"/>
                <w:szCs w:val="20"/>
                <w:lang w:val="en-US" w:eastAsia="zh-CN"/>
              </w:rPr>
              <w:t>不</w:t>
            </w:r>
            <w:r>
              <w:rPr>
                <w:rFonts w:hint="default" w:ascii="Times New Roman" w:hAnsi="Times New Roman" w:eastAsia="宋体" w:cs="Times New Roman"/>
                <w:b w:val="0"/>
                <w:bCs w:val="0"/>
                <w:snapToGrid w:val="0"/>
                <w:color w:val="auto"/>
                <w:sz w:val="24"/>
                <w:szCs w:val="20"/>
                <w:lang w:val="en-US" w:eastAsia="zh-CN"/>
              </w:rPr>
              <w:t>占用基本农田保护区，控制和减轻</w:t>
            </w:r>
            <w:r>
              <w:rPr>
                <w:rFonts w:hint="eastAsia" w:ascii="Times New Roman" w:hAnsi="Times New Roman" w:eastAsia="宋体" w:cs="Times New Roman"/>
                <w:b w:val="0"/>
                <w:bCs w:val="0"/>
                <w:snapToGrid w:val="0"/>
                <w:color w:val="auto"/>
                <w:sz w:val="24"/>
                <w:szCs w:val="20"/>
                <w:lang w:val="en-US" w:eastAsia="zh-CN"/>
              </w:rPr>
              <w:t>临时工程对</w:t>
            </w:r>
            <w:r>
              <w:rPr>
                <w:rFonts w:hint="default" w:ascii="Times New Roman" w:hAnsi="Times New Roman" w:eastAsia="宋体" w:cs="Times New Roman"/>
                <w:b w:val="0"/>
                <w:bCs w:val="0"/>
                <w:snapToGrid w:val="0"/>
                <w:color w:val="auto"/>
                <w:sz w:val="24"/>
                <w:szCs w:val="20"/>
                <w:lang w:val="en-US" w:eastAsia="zh-CN"/>
              </w:rPr>
              <w:t>基本农田的影响；</w:t>
            </w:r>
          </w:p>
          <w:p w14:paraId="23B533FF">
            <w:pPr>
              <w:pStyle w:val="4"/>
              <w:keepNext w:val="0"/>
              <w:keepLines w:val="0"/>
              <w:pageBreakBefore w:val="0"/>
              <w:widowControl w:val="0"/>
              <w:kinsoku/>
              <w:wordWrap/>
              <w:overflowPunct/>
              <w:topLinePunct w:val="0"/>
              <w:autoSpaceDE/>
              <w:autoSpaceDN/>
              <w:bidi w:val="0"/>
              <w:adjustRightInd/>
              <w:snapToGrid/>
              <w:spacing w:line="360" w:lineRule="auto"/>
              <w:ind w:left="0" w:leftChars="0" w:firstLine="482" w:firstLineChars="200"/>
              <w:textAlignment w:val="auto"/>
              <w:rPr>
                <w:rFonts w:hint="eastAsia" w:ascii="Times New Roman" w:hAnsi="Times New Roman" w:eastAsia="宋体" w:cs="Times New Roman"/>
                <w:b/>
                <w:bCs/>
                <w:snapToGrid w:val="0"/>
                <w:color w:val="auto"/>
                <w:sz w:val="24"/>
                <w:szCs w:val="20"/>
                <w:lang w:val="en-US" w:eastAsia="zh-CN"/>
              </w:rPr>
            </w:pPr>
            <w:r>
              <w:rPr>
                <w:rFonts w:hint="eastAsia" w:ascii="Times New Roman" w:hAnsi="Times New Roman" w:eastAsia="宋体" w:cs="Times New Roman"/>
                <w:b/>
                <w:bCs/>
                <w:snapToGrid w:val="0"/>
                <w:color w:val="auto"/>
                <w:sz w:val="24"/>
                <w:szCs w:val="20"/>
                <w:lang w:val="en-US" w:eastAsia="zh-CN"/>
              </w:rPr>
              <w:t>9、天然林、公益林保护措施</w:t>
            </w:r>
          </w:p>
          <w:p w14:paraId="6BC70250">
            <w:pPr>
              <w:spacing w:line="360" w:lineRule="auto"/>
              <w:ind w:firstLine="482"/>
              <w:rPr>
                <w:rFonts w:eastAsia="宋体"/>
                <w:snapToGrid w:val="0"/>
                <w:color w:val="auto"/>
                <w:sz w:val="24"/>
                <w:szCs w:val="20"/>
              </w:rPr>
            </w:pPr>
            <w:r>
              <w:rPr>
                <w:color w:val="auto"/>
                <w:sz w:val="24"/>
              </w:rPr>
              <w:t>本项目建设将</w:t>
            </w:r>
            <w:r>
              <w:rPr>
                <w:rFonts w:hint="eastAsia"/>
                <w:color w:val="auto"/>
                <w:sz w:val="24"/>
                <w:lang w:val="en-US" w:eastAsia="zh-CN"/>
              </w:rPr>
              <w:t>永久占用林地0.5408</w:t>
            </w:r>
            <w:r>
              <w:rPr>
                <w:rFonts w:hint="eastAsia"/>
                <w:color w:val="auto"/>
                <w:sz w:val="24"/>
              </w:rPr>
              <w:t>hm</w:t>
            </w:r>
            <w:r>
              <w:rPr>
                <w:rFonts w:hint="eastAsia"/>
                <w:color w:val="auto"/>
                <w:sz w:val="24"/>
                <w:vertAlign w:val="superscript"/>
              </w:rPr>
              <w:t>2</w:t>
            </w:r>
            <w:r>
              <w:rPr>
                <w:rFonts w:hint="eastAsia"/>
                <w:color w:val="auto"/>
                <w:sz w:val="24"/>
                <w:lang w:val="en-US" w:eastAsia="zh-CN"/>
              </w:rPr>
              <w:t>，</w:t>
            </w:r>
            <w:r>
              <w:rPr>
                <w:color w:val="auto"/>
                <w:sz w:val="24"/>
              </w:rPr>
              <w:t>临时占用</w:t>
            </w:r>
            <w:r>
              <w:rPr>
                <w:rFonts w:hint="eastAsia"/>
                <w:color w:val="auto"/>
                <w:sz w:val="24"/>
              </w:rPr>
              <w:t>林地0.49</w:t>
            </w:r>
            <w:r>
              <w:rPr>
                <w:rFonts w:hint="eastAsia"/>
                <w:color w:val="auto"/>
                <w:sz w:val="24"/>
                <w:lang w:val="en-US" w:eastAsia="zh-CN"/>
              </w:rPr>
              <w:t>1</w:t>
            </w:r>
            <w:r>
              <w:rPr>
                <w:rFonts w:hint="eastAsia"/>
                <w:color w:val="auto"/>
                <w:sz w:val="24"/>
              </w:rPr>
              <w:t>3hm</w:t>
            </w:r>
            <w:r>
              <w:rPr>
                <w:rFonts w:hint="eastAsia"/>
                <w:color w:val="auto"/>
                <w:sz w:val="24"/>
                <w:vertAlign w:val="superscript"/>
              </w:rPr>
              <w:t>2</w:t>
            </w:r>
            <w:r>
              <w:rPr>
                <w:rFonts w:hint="eastAsia"/>
                <w:color w:val="auto"/>
                <w:sz w:val="24"/>
              </w:rPr>
              <w:t>，</w:t>
            </w:r>
            <w:r>
              <w:rPr>
                <w:rFonts w:hint="eastAsia"/>
                <w:color w:val="auto"/>
                <w:sz w:val="24"/>
                <w:lang w:val="en-US" w:eastAsia="zh-CN"/>
              </w:rPr>
              <w:t>其中堤防建设将永久占用天然林0.1142</w:t>
            </w:r>
            <w:r>
              <w:rPr>
                <w:rFonts w:hint="eastAsia"/>
                <w:color w:val="auto"/>
                <w:sz w:val="24"/>
              </w:rPr>
              <w:t>hm</w:t>
            </w:r>
            <w:r>
              <w:rPr>
                <w:rFonts w:hint="eastAsia"/>
                <w:color w:val="auto"/>
                <w:sz w:val="24"/>
                <w:vertAlign w:val="superscript"/>
              </w:rPr>
              <w:t>2</w:t>
            </w:r>
            <w:r>
              <w:rPr>
                <w:rFonts w:hint="eastAsia"/>
                <w:color w:val="auto"/>
                <w:sz w:val="24"/>
                <w:lang w:val="en-US" w:eastAsia="zh-CN"/>
              </w:rPr>
              <w:t>，公益林0.1235</w:t>
            </w:r>
            <w:r>
              <w:rPr>
                <w:rFonts w:hint="eastAsia"/>
                <w:color w:val="auto"/>
                <w:sz w:val="24"/>
              </w:rPr>
              <w:t>hm</w:t>
            </w:r>
            <w:r>
              <w:rPr>
                <w:rFonts w:hint="eastAsia"/>
                <w:color w:val="auto"/>
                <w:sz w:val="24"/>
                <w:vertAlign w:val="superscript"/>
              </w:rPr>
              <w:t>2</w:t>
            </w:r>
            <w:r>
              <w:rPr>
                <w:rFonts w:hint="eastAsia"/>
                <w:color w:val="auto"/>
                <w:sz w:val="24"/>
              </w:rPr>
              <w:t>，</w:t>
            </w:r>
            <w:r>
              <w:rPr>
                <w:rFonts w:hint="eastAsia"/>
                <w:color w:val="auto"/>
                <w:sz w:val="24"/>
                <w:lang w:val="en-US" w:eastAsia="zh-CN"/>
              </w:rPr>
              <w:t>临时工程占用天然林0.0110hm</w:t>
            </w:r>
            <w:r>
              <w:rPr>
                <w:rFonts w:hint="eastAsia"/>
                <w:color w:val="auto"/>
                <w:sz w:val="24"/>
                <w:vertAlign w:val="superscript"/>
                <w:lang w:val="en-US" w:eastAsia="zh-CN"/>
              </w:rPr>
              <w:t>2</w:t>
            </w:r>
            <w:r>
              <w:rPr>
                <w:rFonts w:hint="eastAsia"/>
                <w:color w:val="auto"/>
                <w:sz w:val="24"/>
                <w:lang w:val="en-US" w:eastAsia="zh-CN"/>
              </w:rPr>
              <w:t>；均为</w:t>
            </w:r>
            <w:r>
              <w:rPr>
                <w:rFonts w:hint="eastAsia"/>
                <w:color w:val="auto"/>
                <w:sz w:val="24"/>
              </w:rPr>
              <w:t>沙棘灌丛</w:t>
            </w:r>
            <w:r>
              <w:rPr>
                <w:rFonts w:hint="eastAsia"/>
                <w:color w:val="auto"/>
                <w:sz w:val="24"/>
                <w:lang w:bidi="ar"/>
              </w:rPr>
              <w:t>。</w:t>
            </w:r>
          </w:p>
          <w:p w14:paraId="31717BD1">
            <w:pPr>
              <w:pStyle w:val="4"/>
              <w:spacing w:line="360" w:lineRule="auto"/>
              <w:ind w:left="0" w:leftChars="0" w:firstLine="480" w:firstLineChars="200"/>
              <w:rPr>
                <w:rFonts w:hint="default" w:ascii="Times New Roman" w:hAnsi="Times New Roman" w:eastAsia="宋体" w:cs="Times New Roman"/>
                <w:b w:val="0"/>
                <w:bCs w:val="0"/>
                <w:snapToGrid w:val="0"/>
                <w:color w:val="auto"/>
                <w:sz w:val="24"/>
                <w:szCs w:val="20"/>
              </w:rPr>
            </w:pPr>
            <w:r>
              <w:rPr>
                <w:rFonts w:hint="default" w:ascii="Times New Roman" w:hAnsi="Times New Roman" w:eastAsia="宋体" w:cs="Times New Roman"/>
                <w:b w:val="0"/>
                <w:bCs w:val="0"/>
                <w:snapToGrid w:val="0"/>
                <w:color w:val="auto"/>
                <w:sz w:val="24"/>
                <w:szCs w:val="20"/>
                <w:lang w:val="en-US" w:eastAsia="zh-CN"/>
              </w:rPr>
              <w:t>本次环评要求施工单位在施工中对</w:t>
            </w:r>
            <w:r>
              <w:rPr>
                <w:rFonts w:hint="eastAsia" w:ascii="Times New Roman" w:hAnsi="Times New Roman" w:eastAsia="宋体" w:cs="Times New Roman"/>
                <w:b w:val="0"/>
                <w:bCs w:val="0"/>
                <w:snapToGrid w:val="0"/>
                <w:color w:val="auto"/>
                <w:sz w:val="24"/>
                <w:szCs w:val="20"/>
                <w:lang w:val="en-US" w:eastAsia="zh-CN"/>
              </w:rPr>
              <w:t>天然林、公益林</w:t>
            </w:r>
            <w:r>
              <w:rPr>
                <w:rFonts w:hint="default" w:ascii="Times New Roman" w:hAnsi="Times New Roman" w:eastAsia="宋体" w:cs="Times New Roman"/>
                <w:b w:val="0"/>
                <w:bCs w:val="0"/>
                <w:snapToGrid w:val="0"/>
                <w:color w:val="auto"/>
                <w:sz w:val="24"/>
                <w:szCs w:val="20"/>
                <w:lang w:val="en-US" w:eastAsia="zh-CN"/>
              </w:rPr>
              <w:t>采取保护措施，措施如下：</w:t>
            </w:r>
          </w:p>
          <w:p w14:paraId="6E73991F">
            <w:pPr>
              <w:pStyle w:val="4"/>
              <w:spacing w:line="360" w:lineRule="auto"/>
              <w:ind w:left="0" w:leftChars="0" w:firstLine="480" w:firstLineChars="200"/>
              <w:rPr>
                <w:rFonts w:hint="default" w:ascii="Times New Roman" w:hAnsi="Times New Roman" w:eastAsia="宋体" w:cs="Times New Roman"/>
                <w:b w:val="0"/>
                <w:bCs w:val="0"/>
                <w:snapToGrid w:val="0"/>
                <w:color w:val="auto"/>
                <w:sz w:val="24"/>
                <w:szCs w:val="20"/>
              </w:rPr>
            </w:pPr>
            <w:r>
              <w:rPr>
                <w:rFonts w:hint="eastAsia" w:ascii="Times New Roman" w:hAnsi="Times New Roman" w:eastAsia="宋体" w:cs="Times New Roman"/>
                <w:b w:val="0"/>
                <w:bCs w:val="0"/>
                <w:snapToGrid w:val="0"/>
                <w:color w:val="auto"/>
                <w:sz w:val="24"/>
                <w:szCs w:val="20"/>
                <w:lang w:eastAsia="zh-CN"/>
              </w:rPr>
              <w:t>（</w:t>
            </w:r>
            <w:r>
              <w:rPr>
                <w:rFonts w:hint="default" w:ascii="Times New Roman" w:hAnsi="Times New Roman" w:eastAsia="宋体" w:cs="Times New Roman"/>
                <w:b w:val="0"/>
                <w:bCs w:val="0"/>
                <w:snapToGrid w:val="0"/>
                <w:color w:val="auto"/>
                <w:sz w:val="24"/>
                <w:szCs w:val="20"/>
              </w:rPr>
              <w:t>1</w:t>
            </w:r>
            <w:r>
              <w:rPr>
                <w:rFonts w:hint="eastAsia" w:ascii="Times New Roman" w:hAnsi="Times New Roman" w:eastAsia="宋体" w:cs="Times New Roman"/>
                <w:b w:val="0"/>
                <w:bCs w:val="0"/>
                <w:snapToGrid w:val="0"/>
                <w:color w:val="auto"/>
                <w:sz w:val="24"/>
                <w:szCs w:val="20"/>
                <w:lang w:eastAsia="zh-CN"/>
              </w:rPr>
              <w:t>）</w:t>
            </w:r>
            <w:r>
              <w:rPr>
                <w:rFonts w:hint="default" w:ascii="Times New Roman" w:hAnsi="Times New Roman" w:eastAsia="宋体" w:cs="Times New Roman"/>
                <w:snapToGrid w:val="0"/>
                <w:color w:val="auto"/>
                <w:sz w:val="24"/>
                <w:szCs w:val="20"/>
              </w:rPr>
              <w:t>按照《建设项目使用林地审核审批管理办法》有关规定办理使用林地手续</w:t>
            </w:r>
            <w:r>
              <w:rPr>
                <w:rFonts w:hint="default" w:ascii="Times New Roman" w:hAnsi="Times New Roman" w:eastAsia="宋体" w:cs="Times New Roman"/>
                <w:b w:val="0"/>
                <w:bCs w:val="0"/>
                <w:snapToGrid w:val="0"/>
                <w:color w:val="auto"/>
                <w:sz w:val="24"/>
                <w:szCs w:val="20"/>
              </w:rPr>
              <w:t>。</w:t>
            </w:r>
          </w:p>
          <w:p w14:paraId="00D8D2D2">
            <w:pPr>
              <w:pStyle w:val="4"/>
              <w:spacing w:line="360" w:lineRule="auto"/>
              <w:ind w:left="0" w:leftChars="0" w:firstLine="480" w:firstLineChars="200"/>
              <w:rPr>
                <w:rFonts w:hint="default" w:ascii="Times New Roman" w:hAnsi="Times New Roman" w:eastAsia="宋体" w:cs="Times New Roman"/>
                <w:b w:val="0"/>
                <w:bCs w:val="0"/>
                <w:snapToGrid w:val="0"/>
                <w:color w:val="auto"/>
                <w:sz w:val="24"/>
                <w:szCs w:val="20"/>
              </w:rPr>
            </w:pPr>
            <w:r>
              <w:rPr>
                <w:rFonts w:hint="eastAsia" w:ascii="Times New Roman" w:hAnsi="Times New Roman" w:eastAsia="宋体" w:cs="Times New Roman"/>
                <w:b w:val="0"/>
                <w:bCs w:val="0"/>
                <w:snapToGrid w:val="0"/>
                <w:color w:val="auto"/>
                <w:sz w:val="24"/>
                <w:szCs w:val="20"/>
                <w:lang w:eastAsia="zh-CN"/>
              </w:rPr>
              <w:t>（</w:t>
            </w:r>
            <w:r>
              <w:rPr>
                <w:rFonts w:hint="eastAsia" w:ascii="Times New Roman" w:hAnsi="Times New Roman" w:eastAsia="宋体" w:cs="Times New Roman"/>
                <w:b w:val="0"/>
                <w:bCs w:val="0"/>
                <w:snapToGrid w:val="0"/>
                <w:color w:val="auto"/>
                <w:sz w:val="24"/>
                <w:szCs w:val="20"/>
                <w:lang w:val="en-US" w:eastAsia="zh-CN"/>
              </w:rPr>
              <w:t>2）</w:t>
            </w:r>
            <w:r>
              <w:rPr>
                <w:rFonts w:hint="default" w:ascii="Times New Roman" w:hAnsi="Times New Roman" w:eastAsia="宋体" w:cs="Times New Roman"/>
                <w:b w:val="0"/>
                <w:bCs w:val="0"/>
                <w:snapToGrid w:val="0"/>
                <w:color w:val="auto"/>
                <w:sz w:val="24"/>
                <w:szCs w:val="20"/>
              </w:rPr>
              <w:t>明确标注禁止施工区、限制施工区，严禁施工人员、机械设备随意越界作业，杜绝额外踩踏、碾压周边非占用林地植被，最大限度缩小生态扰动范围。</w:t>
            </w:r>
          </w:p>
          <w:p w14:paraId="4AC2C032">
            <w:pPr>
              <w:pStyle w:val="4"/>
              <w:spacing w:line="360" w:lineRule="auto"/>
              <w:ind w:left="0" w:leftChars="0" w:firstLine="480" w:firstLineChars="200"/>
              <w:rPr>
                <w:rFonts w:hint="default" w:ascii="Times New Roman" w:hAnsi="Times New Roman" w:eastAsia="宋体" w:cs="Times New Roman"/>
                <w:b w:val="0"/>
                <w:bCs w:val="0"/>
                <w:snapToGrid w:val="0"/>
                <w:color w:val="auto"/>
                <w:sz w:val="24"/>
                <w:szCs w:val="20"/>
              </w:rPr>
            </w:pPr>
            <w:r>
              <w:rPr>
                <w:rFonts w:hint="eastAsia" w:ascii="Times New Roman" w:hAnsi="Times New Roman" w:eastAsia="宋体" w:cs="Times New Roman"/>
                <w:b w:val="0"/>
                <w:bCs w:val="0"/>
                <w:snapToGrid w:val="0"/>
                <w:color w:val="auto"/>
                <w:sz w:val="24"/>
                <w:szCs w:val="20"/>
                <w:lang w:eastAsia="zh-CN"/>
              </w:rPr>
              <w:t>（</w:t>
            </w:r>
            <w:r>
              <w:rPr>
                <w:rFonts w:hint="eastAsia" w:ascii="Times New Roman" w:hAnsi="Times New Roman" w:eastAsia="宋体" w:cs="Times New Roman"/>
                <w:b w:val="0"/>
                <w:bCs w:val="0"/>
                <w:snapToGrid w:val="0"/>
                <w:color w:val="auto"/>
                <w:sz w:val="24"/>
                <w:szCs w:val="20"/>
                <w:lang w:val="en-US" w:eastAsia="zh-CN"/>
              </w:rPr>
              <w:t>3）</w:t>
            </w:r>
            <w:r>
              <w:rPr>
                <w:rFonts w:hint="default" w:ascii="Times New Roman" w:hAnsi="Times New Roman" w:eastAsia="宋体" w:cs="Times New Roman"/>
                <w:b w:val="0"/>
                <w:bCs w:val="0"/>
                <w:snapToGrid w:val="0"/>
                <w:color w:val="auto"/>
                <w:sz w:val="24"/>
                <w:szCs w:val="20"/>
              </w:rPr>
              <w:t>对占用林地区域内的乔木、灌木优先实施就近移栽，优先选择林内适宜区域移栽保护，严禁随意砍伐、损毁林木。</w:t>
            </w:r>
          </w:p>
          <w:p w14:paraId="0A970ACC">
            <w:pPr>
              <w:pStyle w:val="4"/>
              <w:spacing w:line="360" w:lineRule="auto"/>
              <w:ind w:left="0" w:leftChars="0" w:firstLine="480" w:firstLineChars="200"/>
              <w:rPr>
                <w:rFonts w:hint="eastAsia" w:ascii="Times New Roman" w:hAnsi="Times New Roman" w:eastAsia="宋体" w:cs="Times New Roman"/>
                <w:b w:val="0"/>
                <w:bCs w:val="0"/>
                <w:snapToGrid w:val="0"/>
                <w:color w:val="auto"/>
                <w:sz w:val="24"/>
                <w:szCs w:val="20"/>
                <w:lang w:eastAsia="zh-CN"/>
              </w:rPr>
            </w:pPr>
            <w:r>
              <w:rPr>
                <w:rFonts w:hint="eastAsia" w:ascii="Times New Roman" w:hAnsi="Times New Roman" w:eastAsia="宋体" w:cs="Times New Roman"/>
                <w:b w:val="0"/>
                <w:bCs w:val="0"/>
                <w:snapToGrid w:val="0"/>
                <w:color w:val="auto"/>
                <w:sz w:val="24"/>
                <w:szCs w:val="20"/>
                <w:lang w:eastAsia="zh-CN"/>
              </w:rPr>
              <w:t>（</w:t>
            </w:r>
            <w:r>
              <w:rPr>
                <w:rFonts w:hint="eastAsia" w:ascii="Times New Roman" w:hAnsi="Times New Roman" w:eastAsia="宋体" w:cs="Times New Roman"/>
                <w:b w:val="0"/>
                <w:bCs w:val="0"/>
                <w:snapToGrid w:val="0"/>
                <w:color w:val="auto"/>
                <w:sz w:val="24"/>
                <w:szCs w:val="20"/>
                <w:lang w:val="en-US" w:eastAsia="zh-CN"/>
              </w:rPr>
              <w:t>4）生活垃圾、</w:t>
            </w:r>
            <w:r>
              <w:rPr>
                <w:rFonts w:hint="default" w:ascii="Times New Roman" w:hAnsi="Times New Roman" w:eastAsia="宋体" w:cs="Times New Roman"/>
                <w:b w:val="0"/>
                <w:bCs w:val="0"/>
                <w:snapToGrid w:val="0"/>
                <w:color w:val="auto"/>
                <w:sz w:val="24"/>
                <w:szCs w:val="20"/>
              </w:rPr>
              <w:t>建筑垃圾集中收集清运，严禁随意丢弃、掩埋在林地内，避免污染林地土壤与周边生态环境</w:t>
            </w:r>
            <w:r>
              <w:rPr>
                <w:rFonts w:hint="eastAsia" w:ascii="Times New Roman" w:hAnsi="Times New Roman" w:eastAsia="宋体" w:cs="Times New Roman"/>
                <w:b w:val="0"/>
                <w:bCs w:val="0"/>
                <w:snapToGrid w:val="0"/>
                <w:color w:val="auto"/>
                <w:sz w:val="24"/>
                <w:szCs w:val="20"/>
                <w:lang w:eastAsia="zh-CN"/>
              </w:rPr>
              <w:t>。</w:t>
            </w:r>
          </w:p>
          <w:p w14:paraId="45A40741">
            <w:pPr>
              <w:pStyle w:val="4"/>
              <w:spacing w:line="360" w:lineRule="auto"/>
              <w:ind w:left="0" w:leftChars="0" w:firstLine="480" w:firstLineChars="200"/>
              <w:rPr>
                <w:rFonts w:hint="default" w:ascii="Times New Roman" w:hAnsi="Times New Roman" w:eastAsia="宋体" w:cs="Times New Roman"/>
                <w:b w:val="0"/>
                <w:bCs w:val="0"/>
                <w:snapToGrid w:val="0"/>
                <w:color w:val="auto"/>
                <w:sz w:val="24"/>
                <w:szCs w:val="20"/>
              </w:rPr>
            </w:pPr>
            <w:r>
              <w:rPr>
                <w:rFonts w:hint="eastAsia" w:ascii="Times New Roman" w:hAnsi="Times New Roman" w:eastAsia="宋体" w:cs="Times New Roman"/>
                <w:b w:val="0"/>
                <w:bCs w:val="0"/>
                <w:snapToGrid w:val="0"/>
                <w:color w:val="auto"/>
                <w:sz w:val="24"/>
                <w:szCs w:val="20"/>
                <w:lang w:eastAsia="zh-CN"/>
              </w:rPr>
              <w:t>（</w:t>
            </w:r>
            <w:r>
              <w:rPr>
                <w:rFonts w:hint="eastAsia" w:ascii="Times New Roman" w:hAnsi="Times New Roman" w:eastAsia="宋体" w:cs="Times New Roman"/>
                <w:b w:val="0"/>
                <w:bCs w:val="0"/>
                <w:snapToGrid w:val="0"/>
                <w:color w:val="auto"/>
                <w:sz w:val="24"/>
                <w:szCs w:val="20"/>
                <w:lang w:val="en-US" w:eastAsia="zh-CN"/>
              </w:rPr>
              <w:t>5）</w:t>
            </w:r>
            <w:r>
              <w:rPr>
                <w:rFonts w:hint="default" w:ascii="Times New Roman" w:hAnsi="Times New Roman" w:eastAsia="宋体" w:cs="Times New Roman"/>
                <w:b w:val="0"/>
                <w:bCs w:val="0"/>
                <w:snapToGrid w:val="0"/>
                <w:color w:val="auto"/>
                <w:sz w:val="24"/>
                <w:szCs w:val="20"/>
              </w:rPr>
              <w:t>在临时占用林地周边及施工区边缘，设置临时截排水沟、沉</w:t>
            </w:r>
            <w:r>
              <w:rPr>
                <w:rFonts w:hint="eastAsia" w:ascii="Times New Roman" w:hAnsi="Times New Roman" w:eastAsia="宋体" w:cs="Times New Roman"/>
                <w:b w:val="0"/>
                <w:bCs w:val="0"/>
                <w:snapToGrid w:val="0"/>
                <w:color w:val="auto"/>
                <w:sz w:val="24"/>
                <w:szCs w:val="20"/>
                <w:lang w:val="en-US" w:eastAsia="zh-CN"/>
              </w:rPr>
              <w:t>淀</w:t>
            </w:r>
            <w:r>
              <w:rPr>
                <w:rFonts w:hint="default" w:ascii="Times New Roman" w:hAnsi="Times New Roman" w:eastAsia="宋体" w:cs="Times New Roman"/>
                <w:b w:val="0"/>
                <w:bCs w:val="0"/>
                <w:snapToGrid w:val="0"/>
                <w:color w:val="auto"/>
                <w:sz w:val="24"/>
                <w:szCs w:val="20"/>
              </w:rPr>
              <w:t>池，防止汛期雨水冲刷造成泥沙淤积、水土流失，避免破坏周边林地植被根系；临时堆土区、施工裸露面及时覆盖防尘网，减少土壤侵蚀，维护林地周边水土保持功能。</w:t>
            </w:r>
          </w:p>
          <w:p w14:paraId="52514182">
            <w:pPr>
              <w:pStyle w:val="4"/>
              <w:spacing w:line="360" w:lineRule="auto"/>
              <w:ind w:left="0" w:leftChars="0" w:firstLine="0" w:firstLineChars="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二、施工期污染防治措施</w:t>
            </w:r>
          </w:p>
          <w:p w14:paraId="620677C5">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1、废水</w:t>
            </w:r>
          </w:p>
          <w:p w14:paraId="24FD6D2E">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（1）施工废水</w:t>
            </w:r>
          </w:p>
          <w:p w14:paraId="7CBBDC25">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本项目施工废水主要来源于施工设备冲洗和基坑等产生的废水，施工期废水中的主要污染物质是COD、SS、石油类。</w:t>
            </w:r>
          </w:p>
          <w:p w14:paraId="578FD90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本项目施工机械修配依托周边现有修配厂，施工过程中不产生机械修配废水，但会产生施工车辆及机械设备的冲洗废水，项目主要对车辆、施工机械的车轮进行清洗，不考虑损坏漏油情况下主要污染物为SS。</w:t>
            </w:r>
          </w:p>
          <w:p w14:paraId="2410196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对机械设备、运输车辆冲洗废水采取现场沉淀池（</w:t>
            </w:r>
            <w:r>
              <w:rPr>
                <w:rFonts w:hint="eastAsia" w:ascii="Times New Roman" w:hAnsi="Times New Roman" w:eastAsia="宋体" w:cs="Times New Roman"/>
                <w:snapToGrid w:val="0"/>
                <w:color w:val="auto"/>
                <w:sz w:val="24"/>
                <w:szCs w:val="20"/>
                <w:lang w:val="en-US" w:eastAsia="zh-CN"/>
              </w:rPr>
              <w:t>10</w:t>
            </w:r>
            <w:r>
              <w:rPr>
                <w:rFonts w:hint="default" w:ascii="Times New Roman" w:hAnsi="Times New Roman" w:eastAsia="宋体" w:cs="Times New Roman"/>
                <w:snapToGrid w:val="0"/>
                <w:color w:val="auto"/>
                <w:sz w:val="24"/>
                <w:szCs w:val="20"/>
              </w:rPr>
              <w:t>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/个</w:t>
            </w:r>
            <w:r>
              <w:rPr>
                <w:rFonts w:hint="eastAsia" w:ascii="Times New Roman" w:hAnsi="Times New Roman" w:eastAsia="宋体" w:cs="Times New Roman"/>
                <w:snapToGrid w:val="0"/>
                <w:color w:val="auto"/>
                <w:sz w:val="24"/>
                <w:szCs w:val="20"/>
                <w:lang w:eastAsia="zh-CN"/>
              </w:rPr>
              <w:t>，</w:t>
            </w:r>
            <w:r>
              <w:rPr>
                <w:rFonts w:hint="eastAsia" w:ascii="Times New Roman" w:hAnsi="Times New Roman" w:eastAsia="宋体" w:cs="Times New Roman"/>
                <w:snapToGrid w:val="0"/>
                <w:color w:val="auto"/>
                <w:sz w:val="24"/>
                <w:szCs w:val="20"/>
                <w:lang w:val="en-US" w:eastAsia="zh-CN"/>
              </w:rPr>
              <w:t>共4个</w:t>
            </w:r>
            <w:r>
              <w:rPr>
                <w:rFonts w:hint="default" w:ascii="Times New Roman" w:hAnsi="Times New Roman" w:eastAsia="宋体" w:cs="Times New Roman"/>
                <w:snapToGrid w:val="0"/>
                <w:color w:val="auto"/>
                <w:sz w:val="24"/>
                <w:szCs w:val="20"/>
              </w:rPr>
              <w:t>）沉淀处理后，回用于施工场地</w:t>
            </w:r>
            <w:r>
              <w:rPr>
                <w:rFonts w:hint="eastAsia" w:ascii="Times New Roman" w:hAnsi="Times New Roman" w:eastAsia="宋体" w:cs="Times New Roman"/>
                <w:snapToGrid w:val="0"/>
                <w:color w:val="auto"/>
                <w:sz w:val="24"/>
                <w:szCs w:val="20"/>
                <w:lang w:val="en-US" w:eastAsia="zh-CN"/>
              </w:rPr>
              <w:t>和临时堆料场</w:t>
            </w:r>
            <w:r>
              <w:rPr>
                <w:rFonts w:hint="default" w:ascii="Times New Roman" w:hAnsi="Times New Roman" w:eastAsia="宋体" w:cs="Times New Roman"/>
                <w:snapToGrid w:val="0"/>
                <w:color w:val="auto"/>
                <w:sz w:val="24"/>
                <w:szCs w:val="20"/>
              </w:rPr>
              <w:t>洒水降尘，不外排。</w:t>
            </w:r>
          </w:p>
          <w:p w14:paraId="43829A29">
            <w:pPr>
              <w:pStyle w:val="4"/>
              <w:spacing w:line="360" w:lineRule="auto"/>
              <w:ind w:firstLine="482" w:firstLineChars="200"/>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snapToGrid w:val="0"/>
                <w:color w:val="auto"/>
                <w:sz w:val="24"/>
                <w:szCs w:val="20"/>
                <w:lang w:eastAsia="zh-CN"/>
              </w:rPr>
              <w:t>（</w:t>
            </w:r>
            <w:r>
              <w:rPr>
                <w:rFonts w:hint="eastAsia" w:ascii="Times New Roman" w:hAnsi="Times New Roman" w:eastAsia="宋体" w:cs="Times New Roman"/>
                <w:b/>
                <w:bCs/>
                <w:snapToGrid w:val="0"/>
                <w:color w:val="auto"/>
                <w:sz w:val="24"/>
                <w:szCs w:val="20"/>
                <w:lang w:val="en-US" w:eastAsia="zh-CN"/>
              </w:rPr>
              <w:t>2）</w:t>
            </w:r>
            <w:r>
              <w:rPr>
                <w:rFonts w:hint="eastAsia" w:ascii="Times New Roman" w:hAnsi="Times New Roman" w:eastAsia="宋体" w:cs="Times New Roman"/>
                <w:b/>
                <w:bCs/>
                <w:color w:val="auto"/>
                <w:kern w:val="0"/>
                <w:sz w:val="24"/>
                <w:highlight w:val="none"/>
              </w:rPr>
              <w:t>混凝土</w:t>
            </w:r>
            <w:r>
              <w:rPr>
                <w:rFonts w:hint="eastAsia" w:ascii="Times New Roman" w:hAnsi="Times New Roman" w:eastAsia="宋体" w:cs="Times New Roman"/>
                <w:b/>
                <w:bCs/>
                <w:color w:val="auto"/>
                <w:kern w:val="0"/>
                <w:sz w:val="24"/>
                <w:highlight w:val="none"/>
                <w:lang w:val="en-US" w:eastAsia="zh-CN"/>
              </w:rPr>
              <w:t>搅拌机</w:t>
            </w:r>
            <w:r>
              <w:rPr>
                <w:rFonts w:hint="eastAsia" w:ascii="Times New Roman" w:hAnsi="Times New Roman" w:eastAsia="宋体" w:cs="Times New Roman"/>
                <w:b/>
                <w:bCs/>
                <w:color w:val="auto"/>
                <w:kern w:val="0"/>
                <w:sz w:val="24"/>
                <w:highlight w:val="none"/>
              </w:rPr>
              <w:t>冲洗废水</w:t>
            </w:r>
          </w:p>
          <w:p w14:paraId="52B298CE">
            <w:pPr>
              <w:pStyle w:val="4"/>
              <w:spacing w:line="360" w:lineRule="auto"/>
              <w:ind w:firstLine="480" w:firstLineChars="200"/>
              <w:rPr>
                <w:rFonts w:hint="default" w:ascii="Times New Roman" w:hAnsi="Times New Roman" w:eastAsia="宋体" w:cs="Times New Roman"/>
                <w:color w:val="auto"/>
                <w:kern w:val="0"/>
                <w:sz w:val="24"/>
                <w:highlight w:val="none"/>
                <w:lang w:val="en-US" w:eastAsia="zh-CN"/>
              </w:rPr>
            </w:pPr>
            <w:r>
              <w:rPr>
                <w:rFonts w:hint="default" w:ascii="Times New Roman" w:hAnsi="Times New Roman" w:eastAsia="宋体" w:cs="Times New Roman"/>
                <w:color w:val="auto"/>
                <w:kern w:val="0"/>
                <w:sz w:val="24"/>
                <w:highlight w:val="none"/>
                <w:lang w:val="en-US" w:eastAsia="zh-CN"/>
              </w:rPr>
              <w:t>项目施工工区内设置</w:t>
            </w:r>
            <w:r>
              <w:rPr>
                <w:rFonts w:hint="default" w:ascii="Times New Roman" w:hAnsi="Times New Roman" w:eastAsia="宋体" w:cs="Times New Roman"/>
                <w:bCs/>
                <w:color w:val="auto"/>
                <w:sz w:val="24"/>
                <w:szCs w:val="32"/>
              </w:rPr>
              <w:t>0.4m³砼移动式搅拌机</w:t>
            </w:r>
            <w:r>
              <w:rPr>
                <w:rFonts w:hint="default" w:ascii="Times New Roman" w:hAnsi="Times New Roman" w:eastAsia="宋体" w:cs="Times New Roman"/>
                <w:color w:val="auto"/>
                <w:kern w:val="0"/>
                <w:sz w:val="24"/>
                <w:highlight w:val="none"/>
                <w:lang w:val="en-US" w:eastAsia="zh-CN"/>
              </w:rPr>
              <w:t>，搅拌机运行过程中会产生冲洗废水，其主要污染物为悬浮颗粒物。</w:t>
            </w:r>
          </w:p>
          <w:p w14:paraId="09F9933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对</w:t>
            </w:r>
            <w:r>
              <w:rPr>
                <w:rFonts w:hint="default" w:ascii="Times New Roman" w:hAnsi="Times New Roman" w:eastAsia="宋体" w:cs="Times New Roman"/>
                <w:color w:val="auto"/>
                <w:kern w:val="0"/>
                <w:sz w:val="24"/>
                <w:highlight w:val="none"/>
                <w:lang w:val="en-US" w:eastAsia="zh-CN"/>
              </w:rPr>
              <w:t>冲洗废水</w:t>
            </w:r>
            <w:r>
              <w:rPr>
                <w:rFonts w:hint="default" w:ascii="Times New Roman" w:hAnsi="Times New Roman" w:eastAsia="宋体" w:cs="Times New Roman"/>
                <w:snapToGrid w:val="0"/>
                <w:color w:val="auto"/>
                <w:sz w:val="24"/>
                <w:szCs w:val="20"/>
              </w:rPr>
              <w:t>采取</w:t>
            </w:r>
            <w:r>
              <w:rPr>
                <w:rFonts w:hint="eastAsia" w:ascii="Times New Roman" w:hAnsi="Times New Roman" w:eastAsia="宋体" w:cs="Times New Roman"/>
                <w:snapToGrid w:val="0"/>
                <w:color w:val="auto"/>
                <w:sz w:val="24"/>
                <w:szCs w:val="20"/>
                <w:lang w:val="en-US" w:eastAsia="zh-CN"/>
              </w:rPr>
              <w:t>施工工区内</w:t>
            </w:r>
            <w:r>
              <w:rPr>
                <w:rFonts w:hint="default" w:ascii="Times New Roman" w:hAnsi="Times New Roman" w:eastAsia="宋体" w:cs="Times New Roman"/>
                <w:snapToGrid w:val="0"/>
                <w:color w:val="auto"/>
                <w:sz w:val="24"/>
                <w:szCs w:val="20"/>
              </w:rPr>
              <w:t>沉淀池沉淀处理后，</w:t>
            </w:r>
            <w:r>
              <w:rPr>
                <w:rFonts w:hint="default" w:ascii="Times New Roman" w:hAnsi="Times New Roman" w:eastAsia="宋体" w:cs="Times New Roman"/>
                <w:snapToGrid w:val="0"/>
                <w:color w:val="auto"/>
                <w:sz w:val="24"/>
                <w:szCs w:val="20"/>
                <w:lang w:val="en-US" w:eastAsia="zh-CN"/>
              </w:rPr>
              <w:t>回用于</w:t>
            </w:r>
            <w:r>
              <w:rPr>
                <w:rFonts w:hint="default" w:ascii="Times New Roman" w:hAnsi="Times New Roman" w:eastAsia="宋体" w:cs="Times New Roman"/>
                <w:color w:val="auto"/>
                <w:kern w:val="0"/>
                <w:sz w:val="24"/>
                <w:highlight w:val="none"/>
                <w:lang w:val="en-US" w:eastAsia="zh-CN"/>
              </w:rPr>
              <w:t>混凝土拌合生产或施工现场洒水降尘</w:t>
            </w:r>
            <w:r>
              <w:rPr>
                <w:rFonts w:hint="default" w:ascii="Times New Roman" w:hAnsi="Times New Roman" w:eastAsia="宋体" w:cs="Times New Roman"/>
                <w:snapToGrid w:val="0"/>
                <w:color w:val="auto"/>
                <w:sz w:val="24"/>
                <w:szCs w:val="20"/>
              </w:rPr>
              <w:t>，不外排。</w:t>
            </w:r>
          </w:p>
          <w:p w14:paraId="164ED7A8">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w:t>
            </w:r>
            <w:r>
              <w:rPr>
                <w:rFonts w:hint="eastAsia" w:ascii="Times New Roman" w:hAnsi="Times New Roman" w:eastAsia="宋体" w:cs="Times New Roman"/>
                <w:b/>
                <w:bCs/>
                <w:snapToGrid w:val="0"/>
                <w:color w:val="auto"/>
                <w:sz w:val="24"/>
                <w:szCs w:val="20"/>
                <w:lang w:val="en-US" w:eastAsia="zh-CN"/>
              </w:rPr>
              <w:t>3</w:t>
            </w:r>
            <w:r>
              <w:rPr>
                <w:rFonts w:hint="default" w:ascii="Times New Roman" w:hAnsi="Times New Roman" w:eastAsia="宋体" w:cs="Times New Roman"/>
                <w:b/>
                <w:bCs/>
                <w:snapToGrid w:val="0"/>
                <w:color w:val="auto"/>
                <w:sz w:val="24"/>
                <w:szCs w:val="20"/>
              </w:rPr>
              <w:t>）混凝土养护废水</w:t>
            </w:r>
          </w:p>
          <w:p w14:paraId="6AAF3E47">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混凝土养护可以直接用薄膜或塑料溶液喷刷在混凝土表面，待溶液挥发后，与混凝土表面结合成一层塑料薄膜，使混凝土与空气隔离，封闭混凝土中水分不再蒸发外逸，水泥依靠混凝土中水分完成水化作用。因用水量较小，故废水排放量小，因此养护废水可以不需专门处理。</w:t>
            </w:r>
          </w:p>
          <w:p w14:paraId="4FAFC321">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w:t>
            </w:r>
            <w:r>
              <w:rPr>
                <w:rFonts w:hint="eastAsia" w:ascii="Times New Roman" w:hAnsi="Times New Roman" w:eastAsia="宋体" w:cs="Times New Roman"/>
                <w:b/>
                <w:bCs/>
                <w:snapToGrid w:val="0"/>
                <w:color w:val="auto"/>
                <w:sz w:val="24"/>
                <w:szCs w:val="20"/>
                <w:lang w:val="en-US" w:eastAsia="zh-CN"/>
              </w:rPr>
              <w:t>4</w:t>
            </w:r>
            <w:r>
              <w:rPr>
                <w:rFonts w:hint="default" w:ascii="Times New Roman" w:hAnsi="Times New Roman" w:eastAsia="宋体" w:cs="Times New Roman"/>
                <w:b/>
                <w:bCs/>
                <w:snapToGrid w:val="0"/>
                <w:color w:val="auto"/>
                <w:sz w:val="24"/>
                <w:szCs w:val="20"/>
              </w:rPr>
              <w:t>）基坑排水</w:t>
            </w:r>
          </w:p>
          <w:p w14:paraId="726724B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基坑排水分为初期排水和经常性排水</w:t>
            </w:r>
            <w:r>
              <w:rPr>
                <w:rFonts w:hint="eastAsia" w:ascii="Times New Roman" w:hAnsi="Times New Roman" w:eastAsia="宋体" w:cs="Times New Roman"/>
                <w:snapToGrid w:val="0"/>
                <w:color w:val="auto"/>
                <w:sz w:val="24"/>
                <w:szCs w:val="20"/>
                <w:lang w:eastAsia="zh-CN"/>
              </w:rPr>
              <w:t>，</w:t>
            </w:r>
            <w:r>
              <w:rPr>
                <w:rFonts w:hint="eastAsia" w:ascii="Times New Roman" w:hAnsi="Times New Roman" w:eastAsia="宋体" w:cs="Times New Roman"/>
                <w:snapToGrid w:val="0"/>
                <w:color w:val="auto"/>
                <w:sz w:val="24"/>
                <w:szCs w:val="20"/>
                <w:lang w:val="en-US" w:eastAsia="zh-CN"/>
              </w:rPr>
              <w:t>均</w:t>
            </w:r>
            <w:r>
              <w:rPr>
                <w:rFonts w:hint="default" w:ascii="Times New Roman" w:hAnsi="Times New Roman" w:eastAsia="宋体" w:cs="Times New Roman"/>
                <w:snapToGrid w:val="0"/>
                <w:color w:val="auto"/>
                <w:sz w:val="24"/>
                <w:szCs w:val="20"/>
              </w:rPr>
              <w:t>通过沉淀池（15m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/个</w:t>
            </w:r>
            <w:r>
              <w:rPr>
                <w:rFonts w:hint="eastAsia" w:ascii="Times New Roman" w:hAnsi="Times New Roman" w:eastAsia="宋体" w:cs="Times New Roman"/>
                <w:snapToGrid w:val="0"/>
                <w:color w:val="auto"/>
                <w:sz w:val="24"/>
                <w:szCs w:val="20"/>
                <w:lang w:eastAsia="zh-CN"/>
              </w:rPr>
              <w:t>，</w:t>
            </w:r>
            <w:r>
              <w:rPr>
                <w:rFonts w:hint="eastAsia" w:ascii="Times New Roman" w:hAnsi="Times New Roman" w:eastAsia="宋体" w:cs="Times New Roman"/>
                <w:snapToGrid w:val="0"/>
                <w:color w:val="auto"/>
                <w:sz w:val="24"/>
                <w:szCs w:val="20"/>
                <w:lang w:val="en-US" w:eastAsia="zh-CN"/>
              </w:rPr>
              <w:t>共5个</w:t>
            </w:r>
            <w:r>
              <w:rPr>
                <w:rFonts w:hint="default" w:ascii="Times New Roman" w:hAnsi="Times New Roman" w:eastAsia="宋体" w:cs="Times New Roman"/>
                <w:snapToGrid w:val="0"/>
                <w:color w:val="auto"/>
                <w:sz w:val="24"/>
                <w:szCs w:val="20"/>
              </w:rPr>
              <w:t>）</w:t>
            </w:r>
            <w:r>
              <w:rPr>
                <w:rFonts w:hint="eastAsia" w:ascii="Times New Roman" w:hAnsi="Times New Roman" w:eastAsia="宋体" w:cs="Times New Roman"/>
                <w:snapToGrid w:val="0"/>
                <w:color w:val="auto"/>
                <w:sz w:val="24"/>
                <w:szCs w:val="20"/>
                <w:lang w:val="en-US" w:eastAsia="zh-CN"/>
              </w:rPr>
              <w:t>处理后</w:t>
            </w:r>
            <w:r>
              <w:rPr>
                <w:rFonts w:hint="default" w:ascii="Times New Roman" w:hAnsi="Times New Roman" w:eastAsia="宋体" w:cs="Times New Roman"/>
                <w:snapToGrid w:val="0"/>
                <w:color w:val="auto"/>
                <w:sz w:val="24"/>
                <w:szCs w:val="20"/>
              </w:rPr>
              <w:t>回用于车辆冲洗用水或施工区道路洒水降尘，不外排。</w:t>
            </w:r>
          </w:p>
          <w:p w14:paraId="5EA17A57">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w:t>
            </w:r>
            <w:r>
              <w:rPr>
                <w:rFonts w:hint="eastAsia" w:ascii="Times New Roman" w:hAnsi="Times New Roman" w:eastAsia="宋体" w:cs="Times New Roman"/>
                <w:b/>
                <w:bCs/>
                <w:snapToGrid w:val="0"/>
                <w:color w:val="auto"/>
                <w:sz w:val="24"/>
                <w:szCs w:val="20"/>
                <w:lang w:val="en-US" w:eastAsia="zh-CN"/>
              </w:rPr>
              <w:t>5</w:t>
            </w:r>
            <w:r>
              <w:rPr>
                <w:rFonts w:hint="default" w:ascii="Times New Roman" w:hAnsi="Times New Roman" w:eastAsia="宋体" w:cs="Times New Roman"/>
                <w:b/>
                <w:bCs/>
                <w:snapToGrid w:val="0"/>
                <w:color w:val="auto"/>
                <w:sz w:val="24"/>
                <w:szCs w:val="20"/>
              </w:rPr>
              <w:t>）生活污水</w:t>
            </w:r>
          </w:p>
          <w:p w14:paraId="493FC39F">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施工期最大施工人员20人，生活用房租用民房或管理房解决，不设置施工营地，也不涉及食堂和宿舍；排放生活污水为1.7m³/d；生活污水依托现有污水处理设施处理，不外排。</w:t>
            </w:r>
          </w:p>
          <w:p w14:paraId="78ED761D">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w:t>
            </w:r>
            <w:r>
              <w:rPr>
                <w:rFonts w:hint="eastAsia" w:ascii="Times New Roman" w:hAnsi="Times New Roman" w:eastAsia="宋体" w:cs="Times New Roman"/>
                <w:b/>
                <w:bCs/>
                <w:snapToGrid w:val="0"/>
                <w:color w:val="auto"/>
                <w:sz w:val="24"/>
                <w:szCs w:val="20"/>
                <w:lang w:val="en-US" w:eastAsia="zh-CN"/>
              </w:rPr>
              <w:t>6</w:t>
            </w:r>
            <w:r>
              <w:rPr>
                <w:rFonts w:hint="default" w:ascii="Times New Roman" w:hAnsi="Times New Roman" w:eastAsia="宋体" w:cs="Times New Roman"/>
                <w:b/>
                <w:bCs/>
                <w:snapToGrid w:val="0"/>
                <w:color w:val="auto"/>
                <w:sz w:val="24"/>
                <w:szCs w:val="20"/>
              </w:rPr>
              <w:t>）涉水施工措施</w:t>
            </w:r>
          </w:p>
          <w:p w14:paraId="1E250260">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1）涉水施工期避开鱼类繁殖期，安排</w:t>
            </w:r>
            <w:r>
              <w:rPr>
                <w:rFonts w:hint="eastAsia" w:ascii="Times New Roman" w:hAnsi="Times New Roman" w:eastAsia="宋体" w:cs="Times New Roman"/>
                <w:snapToGrid w:val="0"/>
                <w:color w:val="auto"/>
                <w:sz w:val="24"/>
                <w:szCs w:val="20"/>
                <w:lang w:val="en-US" w:eastAsia="zh-CN"/>
              </w:rPr>
              <w:t>汛后过渡期和</w:t>
            </w:r>
            <w:r>
              <w:rPr>
                <w:rFonts w:hint="default" w:ascii="Times New Roman" w:hAnsi="Times New Roman" w:eastAsia="宋体" w:cs="Times New Roman"/>
                <w:snapToGrid w:val="0"/>
                <w:color w:val="auto"/>
                <w:sz w:val="24"/>
                <w:szCs w:val="20"/>
              </w:rPr>
              <w:t>枯水期施工，尽量缩短涉水施工时间，减少对河流水体的扰动。</w:t>
            </w:r>
          </w:p>
          <w:p w14:paraId="14B31B6F">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2）施工围堰内设置15m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钢箱沉淀池（共</w:t>
            </w:r>
            <w:r>
              <w:rPr>
                <w:rFonts w:hint="eastAsia" w:ascii="Times New Roman" w:hAnsi="Times New Roman" w:eastAsia="宋体" w:cs="Times New Roman"/>
                <w:snapToGrid w:val="0"/>
                <w:color w:val="auto"/>
                <w:sz w:val="24"/>
                <w:szCs w:val="20"/>
                <w:lang w:val="en-US" w:eastAsia="zh-CN"/>
              </w:rPr>
              <w:t>5</w:t>
            </w:r>
            <w:r>
              <w:rPr>
                <w:rFonts w:hint="default" w:ascii="Times New Roman" w:hAnsi="Times New Roman" w:eastAsia="宋体" w:cs="Times New Roman"/>
                <w:snapToGrid w:val="0"/>
                <w:color w:val="auto"/>
                <w:sz w:val="24"/>
                <w:szCs w:val="20"/>
              </w:rPr>
              <w:t>个），基坑排水沉淀处理后回用于施工场地洒水降尘，减少对河流的污染。</w:t>
            </w:r>
          </w:p>
          <w:p w14:paraId="75774296">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（6）临近地表水体施工的管理要求</w:t>
            </w:r>
          </w:p>
          <w:p w14:paraId="2D999B4A">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1）临近地表水体施工处，设置临河挡防措施，</w:t>
            </w:r>
            <w:r>
              <w:rPr>
                <w:rFonts w:hint="eastAsia" w:ascii="Times New Roman" w:hAnsi="Times New Roman" w:eastAsia="宋体" w:cs="Times New Roman"/>
                <w:snapToGrid w:val="0"/>
                <w:color w:val="auto"/>
                <w:sz w:val="24"/>
                <w:szCs w:val="20"/>
                <w:lang w:val="en-US" w:eastAsia="zh-CN"/>
              </w:rPr>
              <w:t>防止</w:t>
            </w:r>
            <w:r>
              <w:rPr>
                <w:rFonts w:hint="default" w:ascii="Times New Roman" w:hAnsi="Times New Roman" w:eastAsia="宋体" w:cs="Times New Roman"/>
                <w:snapToGrid w:val="0"/>
                <w:color w:val="auto"/>
                <w:sz w:val="24"/>
                <w:szCs w:val="20"/>
              </w:rPr>
              <w:t>土石方下河；土石方开挖后及时运往临时堆料场堆放。</w:t>
            </w:r>
          </w:p>
          <w:p w14:paraId="6A708869">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2）施工时用土工布覆盖对开挖和填筑的未采取防护措施的堤防进行覆盖，并在场地四周用土袋拦挡。</w:t>
            </w:r>
          </w:p>
          <w:p w14:paraId="7EBF095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3）定期检查施工机械及沉淀池运行状况，对老化或损坏部件及时更换或修复。</w:t>
            </w:r>
          </w:p>
          <w:p w14:paraId="6EDC821E">
            <w:pPr>
              <w:pStyle w:val="4"/>
              <w:spacing w:line="360" w:lineRule="auto"/>
              <w:ind w:firstLine="480" w:firstLineChars="200"/>
              <w:rPr>
                <w:rFonts w:hint="eastAsia" w:ascii="Times New Roman" w:hAnsi="Times New Roman" w:eastAsia="宋体" w:cs="Times New Roman"/>
                <w:snapToGrid w:val="0"/>
                <w:color w:val="auto"/>
                <w:sz w:val="24"/>
                <w:szCs w:val="20"/>
                <w:lang w:val="en-US" w:eastAsia="zh-CN"/>
              </w:rPr>
            </w:pPr>
            <w:r>
              <w:rPr>
                <w:rFonts w:hint="default" w:ascii="Times New Roman" w:hAnsi="Times New Roman" w:eastAsia="宋体" w:cs="Times New Roman"/>
                <w:snapToGrid w:val="0"/>
                <w:color w:val="auto"/>
                <w:sz w:val="24"/>
                <w:szCs w:val="20"/>
              </w:rPr>
              <w:t>4）建筑垃圾和生活垃圾远离河道堆放，及时清运，禁止倾倒入河</w:t>
            </w:r>
            <w:r>
              <w:rPr>
                <w:rFonts w:hint="eastAsia" w:ascii="Times New Roman" w:hAnsi="Times New Roman" w:eastAsia="宋体" w:cs="Times New Roman"/>
                <w:snapToGrid w:val="0"/>
                <w:color w:val="auto"/>
                <w:sz w:val="24"/>
                <w:szCs w:val="20"/>
                <w:lang w:val="en-US" w:eastAsia="zh-CN"/>
              </w:rPr>
              <w:t>。</w:t>
            </w:r>
          </w:p>
          <w:p w14:paraId="300158D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5）禁止在地表水体清洗施工器械，严禁污染物以任何形式直接排入地表水体。</w:t>
            </w:r>
          </w:p>
          <w:p w14:paraId="688A0461">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2、废气</w:t>
            </w:r>
          </w:p>
          <w:p w14:paraId="5BB78577">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（1）施工扬尘</w:t>
            </w:r>
          </w:p>
          <w:p w14:paraId="61916DA0">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施工现场采用密目安全网，以减少结构和装修过程中的粉尘飞扬现象，降低粉尘向大气中的排放，达到作业区目测扬尘高度小于1.5m，不扩散到场区外：各种辅助设施在拆除前，先将脚手板上的垃圾清理干净，清理时应避免扬尘。</w:t>
            </w:r>
          </w:p>
          <w:p w14:paraId="2845B2C0">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2）要求施工单位文明施工，定期对地面洒水，将扬尘产生量降至最低，并对撒落在路面的渣土尽快清除。</w:t>
            </w:r>
          </w:p>
          <w:p w14:paraId="7F9CA298">
            <w:pPr>
              <w:pStyle w:val="4"/>
              <w:spacing w:line="360" w:lineRule="auto"/>
              <w:ind w:firstLine="480" w:firstLineChars="200"/>
              <w:rPr>
                <w:rFonts w:hint="eastAsia" w:ascii="Times New Roman" w:hAnsi="Times New Roman" w:eastAsia="宋体" w:cs="Times New Roman"/>
                <w:snapToGrid w:val="0"/>
                <w:color w:val="FF0000"/>
                <w:sz w:val="24"/>
                <w:szCs w:val="20"/>
                <w:lang w:val="en-US" w:eastAsia="zh-CN"/>
              </w:rPr>
            </w:pPr>
            <w:r>
              <w:rPr>
                <w:rFonts w:hint="eastAsia" w:ascii="Times New Roman" w:hAnsi="Times New Roman" w:eastAsia="宋体" w:cs="Times New Roman"/>
                <w:snapToGrid w:val="0"/>
                <w:color w:val="FF0000"/>
                <w:sz w:val="24"/>
                <w:szCs w:val="20"/>
                <w:lang w:val="en-US" w:eastAsia="zh-CN"/>
              </w:rPr>
              <w:t>3）1#施工工区需在西南侧布设围挡，进一步减小拌合废气对居民的影响。</w:t>
            </w:r>
          </w:p>
          <w:p w14:paraId="1D5A825E">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）施工车辆进出施工场地必须实施限速行驶：在施工场地出口放置防尘垫和运输车辆冲洗设施及配套的地面排水沟、沉淀池。</w:t>
            </w:r>
          </w:p>
          <w:p w14:paraId="63655622">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5</w:t>
            </w:r>
            <w:r>
              <w:rPr>
                <w:rFonts w:hint="default" w:ascii="Times New Roman" w:hAnsi="Times New Roman" w:eastAsia="宋体" w:cs="Times New Roman"/>
                <w:snapToGrid w:val="0"/>
                <w:color w:val="auto"/>
                <w:sz w:val="24"/>
                <w:szCs w:val="20"/>
              </w:rPr>
              <w:t>）运输车辆采取密闭运输（使用防尘布覆盖），装填时需进行压实，装填高度严禁超过车斗防护栏；车辆卸货时禁止直接倾倒、抛撒：施工期材料尽可能适量、适时采购，运至施工场地后，应尽快使用，禁止在施工场地长时间堆放。</w:t>
            </w:r>
          </w:p>
          <w:p w14:paraId="57134EBA">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6</w:t>
            </w:r>
            <w:r>
              <w:rPr>
                <w:rFonts w:hint="default" w:ascii="Times New Roman" w:hAnsi="Times New Roman" w:eastAsia="宋体" w:cs="Times New Roman"/>
                <w:snapToGrid w:val="0"/>
                <w:color w:val="auto"/>
                <w:sz w:val="24"/>
                <w:szCs w:val="20"/>
              </w:rPr>
              <w:t>）进行机械别凿或切割作业时，作业面局部应遮挡、掩盖或采取水淋等降尘措施。</w:t>
            </w:r>
          </w:p>
          <w:p w14:paraId="50352BB8">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7</w:t>
            </w:r>
            <w:r>
              <w:rPr>
                <w:rFonts w:hint="default" w:ascii="Times New Roman" w:hAnsi="Times New Roman" w:eastAsia="宋体" w:cs="Times New Roman"/>
                <w:snapToGrid w:val="0"/>
                <w:color w:val="auto"/>
                <w:sz w:val="24"/>
                <w:szCs w:val="20"/>
              </w:rPr>
              <w:t>）禁止在风天进行渣土堆放作业，建材堆放地点要相对集中，建筑垃圾应及时清运，对易产生扬尘的堆放材料应采取密目网覆盖，禁止露天堆放；对粉末状材料应封闭存放；可能引起扬尘的材料及建筑垃圾搬运应有降尘措施。裸露的场地和集中堆放的土方先用压路机轻度压实，形成稳定表层，避免自身被风吹起扬尘；随后用密目网进行覆盖；除此之外，每周至少进行1次喷淋降尘（干燥天气增加频次），湿润表层减少扬尘。</w:t>
            </w:r>
          </w:p>
          <w:p w14:paraId="773483E5">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snapToGrid w:val="0"/>
                <w:color w:val="auto"/>
                <w:sz w:val="24"/>
                <w:szCs w:val="20"/>
                <w:lang w:val="en-US" w:eastAsia="zh-CN"/>
              </w:rPr>
              <w:t>8</w:t>
            </w:r>
            <w:r>
              <w:rPr>
                <w:rFonts w:hint="default" w:ascii="Times New Roman" w:hAnsi="Times New Roman" w:eastAsia="宋体" w:cs="Times New Roman"/>
                <w:snapToGrid w:val="0"/>
                <w:color w:val="auto"/>
                <w:sz w:val="24"/>
                <w:szCs w:val="20"/>
              </w:rPr>
              <w:t>）土石方开挖、基础回填等作业时需采取湿法作业等措施降低破除作业产生的粉尘对周边外环境的影响。</w:t>
            </w:r>
          </w:p>
          <w:p w14:paraId="3E8985EF">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（2）施工机械、运输车辆燃油尾气</w:t>
            </w:r>
          </w:p>
          <w:p w14:paraId="53D0AE3E">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根据施工组织设计，本工程主要施工机械设备有挖掘机、推土机、自卸汽车、打夯机等，施工机械使用柴油、汽油，燃油机械产生的废气中含有TSP、NOX等污染物，此外，交通运输等产生一些粉尘。这些废气和粉尘会给施工区的大气环境及施工人员带来不利影响。因此项目施工需采取如下的施工控制措施：</w:t>
            </w:r>
          </w:p>
          <w:p w14:paraId="17910BA9">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1）在施工期内多加注意施工设备的保养维护，使其处于正常的运行状态，从而可以避免施工机械因病态而使产生的废气超标的现象发生。</w:t>
            </w:r>
          </w:p>
          <w:p w14:paraId="32A64C2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2）加强对车辆的维修保养，禁止以柴油为燃料的施工机械超负荷工作，减少烟度和颗粒物排放。</w:t>
            </w:r>
          </w:p>
          <w:p w14:paraId="59E3FE60">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3）动力机械多选择使用电动工具，严格控制燃油机械的使用，场内施工内燃机械（如铲车、挖掘机等）需选用符合</w:t>
            </w:r>
            <w:r>
              <w:rPr>
                <w:rFonts w:hint="eastAsia" w:ascii="Times New Roman" w:hAnsi="Times New Roman" w:eastAsia="宋体" w:cs="Times New Roman"/>
                <w:snapToGrid w:val="0"/>
                <w:color w:val="auto"/>
                <w:sz w:val="24"/>
                <w:szCs w:val="20"/>
                <w:lang w:val="en-US" w:eastAsia="zh-CN"/>
              </w:rPr>
              <w:t>国家</w:t>
            </w:r>
            <w:r>
              <w:rPr>
                <w:rFonts w:hint="default" w:ascii="Times New Roman" w:hAnsi="Times New Roman" w:eastAsia="宋体" w:cs="Times New Roman"/>
                <w:snapToGrid w:val="0"/>
                <w:color w:val="auto"/>
                <w:sz w:val="24"/>
                <w:szCs w:val="20"/>
              </w:rPr>
              <w:t>相关标准的施工机械，并定期清理。</w:t>
            </w:r>
          </w:p>
          <w:p w14:paraId="416B6EA1">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4）禁止使用国Ⅱ及以下标准的施工机械。</w:t>
            </w:r>
          </w:p>
          <w:p w14:paraId="3FCDEDE4">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5）禁止使用废气排放超标的车辆。</w:t>
            </w:r>
          </w:p>
          <w:p w14:paraId="2283C4E9">
            <w:pPr>
              <w:pStyle w:val="4"/>
              <w:spacing w:line="360" w:lineRule="auto"/>
              <w:ind w:firstLine="482" w:firstLineChars="20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3、噪声</w:t>
            </w:r>
          </w:p>
          <w:p w14:paraId="1E981287">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为了减轻施工期对周围环境的影响，施工单位应严格遵守《中华人民共和国噪声污染防治法》中关于建筑施工噪声污染防治的有关规定，以及《建筑施工噪声排放标准》（GB 12523-2025）要求，合理安排施工计划并采取严格的施工管理措施，应做到：</w:t>
            </w:r>
          </w:p>
          <w:p w14:paraId="4F813BF1">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（1）施工单位要在施工准备时有施工组织设计，施工现场要制定环境保护措施，使各项作业有组织、有计划地进行，尽可能避免高噪声设备同时运作。</w:t>
            </w:r>
          </w:p>
          <w:p w14:paraId="741A7A1F">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选用效率高、噪声低的机械，禁止噪声超标的机械进场；对各种产生噪声和振动的机械设备应当采取消声防振措施，使其噪声和振动符合有关标准，并加强对机械的维护保养和正确操作，保证在良好的条件下使用，减少运行噪声。</w:t>
            </w:r>
          </w:p>
          <w:p w14:paraId="115B6DC1">
            <w:pPr>
              <w:pStyle w:val="4"/>
              <w:spacing w:line="360" w:lineRule="auto"/>
              <w:ind w:firstLine="480" w:firstLineChars="200"/>
              <w:rPr>
                <w:rFonts w:hint="default" w:ascii="Times New Roman" w:hAnsi="Times New Roman" w:eastAsia="宋体" w:cs="Times New Roman"/>
                <w:snapToGrid w:val="0"/>
                <w:color w:val="FF0000"/>
                <w:sz w:val="24"/>
                <w:szCs w:val="20"/>
              </w:rPr>
            </w:pPr>
            <w:r>
              <w:rPr>
                <w:rFonts w:hint="default" w:ascii="Times New Roman" w:hAnsi="Times New Roman" w:eastAsia="宋体" w:cs="Times New Roman"/>
                <w:snapToGrid w:val="0"/>
                <w:color w:val="FF0000"/>
                <w:sz w:val="24"/>
                <w:szCs w:val="20"/>
              </w:rPr>
              <w:t>（3）合理安排施工时间，应尽可能避免大量高噪声设备同时施工，除此之外，严禁夜间（晚22：00~早6:00）施工</w:t>
            </w:r>
          </w:p>
          <w:p w14:paraId="5855AD5C">
            <w:pPr>
              <w:pStyle w:val="4"/>
              <w:spacing w:line="360" w:lineRule="auto"/>
              <w:ind w:firstLine="480" w:firstLineChars="200"/>
              <w:rPr>
                <w:rFonts w:hint="default" w:ascii="Times New Roman" w:hAnsi="Times New Roman" w:eastAsia="宋体" w:cs="Times New Roman"/>
                <w:snapToGrid w:val="0"/>
                <w:color w:val="FF0000"/>
                <w:sz w:val="24"/>
                <w:szCs w:val="20"/>
              </w:rPr>
            </w:pPr>
            <w:r>
              <w:rPr>
                <w:rFonts w:hint="default" w:ascii="Times New Roman" w:hAnsi="Times New Roman" w:eastAsia="宋体" w:cs="Times New Roman"/>
                <w:snapToGrid w:val="0"/>
                <w:color w:val="FF0000"/>
                <w:sz w:val="24"/>
                <w:szCs w:val="20"/>
              </w:rPr>
              <w:t>（4）夯土机、吊车、空压机等高噪声机械在</w:t>
            </w:r>
            <w:r>
              <w:rPr>
                <w:rFonts w:hint="eastAsia" w:ascii="Times New Roman" w:hAnsi="Times New Roman" w:eastAsia="宋体" w:cs="Times New Roman"/>
                <w:snapToGrid w:val="0"/>
                <w:color w:val="FF0000"/>
                <w:sz w:val="24"/>
                <w:szCs w:val="20"/>
                <w:lang w:val="en-US" w:eastAsia="zh-CN"/>
              </w:rPr>
              <w:t>距离亚龙村</w:t>
            </w:r>
            <w:r>
              <w:rPr>
                <w:rFonts w:hint="default" w:ascii="Times New Roman" w:hAnsi="Times New Roman" w:eastAsia="宋体" w:cs="Times New Roman"/>
                <w:snapToGrid w:val="0"/>
                <w:color w:val="FF0000"/>
                <w:sz w:val="24"/>
                <w:szCs w:val="20"/>
              </w:rPr>
              <w:t>较近的区域施工时，可用围挡板与居民区隔离，阻隔噪声传播。</w:t>
            </w:r>
          </w:p>
          <w:p w14:paraId="0C430330">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5）加强施工机械的维护管理工作，使设备正常平稳运转，避免设备非正常工况产生的高噪声污染；安排人工轮流进行机械操作，减少接触高噪声的时间；对在声源附近工作时间较长的工人，发放防声耳塞、头盔等，对工人进行自身保护。</w:t>
            </w:r>
          </w:p>
          <w:p w14:paraId="31B56629">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（6）施工单位应处理好与施工场界周围群众的关系，避免因噪声污染引发纠纷，影响社会稳定。</w:t>
            </w:r>
          </w:p>
          <w:p w14:paraId="3DC4862C">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可行性分析：上述施工期噪声减缓措施基本为管理措施，施工期间建设单位加强施工管理则可达到减缓施工期噪声影响的目的。根据对施工现场调查及预测，采取措施后，施工各阶段的场界噪声符合</w:t>
            </w:r>
            <w:r>
              <w:rPr>
                <w:rFonts w:hint="eastAsia" w:ascii="Times New Roman" w:hAnsi="Times New Roman" w:eastAsia="宋体" w:cs="Times New Roman"/>
                <w:snapToGrid w:val="0"/>
                <w:color w:val="auto"/>
                <w:sz w:val="24"/>
                <w:szCs w:val="20"/>
                <w:lang w:eastAsia="zh-CN"/>
              </w:rPr>
              <w:t>《建筑施工噪声排放标准》</w:t>
            </w:r>
            <w:r>
              <w:rPr>
                <w:rFonts w:hint="default" w:ascii="Times New Roman" w:hAnsi="Times New Roman" w:eastAsia="宋体" w:cs="Times New Roman"/>
                <w:snapToGrid w:val="0"/>
                <w:color w:val="auto"/>
                <w:sz w:val="24"/>
                <w:szCs w:val="20"/>
              </w:rPr>
              <w:t>（GB12523-20</w:t>
            </w:r>
            <w:r>
              <w:rPr>
                <w:rFonts w:hint="eastAsia" w:ascii="Times New Roman" w:hAnsi="Times New Roman" w:eastAsia="宋体" w:cs="Times New Roman"/>
                <w:snapToGrid w:val="0"/>
                <w:color w:val="auto"/>
                <w:sz w:val="24"/>
                <w:szCs w:val="20"/>
                <w:lang w:val="en-US" w:eastAsia="zh-CN"/>
              </w:rPr>
              <w:t>25</w:t>
            </w:r>
            <w:r>
              <w:rPr>
                <w:rFonts w:hint="default" w:ascii="Times New Roman" w:hAnsi="Times New Roman" w:eastAsia="宋体" w:cs="Times New Roman"/>
                <w:snapToGrid w:val="0"/>
                <w:color w:val="auto"/>
                <w:sz w:val="24"/>
                <w:szCs w:val="20"/>
              </w:rPr>
              <w:t>）中的规定。</w:t>
            </w:r>
          </w:p>
          <w:p w14:paraId="7992FEF7">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综上所述，本评价提出的施工期噪声减缓措施可行。</w:t>
            </w:r>
          </w:p>
          <w:p w14:paraId="520F007E">
            <w:pPr>
              <w:pStyle w:val="4"/>
              <w:spacing w:line="360" w:lineRule="auto"/>
              <w:ind w:firstLine="482"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b/>
                <w:bCs/>
                <w:snapToGrid w:val="0"/>
                <w:color w:val="auto"/>
                <w:sz w:val="24"/>
                <w:szCs w:val="20"/>
              </w:rPr>
              <w:t>4、固废</w:t>
            </w:r>
          </w:p>
          <w:p w14:paraId="3DCAFEE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（1）土石方</w:t>
            </w:r>
          </w:p>
          <w:p w14:paraId="0197AFA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eastAsia" w:ascii="Times New Roman" w:hAnsi="Times New Roman" w:eastAsia="宋体" w:cs="Times New Roman"/>
                <w:bCs/>
                <w:iCs/>
                <w:color w:val="auto"/>
                <w:sz w:val="24"/>
                <w:szCs w:val="32"/>
              </w:rPr>
              <w:t>本工程共</w:t>
            </w:r>
            <w:r>
              <w:rPr>
                <w:rFonts w:hint="eastAsia" w:ascii="Times New Roman" w:hAnsi="Times New Roman" w:eastAsia="宋体" w:cs="Times New Roman"/>
                <w:bCs/>
                <w:iCs/>
                <w:color w:val="auto"/>
                <w:sz w:val="24"/>
                <w:szCs w:val="32"/>
                <w:lang w:val="en-US" w:eastAsia="zh-CN"/>
              </w:rPr>
              <w:t>开挖土石方</w:t>
            </w:r>
            <w:r>
              <w:rPr>
                <w:rFonts w:hint="eastAsia" w:ascii="Times New Roman" w:hAnsi="Times New Roman" w:eastAsia="宋体" w:cs="Times New Roman"/>
                <w:bCs/>
                <w:iCs/>
                <w:color w:val="auto"/>
                <w:sz w:val="24"/>
                <w:szCs w:val="32"/>
              </w:rPr>
              <w:t>开挖</w:t>
            </w:r>
            <w:r>
              <w:rPr>
                <w:rFonts w:hint="eastAsia" w:ascii="Times New Roman" w:hAnsi="Times New Roman" w:eastAsia="宋体" w:cs="Times New Roman"/>
                <w:bCs/>
                <w:iCs/>
                <w:color w:val="auto"/>
                <w:sz w:val="24"/>
                <w:szCs w:val="32"/>
                <w:lang w:val="en-US" w:eastAsia="zh-CN"/>
              </w:rPr>
              <w:t>20439</w:t>
            </w:r>
            <w:r>
              <w:rPr>
                <w:rFonts w:hint="eastAsia" w:ascii="Times New Roman" w:hAnsi="Times New Roman" w:eastAsia="宋体" w:cs="Times New Roman"/>
                <w:bCs/>
                <w:iCs/>
                <w:color w:val="auto"/>
                <w:sz w:val="24"/>
                <w:szCs w:val="32"/>
              </w:rPr>
              <w:t>m³，填筑</w:t>
            </w:r>
            <w:r>
              <w:rPr>
                <w:rFonts w:hint="eastAsia" w:ascii="Times New Roman" w:hAnsi="Times New Roman" w:eastAsia="宋体" w:cs="Times New Roman"/>
                <w:bCs/>
                <w:iCs/>
                <w:color w:val="auto"/>
                <w:sz w:val="24"/>
                <w:szCs w:val="32"/>
                <w:lang w:val="en-US" w:eastAsia="zh-CN"/>
              </w:rPr>
              <w:t>20439</w:t>
            </w:r>
            <w:r>
              <w:rPr>
                <w:rFonts w:hint="eastAsia" w:ascii="Times New Roman" w:hAnsi="Times New Roman" w:eastAsia="宋体" w:cs="Times New Roman"/>
                <w:bCs/>
                <w:iCs/>
                <w:color w:val="auto"/>
                <w:sz w:val="24"/>
                <w:szCs w:val="32"/>
              </w:rPr>
              <w:t>m³，无弃</w:t>
            </w:r>
            <w:r>
              <w:rPr>
                <w:rFonts w:hint="eastAsia" w:ascii="Times New Roman" w:hAnsi="Times New Roman" w:eastAsia="宋体" w:cs="Times New Roman"/>
                <w:bCs/>
                <w:iCs/>
                <w:color w:val="auto"/>
                <w:sz w:val="24"/>
                <w:szCs w:val="32"/>
                <w:lang w:val="en-US" w:eastAsia="zh-CN"/>
              </w:rPr>
              <w:t>方</w:t>
            </w:r>
            <w:r>
              <w:rPr>
                <w:rFonts w:hint="default" w:ascii="Times New Roman" w:hAnsi="Times New Roman" w:eastAsia="宋体" w:cs="Times New Roman"/>
                <w:snapToGrid w:val="0"/>
                <w:color w:val="auto"/>
                <w:sz w:val="24"/>
                <w:szCs w:val="20"/>
              </w:rPr>
              <w:t>。</w:t>
            </w:r>
          </w:p>
          <w:p w14:paraId="40640D66">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（2）建筑垃圾</w:t>
            </w:r>
          </w:p>
          <w:p w14:paraId="4010B48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项目施工期产生的建筑垃圾可回收废料，如废板材、模具、支架等由施工单位回收利用；其它废弃的灰渣、边角料等可利用的用于堤岸的土石回填堆坡造型；不能利用的交由有资质单位规范处置。</w:t>
            </w:r>
          </w:p>
          <w:p w14:paraId="694C2B6E">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（3）生活垃圾</w:t>
            </w:r>
          </w:p>
          <w:p w14:paraId="1E781338">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本项目在施工区设置垃圾桶，施工人员生活垃圾经垃圾桶集中收集后交由当地环卫部门定期清运处置，不得随意丢弃。</w:t>
            </w:r>
          </w:p>
          <w:p w14:paraId="3D9BAD45">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（4）沉淀池沉渣</w:t>
            </w:r>
          </w:p>
          <w:p w14:paraId="30E51364">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项目施工期共设置</w:t>
            </w:r>
            <w:r>
              <w:rPr>
                <w:rFonts w:hint="eastAsia" w:ascii="Times New Roman" w:hAnsi="Times New Roman" w:eastAsia="宋体" w:cs="Times New Roman"/>
                <w:snapToGrid w:val="0"/>
                <w:color w:val="auto"/>
                <w:sz w:val="24"/>
                <w:szCs w:val="20"/>
                <w:lang w:val="en-US" w:eastAsia="zh-CN"/>
              </w:rPr>
              <w:t>4</w:t>
            </w:r>
            <w:r>
              <w:rPr>
                <w:rFonts w:hint="default" w:ascii="Times New Roman" w:hAnsi="Times New Roman" w:eastAsia="宋体" w:cs="Times New Roman"/>
                <w:snapToGrid w:val="0"/>
                <w:color w:val="auto"/>
                <w:sz w:val="24"/>
                <w:szCs w:val="20"/>
              </w:rPr>
              <w:t>个</w:t>
            </w:r>
            <w:r>
              <w:rPr>
                <w:rFonts w:hint="eastAsia" w:ascii="Times New Roman" w:hAnsi="Times New Roman" w:eastAsia="宋体" w:cs="Times New Roman"/>
                <w:snapToGrid w:val="0"/>
                <w:color w:val="auto"/>
                <w:sz w:val="24"/>
                <w:szCs w:val="20"/>
                <w:lang w:val="en-US" w:eastAsia="zh-CN"/>
              </w:rPr>
              <w:t>10</w:t>
            </w:r>
            <w:r>
              <w:rPr>
                <w:rFonts w:hint="default" w:ascii="Times New Roman" w:hAnsi="Times New Roman" w:eastAsia="宋体" w:cs="Times New Roman"/>
                <w:snapToGrid w:val="0"/>
                <w:color w:val="auto"/>
                <w:sz w:val="24"/>
                <w:szCs w:val="20"/>
              </w:rPr>
              <w:t>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w:t>
            </w:r>
            <w:r>
              <w:rPr>
                <w:rFonts w:hint="eastAsia" w:ascii="Times New Roman" w:hAnsi="Times New Roman" w:eastAsia="宋体" w:cs="Times New Roman"/>
                <w:color w:val="auto"/>
                <w:kern w:val="2"/>
                <w:sz w:val="24"/>
                <w:szCs w:val="24"/>
                <w:highlight w:val="none"/>
                <w:vertAlign w:val="baseline"/>
                <w:lang w:val="en-US" w:eastAsia="zh-CN"/>
              </w:rPr>
              <w:t>5</w:t>
            </w:r>
            <w:r>
              <w:rPr>
                <w:rFonts w:hint="default" w:ascii="Times New Roman" w:hAnsi="Times New Roman" w:eastAsia="宋体" w:cs="Times New Roman"/>
                <w:snapToGrid w:val="0"/>
                <w:color w:val="auto"/>
                <w:sz w:val="24"/>
                <w:szCs w:val="20"/>
              </w:rPr>
              <w:t>个15m</w:t>
            </w:r>
            <w:r>
              <w:rPr>
                <w:rFonts w:hint="default" w:ascii="Times New Roman" w:hAnsi="Times New Roman" w:eastAsia="宋体" w:cs="Times New Roman"/>
                <w:snapToGrid w:val="0"/>
                <w:color w:val="auto"/>
                <w:sz w:val="24"/>
                <w:szCs w:val="20"/>
                <w:vertAlign w:val="superscript"/>
              </w:rPr>
              <w:t>3</w:t>
            </w:r>
            <w:r>
              <w:rPr>
                <w:rFonts w:hint="default" w:ascii="Times New Roman" w:hAnsi="Times New Roman" w:eastAsia="宋体" w:cs="Times New Roman"/>
                <w:snapToGrid w:val="0"/>
                <w:color w:val="auto"/>
                <w:sz w:val="24"/>
                <w:szCs w:val="20"/>
              </w:rPr>
              <w:t>沉淀池分别对冲洗废水和基坑排水进行沉淀，沉淀池沉渣主要为泥沙、混凝土碎屑等无机杂质，无有毒有害成分，无危险废物属性，故与建筑垃圾一同交由有资质的单位规范处置，不得随意堆放。</w:t>
            </w:r>
          </w:p>
          <w:p w14:paraId="2CF26727">
            <w:pPr>
              <w:pStyle w:val="4"/>
              <w:spacing w:line="360" w:lineRule="auto"/>
              <w:ind w:left="0" w:leftChars="0" w:firstLine="0" w:firstLineChars="0"/>
              <w:rPr>
                <w:rFonts w:hint="default" w:ascii="Times New Roman" w:hAnsi="Times New Roman" w:eastAsia="宋体" w:cs="Times New Roman"/>
                <w:b/>
                <w:bCs/>
                <w:snapToGrid w:val="0"/>
                <w:color w:val="auto"/>
                <w:sz w:val="24"/>
                <w:szCs w:val="20"/>
              </w:rPr>
            </w:pPr>
            <w:r>
              <w:rPr>
                <w:rFonts w:hint="default" w:ascii="Times New Roman" w:hAnsi="Times New Roman" w:eastAsia="宋体" w:cs="Times New Roman"/>
                <w:b/>
                <w:bCs/>
                <w:snapToGrid w:val="0"/>
                <w:color w:val="auto"/>
                <w:sz w:val="24"/>
                <w:szCs w:val="20"/>
              </w:rPr>
              <w:t>三、施工期环境风险措施</w:t>
            </w:r>
          </w:p>
          <w:p w14:paraId="18F865D1">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环境风险是指突发性事故对环境（或健康）的危害程度。建设项目环境风险评价的目的是对建设项目建设和运行期间发生的可预测的突发性事故或事故（一般不包括人为破坏及自然灾害）引起有毒有害、易燃易爆等物质泄漏或突发事件产生的新的有毒有害物质所造成的对人身安全与环境的影响和损害进行评估，提出防范、应急与减缓措施，以使建设项目事故率、损失和环境影响达到可接受水平。</w:t>
            </w:r>
          </w:p>
          <w:p w14:paraId="508E9FA9">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项目属于非污染类建设项目，项目不属于《建设项目环境风险评价技术导则》（HJ/T169-2018）界定的项目类型，项目建成运营期对区域水环境和生态环境等具有正效益，项目环境风险主要存在于施工期，且施工工区不涉及机械设备燃料的存放。本次评价进行简化分析，结合本项目施工运行特点，识别工程施工期间可能发生的风险环节和潜在事故隐患，分析潜在环境风险事故的影响程度，并提出相应事故防范措施，提高风险管理水平，使项目的环境风险影响尽可能降到最低，达到安全施工、运行的目的。</w:t>
            </w:r>
          </w:p>
          <w:p w14:paraId="5B020366">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1、环境风险识别</w:t>
            </w:r>
          </w:p>
          <w:p w14:paraId="7DB6B3F2">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根据本工程施工及运行特点、周围环境特点以及工程与周围环境之间的关系，工程的建设、运行和管理中具有潜在风险的类型有：工程施工废水对</w:t>
            </w:r>
            <w:r>
              <w:rPr>
                <w:rFonts w:hint="eastAsia" w:ascii="Times New Roman" w:hAnsi="Times New Roman" w:eastAsia="宋体" w:cs="Times New Roman"/>
                <w:snapToGrid w:val="0"/>
                <w:color w:val="auto"/>
                <w:sz w:val="24"/>
                <w:szCs w:val="20"/>
                <w:lang w:eastAsia="zh-CN"/>
              </w:rPr>
              <w:t>卓达曲</w:t>
            </w:r>
            <w:r>
              <w:rPr>
                <w:rFonts w:hint="default" w:ascii="Times New Roman" w:hAnsi="Times New Roman" w:eastAsia="宋体" w:cs="Times New Roman"/>
                <w:snapToGrid w:val="0"/>
                <w:color w:val="auto"/>
                <w:sz w:val="24"/>
                <w:szCs w:val="20"/>
              </w:rPr>
              <w:t>水质的影响及施工期油品泄漏的环境影响。</w:t>
            </w:r>
          </w:p>
          <w:p w14:paraId="392F2527">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2、环境风险分析</w:t>
            </w:r>
          </w:p>
          <w:p w14:paraId="51172B51">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（1）施工期水质恶化对水生生物影响</w:t>
            </w:r>
          </w:p>
          <w:p w14:paraId="55929AD6">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施工过程中若因停电或者管道破裂等问题使生活污水、施工废水处理设施无法正常运行、暴雨或意外导致施工物料、施工机械设备用油泄漏进入水体，或因施工围堰突然缺口，或施工车辆发生车祸漏油等，将导致污水未经处理泄漏排至周围地表水体，对水环境和水生生态造成影响。</w:t>
            </w:r>
          </w:p>
          <w:p w14:paraId="092C7F6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（2）施工油品泄</w:t>
            </w:r>
            <w:r>
              <w:rPr>
                <w:rFonts w:hint="eastAsia" w:ascii="Times New Roman" w:hAnsi="Times New Roman" w:eastAsia="宋体" w:cs="Times New Roman"/>
                <w:snapToGrid w:val="0"/>
                <w:color w:val="auto"/>
                <w:sz w:val="24"/>
                <w:szCs w:val="20"/>
                <w:lang w:val="en-US" w:eastAsia="zh-CN"/>
              </w:rPr>
              <w:t>漏</w:t>
            </w:r>
            <w:r>
              <w:rPr>
                <w:rFonts w:hint="default" w:ascii="Times New Roman" w:hAnsi="Times New Roman" w:eastAsia="宋体" w:cs="Times New Roman"/>
                <w:snapToGrid w:val="0"/>
                <w:color w:val="auto"/>
                <w:sz w:val="24"/>
                <w:szCs w:val="20"/>
              </w:rPr>
              <w:t>风险</w:t>
            </w:r>
          </w:p>
          <w:p w14:paraId="2D8F930C">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本项目施工期间不设置油库、油罐，避免了油品储存带来的风险。主要为施工器械损坏油料泄</w:t>
            </w:r>
            <w:r>
              <w:rPr>
                <w:rFonts w:hint="eastAsia" w:ascii="Times New Roman" w:hAnsi="Times New Roman" w:eastAsia="宋体" w:cs="Times New Roman"/>
                <w:snapToGrid w:val="0"/>
                <w:color w:val="auto"/>
                <w:sz w:val="24"/>
                <w:szCs w:val="20"/>
                <w:lang w:val="en-US" w:eastAsia="zh-CN"/>
              </w:rPr>
              <w:t>漏</w:t>
            </w:r>
            <w:r>
              <w:rPr>
                <w:rFonts w:hint="default" w:ascii="Times New Roman" w:hAnsi="Times New Roman" w:eastAsia="宋体" w:cs="Times New Roman"/>
                <w:snapToGrid w:val="0"/>
                <w:color w:val="auto"/>
                <w:sz w:val="24"/>
                <w:szCs w:val="20"/>
              </w:rPr>
              <w:t>，导致油料下渗污染土壤及地下水。</w:t>
            </w:r>
          </w:p>
          <w:p w14:paraId="1641A22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3、风险防范措施</w:t>
            </w:r>
          </w:p>
          <w:p w14:paraId="5A7A2A0D">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（1）加强环保设施监理尽可能确保环保设施正常运行。</w:t>
            </w:r>
          </w:p>
          <w:p w14:paraId="7C0024B3">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（2）施工期应由管理部门研究划定施工界限，获得施工许可，未经同意，不得擅自开工；加强施工质量和进度管理，严格按照既定的施工要求、施工进度及施工范围内进行施工，尽量避免汛期施工。</w:t>
            </w:r>
          </w:p>
          <w:p w14:paraId="18D90981">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3）建立防汛、避台等应急预案，施工期间如遇恶劣天气必须及时检查加固护坡等水土保持措施及围堰，避免护坡或围堰垮塌，并撤离施工期人员、车辆及机械等。施工区配备应急泵和堵漏沙袋等应急物资，遇突发事件时及时按应急预案响应，及时通知应急组进行应急处置。</w:t>
            </w:r>
          </w:p>
          <w:p w14:paraId="2D0C6C2A">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（4）施工单位应定期检查和维护施工车辆，使车辆维持良好的工作状态；同时，督促施工人员严格按照交通规则行驶并注意文明行车，减小碰撞概率。</w:t>
            </w:r>
          </w:p>
          <w:p w14:paraId="753F0A7B">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（5）围堰施工在围堰外设置水域防浊帘，预防围堰垮塌对水质产生不良影响。</w:t>
            </w:r>
          </w:p>
          <w:p w14:paraId="76F2A00E">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（6）加强管理，禁止无关人员及车辆进入施工区内，特别是含危险品的车辆进入。</w:t>
            </w:r>
          </w:p>
          <w:p w14:paraId="3FBBE5BE">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（7）严格规范施工，采用先进的或符合国家标准的施工设备，加强施工设备保养和维护，保持设备工况良好，防止设备故障，可避免施工机械设备用油或机械废油泄漏进入水体，污染地表水河流水质。</w:t>
            </w:r>
          </w:p>
          <w:p w14:paraId="59FEEBE6">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（8）施工过程产生的废料和生活垃圾等固体施工废弃物，严禁堆放于河岸，避免雨期造成水土流失和因淋渗污染河流水质。</w:t>
            </w:r>
          </w:p>
          <w:p w14:paraId="04ACDF6F">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4、结论</w:t>
            </w:r>
          </w:p>
          <w:p w14:paraId="01E7B46D">
            <w:pPr>
              <w:pStyle w:val="4"/>
              <w:spacing w:line="360" w:lineRule="auto"/>
              <w:ind w:firstLine="480" w:firstLineChars="200"/>
              <w:rPr>
                <w:rFonts w:hint="default" w:ascii="Times New Roman" w:hAnsi="Times New Roman" w:eastAsia="宋体" w:cs="Times New Roman"/>
                <w:snapToGrid w:val="0"/>
                <w:color w:val="auto"/>
                <w:sz w:val="24"/>
                <w:szCs w:val="20"/>
              </w:rPr>
            </w:pPr>
            <w:r>
              <w:rPr>
                <w:rFonts w:hint="default" w:ascii="Times New Roman" w:hAnsi="Times New Roman" w:eastAsia="宋体" w:cs="Times New Roman"/>
                <w:snapToGrid w:val="0"/>
                <w:color w:val="auto"/>
                <w:sz w:val="24"/>
                <w:szCs w:val="20"/>
              </w:rPr>
              <w:t>在采取严格风险防范措施后，可有效减少事故发生的概率和源强，在做好风险事故防范措施的前提下，本项目环境风险可接受。</w:t>
            </w:r>
          </w:p>
        </w:tc>
      </w:tr>
      <w:tr w14:paraId="0B5D26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8" w:type="pct"/>
            <w:noWrap w:val="0"/>
            <w:tcMar>
              <w:left w:w="28" w:type="dxa"/>
              <w:right w:w="28" w:type="dxa"/>
            </w:tcMar>
            <w:vAlign w:val="center"/>
          </w:tcPr>
          <w:p w14:paraId="580ABDD1">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pacing w:val="10"/>
                <w:sz w:val="24"/>
              </w:rPr>
              <w:t>运营期生态环境保护措施</w:t>
            </w:r>
          </w:p>
        </w:tc>
        <w:tc>
          <w:tcPr>
            <w:tcW w:w="4591" w:type="pct"/>
            <w:noWrap w:val="0"/>
            <w:vAlign w:val="center"/>
          </w:tcPr>
          <w:p w14:paraId="24190266">
            <w:pPr>
              <w:adjustRightInd w:val="0"/>
              <w:snapToGrid w:val="0"/>
              <w:spacing w:line="360" w:lineRule="auto"/>
              <w:ind w:firstLine="480" w:firstLineChars="200"/>
              <w:rPr>
                <w:rFonts w:hint="default" w:ascii="Times New Roman" w:hAnsi="Times New Roman" w:cs="Times New Roman"/>
                <w:bCs/>
                <w:color w:val="auto"/>
                <w:spacing w:val="10"/>
                <w:sz w:val="24"/>
              </w:rPr>
            </w:pPr>
            <w:r>
              <w:rPr>
                <w:rFonts w:hint="default" w:ascii="Times New Roman" w:hAnsi="Times New Roman" w:eastAsia="宋体" w:cs="Times New Roman"/>
                <w:bCs/>
                <w:color w:val="auto"/>
                <w:kern w:val="2"/>
                <w:sz w:val="24"/>
                <w:szCs w:val="24"/>
              </w:rPr>
              <w:t>本项目为防洪除涝工程项目，属于非污染型生态类项目，运营期无污染</w:t>
            </w:r>
            <w:r>
              <w:rPr>
                <w:rFonts w:hint="default" w:ascii="Times New Roman" w:hAnsi="Times New Roman" w:cs="Times New Roman"/>
                <w:bCs/>
                <w:color w:val="auto"/>
                <w:spacing w:val="10"/>
                <w:sz w:val="24"/>
              </w:rPr>
              <w:t>。</w:t>
            </w:r>
          </w:p>
        </w:tc>
      </w:tr>
      <w:tr w14:paraId="0CD038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408" w:type="pct"/>
            <w:noWrap w:val="0"/>
            <w:vAlign w:val="center"/>
          </w:tcPr>
          <w:p w14:paraId="43470CC4">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其他</w:t>
            </w:r>
          </w:p>
        </w:tc>
        <w:tc>
          <w:tcPr>
            <w:tcW w:w="4591" w:type="pct"/>
            <w:noWrap w:val="0"/>
            <w:vAlign w:val="top"/>
          </w:tcPr>
          <w:p w14:paraId="0FB8EACF">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一、环境管理</w:t>
            </w:r>
          </w:p>
          <w:p w14:paraId="416AE47D">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（1）环境管理的目的</w:t>
            </w:r>
          </w:p>
          <w:p w14:paraId="6E217E6F">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本工程在建设期将对周围环境产生一定的影响，因此必须通过必要的措施来减缓和消除不利的环境影响。为了保证环保措施的切实落实，使项目的社会、经济和环境效益得到协调发展，必须加强环境管理。</w:t>
            </w:r>
          </w:p>
          <w:p w14:paraId="04165B51">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（2）环保机构的设置</w:t>
            </w:r>
          </w:p>
          <w:p w14:paraId="3DDC47A0">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建设单位在设置工程管理机构时，应建立环境保护管理机构，以便对施工期的环境保护工作进行监督和管理，管理机构应设专职（或兼职）人员，其职责如下：</w:t>
            </w:r>
          </w:p>
          <w:p w14:paraId="1949518B">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①监督施工期环保措施的实施。</w:t>
            </w:r>
          </w:p>
          <w:p w14:paraId="486C53B4">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②负责与地方生态环境主管部门的联系，包括区域环境保护措施的协调。</w:t>
            </w:r>
          </w:p>
          <w:p w14:paraId="134DCB7E">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③负责好管理机构内部的环保和安全教育工作。</w:t>
            </w:r>
          </w:p>
          <w:p w14:paraId="2DC411E3">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④宣传、贯彻和执行国家、地方政府及有关部门制定的环境保护法律法规和条例等。</w:t>
            </w:r>
          </w:p>
          <w:p w14:paraId="706B006E">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（3）环境管理的主要内容</w:t>
            </w:r>
          </w:p>
          <w:p w14:paraId="295D7065">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项目施工阶段：</w:t>
            </w:r>
          </w:p>
          <w:p w14:paraId="6D1676FD">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①工程建设单位应定期或不定期对施工点的环保措施执行情况进行监督检查，并写出相应的检查报告。</w:t>
            </w:r>
          </w:p>
          <w:p w14:paraId="04DA8084">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②监督检查的重点为各施工点扬尘、噪声的控制、水土流失的防治，施工队伍生活污水、生活垃圾的处理和处置等。</w:t>
            </w:r>
          </w:p>
          <w:p w14:paraId="11C62DE0">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③落实施工设计文件中各项环保措施的执行情况、环保设施的施工进度和资金使用情况。</w:t>
            </w:r>
          </w:p>
          <w:p w14:paraId="337158C0">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施工完成阶段：</w:t>
            </w:r>
          </w:p>
          <w:p w14:paraId="5B5679E9">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①施工完成阶段应重点对各类临时性占地的恢复，建筑垃圾的清运及施工现场的清理进行监督检查。</w:t>
            </w:r>
          </w:p>
          <w:p w14:paraId="16650F2E">
            <w:pPr>
              <w:adjustRightInd w:val="0"/>
              <w:snapToGrid w:val="0"/>
              <w:spacing w:line="360" w:lineRule="auto"/>
              <w:ind w:firstLine="480" w:firstLineChars="200"/>
              <w:rPr>
                <w:rFonts w:hint="default" w:ascii="Times New Roman" w:hAnsi="Times New Roman" w:cs="Times New Roman"/>
                <w:bCs/>
                <w:color w:val="auto"/>
                <w:sz w:val="24"/>
              </w:rPr>
            </w:pPr>
            <w:r>
              <w:rPr>
                <w:rFonts w:hint="default" w:ascii="Times New Roman" w:hAnsi="Times New Roman" w:cs="Times New Roman"/>
                <w:bCs/>
                <w:color w:val="auto"/>
                <w:sz w:val="24"/>
              </w:rPr>
              <w:t>②建设单位应对合同中约定的各项环保条款进行完成和实施情况评估。</w:t>
            </w:r>
          </w:p>
          <w:p w14:paraId="63A344E7">
            <w:pPr>
              <w:adjustRightInd w:val="0"/>
              <w:snapToGrid w:val="0"/>
              <w:spacing w:line="360" w:lineRule="auto"/>
              <w:ind w:firstLine="480" w:firstLineChars="200"/>
              <w:rPr>
                <w:rFonts w:hint="default" w:ascii="Times New Roman" w:hAnsi="Times New Roman" w:cs="Times New Roman"/>
                <w:bCs/>
                <w:color w:val="auto"/>
                <w:spacing w:val="10"/>
                <w:sz w:val="24"/>
              </w:rPr>
            </w:pPr>
            <w:r>
              <w:rPr>
                <w:rFonts w:hint="default" w:ascii="Times New Roman" w:hAnsi="Times New Roman" w:cs="Times New Roman"/>
                <w:bCs/>
                <w:color w:val="auto"/>
                <w:sz w:val="24"/>
              </w:rPr>
              <w:t>③环保设施的竣工验收。</w:t>
            </w:r>
          </w:p>
        </w:tc>
      </w:tr>
      <w:tr w14:paraId="4C4E53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30" w:hRule="atLeast"/>
          <w:jc w:val="center"/>
        </w:trPr>
        <w:tc>
          <w:tcPr>
            <w:tcW w:w="408" w:type="pct"/>
            <w:noWrap w:val="0"/>
            <w:vAlign w:val="center"/>
          </w:tcPr>
          <w:p w14:paraId="7B25C931">
            <w:pPr>
              <w:adjustRightInd w:val="0"/>
              <w:snapToGrid w:val="0"/>
              <w:jc w:val="center"/>
              <w:rPr>
                <w:rFonts w:hint="default" w:ascii="Times New Roman" w:hAnsi="Times New Roman" w:cs="Times New Roman"/>
                <w:bCs/>
                <w:color w:val="auto"/>
                <w:spacing w:val="10"/>
                <w:sz w:val="24"/>
              </w:rPr>
            </w:pPr>
            <w:r>
              <w:rPr>
                <w:rFonts w:hint="default" w:ascii="Times New Roman" w:hAnsi="Times New Roman" w:cs="Times New Roman"/>
                <w:bCs/>
                <w:color w:val="auto"/>
                <w:sz w:val="24"/>
              </w:rPr>
              <w:t>环保投资</w:t>
            </w:r>
          </w:p>
        </w:tc>
        <w:tc>
          <w:tcPr>
            <w:tcW w:w="4591" w:type="pct"/>
            <w:noWrap w:val="0"/>
            <w:vAlign w:val="top"/>
          </w:tcPr>
          <w:p w14:paraId="068F731A">
            <w:pPr>
              <w:adjustRightInd w:val="0"/>
              <w:spacing w:line="360" w:lineRule="auto"/>
              <w:ind w:firstLine="520" w:firstLineChars="200"/>
              <w:rPr>
                <w:color w:val="auto"/>
                <w:sz w:val="24"/>
              </w:rPr>
            </w:pPr>
            <w:bookmarkStart w:id="1" w:name="_Toc17297"/>
            <w:r>
              <w:rPr>
                <w:bCs/>
                <w:color w:val="auto"/>
                <w:spacing w:val="10"/>
                <w:sz w:val="24"/>
              </w:rPr>
              <w:t>本项目总投资</w:t>
            </w:r>
            <w:r>
              <w:rPr>
                <w:rFonts w:hint="eastAsia"/>
                <w:color w:val="auto"/>
                <w:sz w:val="24"/>
              </w:rPr>
              <w:t>100</w:t>
            </w:r>
            <w:r>
              <w:rPr>
                <w:rFonts w:hint="eastAsia"/>
                <w:color w:val="auto"/>
                <w:sz w:val="24"/>
                <w:lang w:val="en-US" w:eastAsia="zh-CN"/>
              </w:rPr>
              <w:t>1</w:t>
            </w:r>
            <w:r>
              <w:rPr>
                <w:rFonts w:hint="eastAsia"/>
                <w:color w:val="auto"/>
                <w:sz w:val="24"/>
              </w:rPr>
              <w:t>.67</w:t>
            </w:r>
            <w:r>
              <w:rPr>
                <w:color w:val="auto"/>
                <w:sz w:val="24"/>
              </w:rPr>
              <w:t>万元，其中环保投资</w:t>
            </w:r>
            <w:r>
              <w:rPr>
                <w:rFonts w:hint="eastAsia"/>
                <w:color w:val="auto"/>
                <w:sz w:val="24"/>
                <w:lang w:val="en-US" w:eastAsia="zh-CN"/>
              </w:rPr>
              <w:t>83</w:t>
            </w:r>
            <w:r>
              <w:rPr>
                <w:color w:val="auto"/>
                <w:sz w:val="24"/>
              </w:rPr>
              <w:t>.1万元，占总投资的</w:t>
            </w:r>
            <w:r>
              <w:rPr>
                <w:rFonts w:hint="eastAsia"/>
                <w:color w:val="auto"/>
                <w:sz w:val="24"/>
                <w:lang w:val="en-US" w:eastAsia="zh-CN"/>
              </w:rPr>
              <w:t>8.30</w:t>
            </w:r>
            <w:r>
              <w:rPr>
                <w:color w:val="auto"/>
                <w:sz w:val="24"/>
              </w:rPr>
              <w:t>%。</w:t>
            </w:r>
          </w:p>
          <w:p w14:paraId="226F86C1">
            <w:pPr>
              <w:pStyle w:val="3"/>
              <w:numPr>
                <w:ilvl w:val="0"/>
                <w:numId w:val="0"/>
              </w:numPr>
              <w:ind w:left="425" w:hanging="425"/>
              <w:rPr>
                <w:rFonts w:hint="default" w:ascii="Times New Roman" w:hAnsi="Times New Roman" w:cs="Times New Roman"/>
                <w:color w:val="auto"/>
                <w:szCs w:val="21"/>
              </w:rPr>
            </w:pPr>
            <w:r>
              <w:rPr>
                <w:rFonts w:hint="default" w:ascii="Times New Roman" w:hAnsi="Times New Roman" w:cs="Times New Roman"/>
                <w:color w:val="auto"/>
                <w:szCs w:val="21"/>
              </w:rPr>
              <w:t>表5-</w:t>
            </w:r>
            <w:r>
              <w:rPr>
                <w:rFonts w:hint="default" w:ascii="Times New Roman" w:hAnsi="Times New Roman" w:cs="Times New Roman"/>
                <w:color w:val="auto"/>
                <w:szCs w:val="21"/>
                <w:lang w:val="en-US" w:eastAsia="zh-CN"/>
              </w:rPr>
              <w:t>3</w:t>
            </w:r>
            <w:r>
              <w:rPr>
                <w:rFonts w:hint="default" w:ascii="Times New Roman" w:hAnsi="Times New Roman" w:cs="Times New Roman"/>
                <w:color w:val="auto"/>
                <w:szCs w:val="21"/>
              </w:rPr>
              <w:t xml:space="preserve"> 环保投资估算表</w:t>
            </w:r>
            <w:bookmarkEnd w:id="1"/>
          </w:p>
          <w:tbl>
            <w:tblPr>
              <w:tblStyle w:val="10"/>
              <w:tblW w:w="4996"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556"/>
              <w:gridCol w:w="1134"/>
              <w:gridCol w:w="794"/>
              <w:gridCol w:w="3033"/>
              <w:gridCol w:w="943"/>
              <w:gridCol w:w="643"/>
            </w:tblGrid>
            <w:tr w14:paraId="3C1C512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67" w:hRule="atLeast"/>
                <w:jc w:val="center"/>
              </w:trPr>
              <w:tc>
                <w:tcPr>
                  <w:tcW w:w="1405" w:type="pct"/>
                  <w:gridSpan w:val="3"/>
                  <w:tcBorders>
                    <w:tl2br w:val="nil"/>
                    <w:tr2bl w:val="nil"/>
                  </w:tcBorders>
                  <w:noWrap w:val="0"/>
                  <w:vAlign w:val="center"/>
                </w:tcPr>
                <w:p w14:paraId="22807061">
                  <w:pPr>
                    <w:adjustRightInd w:val="0"/>
                    <w:jc w:val="center"/>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名称</w:t>
                  </w:r>
                </w:p>
              </w:tc>
              <w:tc>
                <w:tcPr>
                  <w:tcW w:w="2541" w:type="pct"/>
                  <w:gridSpan w:val="2"/>
                  <w:tcBorders>
                    <w:tl2br w:val="nil"/>
                    <w:tr2bl w:val="nil"/>
                  </w:tcBorders>
                  <w:noWrap w:val="0"/>
                  <w:vAlign w:val="center"/>
                </w:tcPr>
                <w:p w14:paraId="6AF22C32">
                  <w:pPr>
                    <w:adjustRightInd w:val="0"/>
                    <w:jc w:val="center"/>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内容</w:t>
                  </w:r>
                </w:p>
              </w:tc>
              <w:tc>
                <w:tcPr>
                  <w:tcW w:w="626" w:type="pct"/>
                  <w:tcBorders>
                    <w:tl2br w:val="nil"/>
                    <w:tr2bl w:val="nil"/>
                  </w:tcBorders>
                  <w:noWrap w:val="0"/>
                  <w:vAlign w:val="center"/>
                </w:tcPr>
                <w:p w14:paraId="34D812E8">
                  <w:pPr>
                    <w:adjustRightInd w:val="0"/>
                    <w:jc w:val="center"/>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治理投资（万元）</w:t>
                  </w:r>
                </w:p>
              </w:tc>
              <w:tc>
                <w:tcPr>
                  <w:tcW w:w="427" w:type="pct"/>
                  <w:tcBorders>
                    <w:tl2br w:val="nil"/>
                    <w:tr2bl w:val="nil"/>
                  </w:tcBorders>
                  <w:noWrap w:val="0"/>
                  <w:vAlign w:val="center"/>
                </w:tcPr>
                <w:p w14:paraId="6A8326F9">
                  <w:pPr>
                    <w:adjustRightInd w:val="0"/>
                    <w:jc w:val="center"/>
                    <w:rPr>
                      <w:rFonts w:hint="default" w:ascii="Times New Roman" w:hAnsi="Times New Roman" w:eastAsia="宋体" w:cs="Times New Roman"/>
                      <w:b/>
                      <w:bCs/>
                      <w:color w:val="auto"/>
                      <w:kern w:val="2"/>
                      <w:szCs w:val="21"/>
                    </w:rPr>
                  </w:pPr>
                  <w:r>
                    <w:rPr>
                      <w:rFonts w:hint="default" w:ascii="Times New Roman" w:hAnsi="Times New Roman" w:eastAsia="宋体" w:cs="Times New Roman"/>
                      <w:b/>
                      <w:bCs/>
                      <w:color w:val="auto"/>
                      <w:kern w:val="2"/>
                      <w:szCs w:val="21"/>
                    </w:rPr>
                    <w:t>备注</w:t>
                  </w:r>
                </w:p>
              </w:tc>
            </w:tr>
            <w:tr w14:paraId="493BD48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3" w:hRule="atLeast"/>
                <w:jc w:val="center"/>
              </w:trPr>
              <w:tc>
                <w:tcPr>
                  <w:tcW w:w="282" w:type="pct"/>
                  <w:vMerge w:val="restart"/>
                  <w:tcBorders>
                    <w:tl2br w:val="nil"/>
                    <w:tr2bl w:val="nil"/>
                  </w:tcBorders>
                  <w:noWrap w:val="0"/>
                  <w:vAlign w:val="center"/>
                </w:tcPr>
                <w:p w14:paraId="58F1B80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施工期</w:t>
                  </w:r>
                </w:p>
              </w:tc>
              <w:tc>
                <w:tcPr>
                  <w:tcW w:w="370" w:type="pct"/>
                  <w:vMerge w:val="restart"/>
                  <w:tcBorders>
                    <w:tl2br w:val="nil"/>
                    <w:tr2bl w:val="nil"/>
                  </w:tcBorders>
                  <w:noWrap w:val="0"/>
                  <w:vAlign w:val="center"/>
                </w:tcPr>
                <w:p w14:paraId="7C94C2BB">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废水</w:t>
                  </w:r>
                </w:p>
              </w:tc>
              <w:tc>
                <w:tcPr>
                  <w:tcW w:w="752" w:type="pct"/>
                  <w:tcBorders>
                    <w:tl2br w:val="nil"/>
                    <w:tr2bl w:val="nil"/>
                  </w:tcBorders>
                  <w:noWrap w:val="0"/>
                  <w:vAlign w:val="center"/>
                </w:tcPr>
                <w:p w14:paraId="57C363DF">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施工废水</w:t>
                  </w:r>
                </w:p>
              </w:tc>
              <w:tc>
                <w:tcPr>
                  <w:tcW w:w="2541" w:type="pct"/>
                  <w:gridSpan w:val="2"/>
                  <w:tcBorders>
                    <w:tl2br w:val="nil"/>
                    <w:tr2bl w:val="nil"/>
                  </w:tcBorders>
                  <w:noWrap w:val="0"/>
                  <w:vAlign w:val="center"/>
                </w:tcPr>
                <w:p w14:paraId="0CF3060C">
                  <w:pPr>
                    <w:adjustRightInd w:val="0"/>
                    <w:jc w:val="lef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施工机械及车辆冲洗废水：经</w:t>
                  </w:r>
                  <w:r>
                    <w:rPr>
                      <w:rFonts w:hint="default" w:ascii="Times New Roman" w:hAnsi="Times New Roman" w:eastAsia="宋体" w:cs="Times New Roman"/>
                      <w:color w:val="auto"/>
                      <w:kern w:val="2"/>
                      <w:szCs w:val="21"/>
                      <w:lang w:val="en-US" w:eastAsia="zh-CN"/>
                    </w:rPr>
                    <w:t>沉淀池</w:t>
                  </w:r>
                  <w:r>
                    <w:rPr>
                      <w:rFonts w:hint="default" w:ascii="Times New Roman" w:hAnsi="Times New Roman" w:eastAsia="宋体" w:cs="Times New Roman"/>
                      <w:color w:val="auto"/>
                      <w:kern w:val="2"/>
                      <w:szCs w:val="21"/>
                    </w:rPr>
                    <w:t>（</w:t>
                  </w:r>
                  <w:r>
                    <w:rPr>
                      <w:rFonts w:hint="eastAsia" w:ascii="Times New Roman" w:hAnsi="Times New Roman" w:eastAsia="宋体" w:cs="Times New Roman"/>
                      <w:color w:val="auto"/>
                      <w:kern w:val="2"/>
                      <w:szCs w:val="21"/>
                      <w:lang w:val="en-US" w:eastAsia="zh-CN"/>
                    </w:rPr>
                    <w:t>4</w:t>
                  </w:r>
                  <w:r>
                    <w:rPr>
                      <w:rFonts w:hint="default" w:ascii="Times New Roman" w:hAnsi="Times New Roman" w:eastAsia="宋体" w:cs="Times New Roman"/>
                      <w:color w:val="auto"/>
                      <w:kern w:val="2"/>
                      <w:szCs w:val="21"/>
                      <w:lang w:eastAsia="zh-CN"/>
                    </w:rPr>
                    <w:t>个</w:t>
                  </w:r>
                  <w:r>
                    <w:rPr>
                      <w:rFonts w:hint="default" w:ascii="Times New Roman" w:hAnsi="Times New Roman" w:eastAsia="宋体" w:cs="Times New Roman"/>
                      <w:color w:val="auto"/>
                      <w:kern w:val="2"/>
                      <w:szCs w:val="21"/>
                    </w:rPr>
                    <w:t>，</w:t>
                  </w:r>
                  <w:r>
                    <w:rPr>
                      <w:rFonts w:hint="eastAsia" w:ascii="Times New Roman" w:hAnsi="Times New Roman" w:eastAsia="宋体" w:cs="Times New Roman"/>
                      <w:color w:val="auto"/>
                      <w:kern w:val="2"/>
                      <w:szCs w:val="21"/>
                      <w:lang w:val="en-US" w:eastAsia="zh-CN"/>
                    </w:rPr>
                    <w:t>10</w:t>
                  </w:r>
                  <w:r>
                    <w:rPr>
                      <w:rFonts w:hint="default" w:ascii="Times New Roman" w:hAnsi="Times New Roman" w:eastAsia="宋体" w:cs="Times New Roman"/>
                      <w:color w:val="auto"/>
                      <w:kern w:val="2"/>
                      <w:szCs w:val="21"/>
                    </w:rPr>
                    <w:t>m</w:t>
                  </w:r>
                  <w:r>
                    <w:rPr>
                      <w:rFonts w:hint="default" w:ascii="Times New Roman" w:hAnsi="Times New Roman" w:eastAsia="宋体" w:cs="Times New Roman"/>
                      <w:color w:val="auto"/>
                      <w:kern w:val="2"/>
                      <w:szCs w:val="21"/>
                      <w:vertAlign w:val="superscript"/>
                    </w:rPr>
                    <w:t>3</w:t>
                  </w:r>
                  <w:r>
                    <w:rPr>
                      <w:rFonts w:hint="default" w:ascii="Times New Roman" w:hAnsi="Times New Roman" w:eastAsia="宋体" w:cs="Times New Roman"/>
                      <w:color w:val="auto"/>
                      <w:kern w:val="2"/>
                      <w:szCs w:val="21"/>
                    </w:rPr>
                    <w:t>/个）处理后，回用于施工场地洒水降尘等，不外排。</w:t>
                  </w:r>
                </w:p>
                <w:p w14:paraId="43020FAD">
                  <w:pPr>
                    <w:adjustRightInd w:val="0"/>
                    <w:jc w:val="left"/>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基坑排水：经沉淀池（</w:t>
                  </w:r>
                  <w:r>
                    <w:rPr>
                      <w:rFonts w:hint="eastAsia" w:ascii="Times New Roman" w:hAnsi="Times New Roman" w:eastAsia="宋体" w:cs="Times New Roman"/>
                      <w:color w:val="auto"/>
                      <w:kern w:val="2"/>
                      <w:sz w:val="18"/>
                      <w:szCs w:val="18"/>
                      <w:highlight w:val="none"/>
                      <w:vertAlign w:val="baseline"/>
                      <w:lang w:val="en-US" w:eastAsia="zh-CN"/>
                    </w:rPr>
                    <w:t>5</w:t>
                  </w:r>
                  <w:r>
                    <w:rPr>
                      <w:rFonts w:hint="default" w:ascii="Times New Roman" w:hAnsi="Times New Roman" w:eastAsia="宋体" w:cs="Times New Roman"/>
                      <w:color w:val="auto"/>
                      <w:kern w:val="2"/>
                      <w:szCs w:val="21"/>
                    </w:rPr>
                    <w:t>个，15m</w:t>
                  </w:r>
                  <w:r>
                    <w:rPr>
                      <w:rFonts w:hint="default" w:ascii="Times New Roman" w:hAnsi="Times New Roman" w:eastAsia="宋体" w:cs="Times New Roman"/>
                      <w:color w:val="auto"/>
                      <w:kern w:val="2"/>
                      <w:szCs w:val="21"/>
                      <w:vertAlign w:val="superscript"/>
                    </w:rPr>
                    <w:t>3</w:t>
                  </w:r>
                  <w:r>
                    <w:rPr>
                      <w:rFonts w:hint="default" w:ascii="Times New Roman" w:hAnsi="Times New Roman" w:eastAsia="宋体" w:cs="Times New Roman"/>
                      <w:color w:val="auto"/>
                      <w:kern w:val="2"/>
                      <w:szCs w:val="21"/>
                    </w:rPr>
                    <w:t>/个）处理后，回用于施工场地洒水降尘等，不外排。</w:t>
                  </w:r>
                </w:p>
              </w:tc>
              <w:tc>
                <w:tcPr>
                  <w:tcW w:w="626" w:type="pct"/>
                  <w:tcBorders>
                    <w:tl2br w:val="nil"/>
                    <w:tr2bl w:val="nil"/>
                  </w:tcBorders>
                  <w:noWrap w:val="0"/>
                  <w:vAlign w:val="center"/>
                </w:tcPr>
                <w:p w14:paraId="08A6A446">
                  <w:pPr>
                    <w:adjustRightInd w:val="0"/>
                    <w:jc w:val="center"/>
                    <w:rPr>
                      <w:rFonts w:hint="eastAsia" w:ascii="Times New Roman" w:hAnsi="Times New Roman" w:eastAsia="宋体" w:cs="Times New Roman"/>
                      <w:color w:val="auto"/>
                      <w:kern w:val="2"/>
                      <w:szCs w:val="21"/>
                      <w:lang w:val="en-US" w:eastAsia="zh-CN"/>
                    </w:rPr>
                  </w:pPr>
                  <w:r>
                    <w:rPr>
                      <w:rFonts w:hint="default" w:ascii="Times New Roman" w:hAnsi="Times New Roman" w:eastAsia="宋体" w:cs="Times New Roman"/>
                      <w:color w:val="auto"/>
                      <w:kern w:val="2"/>
                      <w:szCs w:val="21"/>
                    </w:rPr>
                    <w:t>1</w:t>
                  </w:r>
                  <w:r>
                    <w:rPr>
                      <w:rFonts w:hint="eastAsia" w:ascii="Times New Roman" w:hAnsi="Times New Roman" w:eastAsia="宋体" w:cs="Times New Roman"/>
                      <w:color w:val="auto"/>
                      <w:kern w:val="2"/>
                      <w:szCs w:val="21"/>
                      <w:lang w:val="en-US" w:eastAsia="zh-CN"/>
                    </w:rPr>
                    <w:t>5</w:t>
                  </w:r>
                </w:p>
              </w:tc>
              <w:tc>
                <w:tcPr>
                  <w:tcW w:w="427" w:type="pct"/>
                  <w:tcBorders>
                    <w:tl2br w:val="nil"/>
                    <w:tr2bl w:val="nil"/>
                  </w:tcBorders>
                  <w:noWrap w:val="0"/>
                  <w:vAlign w:val="center"/>
                </w:tcPr>
                <w:p w14:paraId="6FCEF5A7">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2952DE5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73" w:hRule="atLeast"/>
                <w:jc w:val="center"/>
              </w:trPr>
              <w:tc>
                <w:tcPr>
                  <w:tcW w:w="282" w:type="pct"/>
                  <w:vMerge w:val="continue"/>
                  <w:tcBorders>
                    <w:tl2br w:val="nil"/>
                    <w:tr2bl w:val="nil"/>
                  </w:tcBorders>
                  <w:noWrap w:val="0"/>
                  <w:vAlign w:val="center"/>
                </w:tcPr>
                <w:p w14:paraId="7194EB23">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0CEFE100">
                  <w:pPr>
                    <w:adjustRightInd w:val="0"/>
                    <w:jc w:val="center"/>
                    <w:rPr>
                      <w:rFonts w:hint="default" w:ascii="Times New Roman" w:hAnsi="Times New Roman" w:eastAsia="宋体" w:cs="Times New Roman"/>
                      <w:color w:val="auto"/>
                      <w:kern w:val="2"/>
                      <w:szCs w:val="21"/>
                    </w:rPr>
                  </w:pPr>
                </w:p>
              </w:tc>
              <w:tc>
                <w:tcPr>
                  <w:tcW w:w="752" w:type="pct"/>
                  <w:tcBorders>
                    <w:tl2br w:val="nil"/>
                    <w:tr2bl w:val="nil"/>
                  </w:tcBorders>
                  <w:noWrap w:val="0"/>
                  <w:vAlign w:val="center"/>
                </w:tcPr>
                <w:p w14:paraId="787B60D4">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生活污水</w:t>
                  </w:r>
                </w:p>
              </w:tc>
              <w:tc>
                <w:tcPr>
                  <w:tcW w:w="2541" w:type="pct"/>
                  <w:gridSpan w:val="2"/>
                  <w:tcBorders>
                    <w:tl2br w:val="nil"/>
                    <w:tr2bl w:val="nil"/>
                  </w:tcBorders>
                  <w:noWrap w:val="0"/>
                  <w:vAlign w:val="center"/>
                </w:tcPr>
                <w:p w14:paraId="0260DCCD">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szCs w:val="21"/>
                    </w:rPr>
                    <w:t>租用当地居民房，生活污水依托现有污水处理设施处理。</w:t>
                  </w:r>
                </w:p>
              </w:tc>
              <w:tc>
                <w:tcPr>
                  <w:tcW w:w="626" w:type="pct"/>
                  <w:tcBorders>
                    <w:tl2br w:val="nil"/>
                    <w:tr2bl w:val="nil"/>
                  </w:tcBorders>
                  <w:noWrap w:val="0"/>
                  <w:vAlign w:val="center"/>
                </w:tcPr>
                <w:p w14:paraId="02AE5B87">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0</w:t>
                  </w:r>
                </w:p>
              </w:tc>
              <w:tc>
                <w:tcPr>
                  <w:tcW w:w="427" w:type="pct"/>
                  <w:tcBorders>
                    <w:tl2br w:val="nil"/>
                    <w:tr2bl w:val="nil"/>
                  </w:tcBorders>
                  <w:noWrap w:val="0"/>
                  <w:vAlign w:val="center"/>
                </w:tcPr>
                <w:p w14:paraId="2E2A4F32">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513D9A3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80" w:hRule="atLeast"/>
                <w:jc w:val="center"/>
              </w:trPr>
              <w:tc>
                <w:tcPr>
                  <w:tcW w:w="282" w:type="pct"/>
                  <w:vMerge w:val="continue"/>
                  <w:tcBorders>
                    <w:tl2br w:val="nil"/>
                    <w:tr2bl w:val="nil"/>
                  </w:tcBorders>
                  <w:noWrap w:val="0"/>
                  <w:vAlign w:val="center"/>
                </w:tcPr>
                <w:p w14:paraId="13888D59">
                  <w:pPr>
                    <w:adjustRightInd w:val="0"/>
                    <w:jc w:val="center"/>
                    <w:rPr>
                      <w:rFonts w:hint="default" w:ascii="Times New Roman" w:hAnsi="Times New Roman" w:eastAsia="宋体" w:cs="Times New Roman"/>
                      <w:color w:val="auto"/>
                      <w:kern w:val="2"/>
                      <w:szCs w:val="21"/>
                    </w:rPr>
                  </w:pPr>
                </w:p>
              </w:tc>
              <w:tc>
                <w:tcPr>
                  <w:tcW w:w="370" w:type="pct"/>
                  <w:tcBorders>
                    <w:tl2br w:val="nil"/>
                    <w:tr2bl w:val="nil"/>
                  </w:tcBorders>
                  <w:noWrap w:val="0"/>
                  <w:vAlign w:val="center"/>
                </w:tcPr>
                <w:p w14:paraId="3B508D02">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废气</w:t>
                  </w:r>
                </w:p>
              </w:tc>
              <w:tc>
                <w:tcPr>
                  <w:tcW w:w="752" w:type="pct"/>
                  <w:tcBorders>
                    <w:tl2br w:val="nil"/>
                    <w:tr2bl w:val="nil"/>
                  </w:tcBorders>
                  <w:noWrap w:val="0"/>
                  <w:vAlign w:val="center"/>
                </w:tcPr>
                <w:p w14:paraId="54D862C2">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扬尘</w:t>
                  </w:r>
                </w:p>
              </w:tc>
              <w:tc>
                <w:tcPr>
                  <w:tcW w:w="2541" w:type="pct"/>
                  <w:gridSpan w:val="2"/>
                  <w:tcBorders>
                    <w:tl2br w:val="nil"/>
                    <w:tr2bl w:val="nil"/>
                  </w:tcBorders>
                  <w:noWrap w:val="0"/>
                  <w:vAlign w:val="center"/>
                </w:tcPr>
                <w:p w14:paraId="205D9524">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围挡施工，洒水降尘装备；设置洗车平台；设置施工仓库存放施工物料，易洒落散装物料临时存放采取加盖篷布；加强施工车辆和施工机械养护，定期检修。</w:t>
                  </w:r>
                </w:p>
              </w:tc>
              <w:tc>
                <w:tcPr>
                  <w:tcW w:w="626" w:type="pct"/>
                  <w:tcBorders>
                    <w:tl2br w:val="nil"/>
                    <w:tr2bl w:val="nil"/>
                  </w:tcBorders>
                  <w:noWrap w:val="0"/>
                  <w:vAlign w:val="center"/>
                </w:tcPr>
                <w:p w14:paraId="76A4A655">
                  <w:pPr>
                    <w:adjustRightInd w:val="0"/>
                    <w:jc w:val="center"/>
                    <w:rPr>
                      <w:rFonts w:hint="eastAsia" w:ascii="Times New Roman" w:hAnsi="Times New Roman" w:eastAsia="宋体" w:cs="Times New Roman"/>
                      <w:color w:val="auto"/>
                      <w:kern w:val="2"/>
                      <w:szCs w:val="21"/>
                      <w:lang w:val="en-US" w:eastAsia="zh-CN"/>
                    </w:rPr>
                  </w:pPr>
                  <w:r>
                    <w:rPr>
                      <w:rFonts w:hint="eastAsia" w:ascii="Times New Roman" w:hAnsi="Times New Roman" w:eastAsia="宋体" w:cs="Times New Roman"/>
                      <w:color w:val="auto"/>
                      <w:kern w:val="2"/>
                      <w:szCs w:val="21"/>
                      <w:lang w:val="en-US" w:eastAsia="zh-CN"/>
                    </w:rPr>
                    <w:t>5</w:t>
                  </w:r>
                </w:p>
              </w:tc>
              <w:tc>
                <w:tcPr>
                  <w:tcW w:w="427" w:type="pct"/>
                  <w:tcBorders>
                    <w:tl2br w:val="nil"/>
                    <w:tr2bl w:val="nil"/>
                  </w:tcBorders>
                  <w:noWrap w:val="0"/>
                  <w:vAlign w:val="center"/>
                </w:tcPr>
                <w:p w14:paraId="12FC85C4">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5AAF1A7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89" w:hRule="atLeast"/>
                <w:jc w:val="center"/>
              </w:trPr>
              <w:tc>
                <w:tcPr>
                  <w:tcW w:w="282" w:type="pct"/>
                  <w:vMerge w:val="continue"/>
                  <w:tcBorders>
                    <w:tl2br w:val="nil"/>
                    <w:tr2bl w:val="nil"/>
                  </w:tcBorders>
                  <w:noWrap w:val="0"/>
                  <w:vAlign w:val="center"/>
                </w:tcPr>
                <w:p w14:paraId="46A8C246">
                  <w:pPr>
                    <w:adjustRightInd w:val="0"/>
                    <w:jc w:val="center"/>
                    <w:rPr>
                      <w:rFonts w:hint="default" w:ascii="Times New Roman" w:hAnsi="Times New Roman" w:eastAsia="宋体" w:cs="Times New Roman"/>
                      <w:color w:val="auto"/>
                      <w:kern w:val="2"/>
                      <w:szCs w:val="21"/>
                    </w:rPr>
                  </w:pPr>
                </w:p>
              </w:tc>
              <w:tc>
                <w:tcPr>
                  <w:tcW w:w="370" w:type="pct"/>
                  <w:tcBorders>
                    <w:tl2br w:val="nil"/>
                    <w:tr2bl w:val="nil"/>
                  </w:tcBorders>
                  <w:noWrap w:val="0"/>
                  <w:vAlign w:val="center"/>
                </w:tcPr>
                <w:p w14:paraId="7222D574">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噪声</w:t>
                  </w:r>
                </w:p>
              </w:tc>
              <w:tc>
                <w:tcPr>
                  <w:tcW w:w="752" w:type="pct"/>
                  <w:tcBorders>
                    <w:tl2br w:val="nil"/>
                    <w:tr2bl w:val="nil"/>
                  </w:tcBorders>
                  <w:noWrap w:val="0"/>
                  <w:vAlign w:val="center"/>
                </w:tcPr>
                <w:p w14:paraId="43BF9C61">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机械设备噪声</w:t>
                  </w:r>
                </w:p>
              </w:tc>
              <w:tc>
                <w:tcPr>
                  <w:tcW w:w="2541" w:type="pct"/>
                  <w:gridSpan w:val="2"/>
                  <w:tcBorders>
                    <w:tl2br w:val="nil"/>
                    <w:tr2bl w:val="nil"/>
                  </w:tcBorders>
                  <w:noWrap w:val="0"/>
                  <w:vAlign w:val="center"/>
                </w:tcPr>
                <w:p w14:paraId="19B7CF2D">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选用低噪声设备、合理进行施工平面布置；合理安排施工作业时间；加强车辆管理。</w:t>
                  </w:r>
                </w:p>
              </w:tc>
              <w:tc>
                <w:tcPr>
                  <w:tcW w:w="626" w:type="pct"/>
                  <w:tcBorders>
                    <w:tl2br w:val="nil"/>
                    <w:tr2bl w:val="nil"/>
                  </w:tcBorders>
                  <w:noWrap w:val="0"/>
                  <w:vAlign w:val="center"/>
                </w:tcPr>
                <w:p w14:paraId="72071FC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3</w:t>
                  </w:r>
                </w:p>
              </w:tc>
              <w:tc>
                <w:tcPr>
                  <w:tcW w:w="427" w:type="pct"/>
                  <w:tcBorders>
                    <w:tl2br w:val="nil"/>
                    <w:tr2bl w:val="nil"/>
                  </w:tcBorders>
                  <w:noWrap w:val="0"/>
                  <w:vAlign w:val="center"/>
                </w:tcPr>
                <w:p w14:paraId="505A253F">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59C077E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282" w:type="pct"/>
                  <w:vMerge w:val="continue"/>
                  <w:tcBorders>
                    <w:tl2br w:val="nil"/>
                    <w:tr2bl w:val="nil"/>
                  </w:tcBorders>
                  <w:noWrap w:val="0"/>
                  <w:vAlign w:val="center"/>
                </w:tcPr>
                <w:p w14:paraId="46D75332">
                  <w:pPr>
                    <w:adjustRightInd w:val="0"/>
                    <w:jc w:val="center"/>
                    <w:rPr>
                      <w:rFonts w:hint="default" w:ascii="Times New Roman" w:hAnsi="Times New Roman" w:eastAsia="宋体" w:cs="Times New Roman"/>
                      <w:color w:val="auto"/>
                      <w:kern w:val="2"/>
                      <w:szCs w:val="21"/>
                    </w:rPr>
                  </w:pPr>
                </w:p>
              </w:tc>
              <w:tc>
                <w:tcPr>
                  <w:tcW w:w="370" w:type="pct"/>
                  <w:vMerge w:val="restart"/>
                  <w:tcBorders>
                    <w:tl2br w:val="nil"/>
                    <w:tr2bl w:val="nil"/>
                  </w:tcBorders>
                  <w:noWrap w:val="0"/>
                  <w:vAlign w:val="center"/>
                </w:tcPr>
                <w:p w14:paraId="41A6F68D">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固废</w:t>
                  </w:r>
                </w:p>
              </w:tc>
              <w:tc>
                <w:tcPr>
                  <w:tcW w:w="752" w:type="pct"/>
                  <w:tcBorders>
                    <w:tl2br w:val="nil"/>
                    <w:tr2bl w:val="nil"/>
                  </w:tcBorders>
                  <w:noWrap w:val="0"/>
                  <w:vAlign w:val="center"/>
                </w:tcPr>
                <w:p w14:paraId="731F3D9D">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生活垃圾</w:t>
                  </w:r>
                </w:p>
              </w:tc>
              <w:tc>
                <w:tcPr>
                  <w:tcW w:w="2541" w:type="pct"/>
                  <w:gridSpan w:val="2"/>
                  <w:tcBorders>
                    <w:tl2br w:val="nil"/>
                    <w:tr2bl w:val="nil"/>
                  </w:tcBorders>
                  <w:noWrap w:val="0"/>
                  <w:vAlign w:val="center"/>
                </w:tcPr>
                <w:p w14:paraId="661FFE61">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垃圾桶收集后交由当地环卫部门清运处置。</w:t>
                  </w:r>
                </w:p>
              </w:tc>
              <w:tc>
                <w:tcPr>
                  <w:tcW w:w="626" w:type="pct"/>
                  <w:tcBorders>
                    <w:tl2br w:val="nil"/>
                    <w:tr2bl w:val="nil"/>
                  </w:tcBorders>
                  <w:noWrap w:val="0"/>
                  <w:vAlign w:val="center"/>
                </w:tcPr>
                <w:p w14:paraId="083E1FDB">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2</w:t>
                  </w:r>
                </w:p>
              </w:tc>
              <w:tc>
                <w:tcPr>
                  <w:tcW w:w="427" w:type="pct"/>
                  <w:tcBorders>
                    <w:tl2br w:val="nil"/>
                    <w:tr2bl w:val="nil"/>
                  </w:tcBorders>
                  <w:noWrap w:val="0"/>
                  <w:vAlign w:val="center"/>
                </w:tcPr>
                <w:p w14:paraId="7D87F9A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5F9D40E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2" w:hRule="atLeast"/>
                <w:jc w:val="center"/>
              </w:trPr>
              <w:tc>
                <w:tcPr>
                  <w:tcW w:w="282" w:type="pct"/>
                  <w:vMerge w:val="continue"/>
                  <w:tcBorders>
                    <w:tl2br w:val="nil"/>
                    <w:tr2bl w:val="nil"/>
                  </w:tcBorders>
                  <w:noWrap w:val="0"/>
                  <w:vAlign w:val="center"/>
                </w:tcPr>
                <w:p w14:paraId="3EEC5E69">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3448A828">
                  <w:pPr>
                    <w:adjustRightInd w:val="0"/>
                    <w:jc w:val="center"/>
                    <w:rPr>
                      <w:rFonts w:hint="default" w:ascii="Times New Roman" w:hAnsi="Times New Roman" w:eastAsia="宋体" w:cs="Times New Roman"/>
                      <w:color w:val="auto"/>
                      <w:kern w:val="2"/>
                      <w:szCs w:val="21"/>
                    </w:rPr>
                  </w:pPr>
                </w:p>
              </w:tc>
              <w:tc>
                <w:tcPr>
                  <w:tcW w:w="752" w:type="pct"/>
                  <w:tcBorders>
                    <w:tl2br w:val="nil"/>
                    <w:tr2bl w:val="nil"/>
                  </w:tcBorders>
                  <w:noWrap w:val="0"/>
                  <w:vAlign w:val="center"/>
                </w:tcPr>
                <w:p w14:paraId="342B494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建筑垃圾</w:t>
                  </w:r>
                </w:p>
              </w:tc>
              <w:tc>
                <w:tcPr>
                  <w:tcW w:w="2541" w:type="pct"/>
                  <w:gridSpan w:val="2"/>
                  <w:tcBorders>
                    <w:tl2br w:val="nil"/>
                    <w:tr2bl w:val="nil"/>
                  </w:tcBorders>
                  <w:noWrap w:val="0"/>
                  <w:vAlign w:val="center"/>
                </w:tcPr>
                <w:p w14:paraId="4DDDF71C">
                  <w:pPr>
                    <w:adjustRightInd w:val="0"/>
                    <w:jc w:val="center"/>
                    <w:rPr>
                      <w:rFonts w:hint="default" w:ascii="Times New Roman" w:hAnsi="Times New Roman" w:eastAsia="宋体" w:cs="Times New Roman"/>
                      <w:color w:val="auto"/>
                      <w:kern w:val="2"/>
                      <w:szCs w:val="21"/>
                      <w:lang w:val="en-US"/>
                    </w:rPr>
                  </w:pPr>
                  <w:r>
                    <w:rPr>
                      <w:rFonts w:hint="default" w:ascii="Times New Roman" w:hAnsi="Times New Roman" w:eastAsia="宋体" w:cs="Times New Roman"/>
                      <w:color w:val="auto"/>
                      <w:kern w:val="2"/>
                      <w:szCs w:val="21"/>
                    </w:rPr>
                    <w:t>可利用部分用于堤岸的土石回填堆坡造型，不能利用的</w:t>
                  </w:r>
                  <w:r>
                    <w:rPr>
                      <w:rFonts w:hint="default" w:ascii="Times New Roman" w:hAnsi="Times New Roman" w:eastAsia="宋体" w:cs="Times New Roman"/>
                      <w:color w:val="auto"/>
                      <w:lang w:val="en-US" w:eastAsia="zh-CN"/>
                    </w:rPr>
                    <w:t>交由有资质单位进行</w:t>
                  </w:r>
                  <w:r>
                    <w:rPr>
                      <w:rFonts w:hint="default" w:ascii="Times New Roman" w:hAnsi="Times New Roman" w:eastAsia="宋体" w:cs="Times New Roman"/>
                      <w:color w:val="auto"/>
                      <w:kern w:val="2"/>
                      <w:szCs w:val="21"/>
                      <w:lang w:val="en-US" w:eastAsia="zh-CN"/>
                    </w:rPr>
                    <w:t>规范处置。</w:t>
                  </w:r>
                </w:p>
              </w:tc>
              <w:tc>
                <w:tcPr>
                  <w:tcW w:w="626" w:type="pct"/>
                  <w:tcBorders>
                    <w:tl2br w:val="nil"/>
                    <w:tr2bl w:val="nil"/>
                  </w:tcBorders>
                  <w:noWrap w:val="0"/>
                  <w:vAlign w:val="center"/>
                </w:tcPr>
                <w:p w14:paraId="53D1E91E">
                  <w:pPr>
                    <w:adjustRightInd w:val="0"/>
                    <w:jc w:val="center"/>
                    <w:rPr>
                      <w:rFonts w:hint="eastAsia" w:ascii="Times New Roman" w:hAnsi="Times New Roman" w:eastAsia="宋体" w:cs="Times New Roman"/>
                      <w:color w:val="auto"/>
                      <w:kern w:val="2"/>
                      <w:szCs w:val="21"/>
                      <w:lang w:eastAsia="zh-CN"/>
                    </w:rPr>
                  </w:pPr>
                  <w:r>
                    <w:rPr>
                      <w:rFonts w:hint="eastAsia" w:ascii="Times New Roman" w:hAnsi="Times New Roman" w:eastAsia="宋体" w:cs="Times New Roman"/>
                      <w:color w:val="auto"/>
                      <w:kern w:val="2"/>
                      <w:szCs w:val="21"/>
                      <w:lang w:val="en-US" w:eastAsia="zh-CN"/>
                    </w:rPr>
                    <w:t>3</w:t>
                  </w:r>
                </w:p>
              </w:tc>
              <w:tc>
                <w:tcPr>
                  <w:tcW w:w="427" w:type="pct"/>
                  <w:tcBorders>
                    <w:tl2br w:val="nil"/>
                    <w:tr2bl w:val="nil"/>
                  </w:tcBorders>
                  <w:noWrap w:val="0"/>
                  <w:vAlign w:val="center"/>
                </w:tcPr>
                <w:p w14:paraId="0B90DE67">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682FB95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2" w:hRule="atLeast"/>
                <w:jc w:val="center"/>
              </w:trPr>
              <w:tc>
                <w:tcPr>
                  <w:tcW w:w="282" w:type="pct"/>
                  <w:vMerge w:val="continue"/>
                  <w:tcBorders>
                    <w:tl2br w:val="nil"/>
                    <w:tr2bl w:val="nil"/>
                  </w:tcBorders>
                  <w:noWrap w:val="0"/>
                  <w:vAlign w:val="center"/>
                </w:tcPr>
                <w:p w14:paraId="42C18FF4">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5B2F78E1">
                  <w:pPr>
                    <w:adjustRightInd w:val="0"/>
                    <w:jc w:val="center"/>
                    <w:rPr>
                      <w:rFonts w:hint="default" w:ascii="Times New Roman" w:hAnsi="Times New Roman" w:eastAsia="宋体" w:cs="Times New Roman"/>
                      <w:color w:val="auto"/>
                      <w:kern w:val="2"/>
                      <w:szCs w:val="21"/>
                    </w:rPr>
                  </w:pPr>
                </w:p>
              </w:tc>
              <w:tc>
                <w:tcPr>
                  <w:tcW w:w="752" w:type="pct"/>
                  <w:tcBorders>
                    <w:tl2br w:val="nil"/>
                    <w:tr2bl w:val="nil"/>
                  </w:tcBorders>
                  <w:noWrap w:val="0"/>
                  <w:vAlign w:val="center"/>
                </w:tcPr>
                <w:p w14:paraId="4CE68AA5">
                  <w:pPr>
                    <w:adjustRightInd w:val="0"/>
                    <w:jc w:val="center"/>
                    <w:rPr>
                      <w:rFonts w:hint="default" w:ascii="Times New Roman" w:hAnsi="Times New Roman" w:eastAsia="宋体" w:cs="Times New Roman"/>
                      <w:color w:val="auto"/>
                      <w:kern w:val="2"/>
                      <w:szCs w:val="21"/>
                      <w:lang w:val="en-US" w:eastAsia="zh-CN"/>
                    </w:rPr>
                  </w:pPr>
                  <w:r>
                    <w:rPr>
                      <w:rFonts w:hint="default" w:ascii="Times New Roman" w:hAnsi="Times New Roman" w:eastAsia="宋体" w:cs="Times New Roman"/>
                      <w:color w:val="auto"/>
                      <w:kern w:val="2"/>
                      <w:szCs w:val="21"/>
                      <w:lang w:val="en-US" w:eastAsia="zh-CN"/>
                    </w:rPr>
                    <w:t>沉淀池沉渣</w:t>
                  </w:r>
                </w:p>
              </w:tc>
              <w:tc>
                <w:tcPr>
                  <w:tcW w:w="2541" w:type="pct"/>
                  <w:gridSpan w:val="2"/>
                  <w:tcBorders>
                    <w:tl2br w:val="nil"/>
                    <w:tr2bl w:val="nil"/>
                  </w:tcBorders>
                  <w:noWrap w:val="0"/>
                  <w:vAlign w:val="center"/>
                </w:tcPr>
                <w:p w14:paraId="66702B67">
                  <w:pPr>
                    <w:adjustRightInd w:val="0"/>
                    <w:jc w:val="center"/>
                    <w:rPr>
                      <w:rFonts w:hint="default" w:ascii="Times New Roman" w:hAnsi="Times New Roman" w:eastAsia="宋体" w:cs="Times New Roman"/>
                      <w:color w:val="auto"/>
                      <w:kern w:val="2"/>
                      <w:szCs w:val="21"/>
                      <w:lang w:val="en-US" w:eastAsia="zh-CN"/>
                    </w:rPr>
                  </w:pPr>
                  <w:r>
                    <w:rPr>
                      <w:rFonts w:hint="default" w:ascii="Times New Roman" w:hAnsi="Times New Roman" w:eastAsia="宋体" w:cs="Times New Roman"/>
                      <w:color w:val="auto"/>
                      <w:kern w:val="2"/>
                      <w:szCs w:val="21"/>
                      <w:lang w:val="en-US" w:eastAsia="zh-CN"/>
                    </w:rPr>
                    <w:t>与建筑垃圾一起交由有资质单位规范处置</w:t>
                  </w:r>
                </w:p>
              </w:tc>
              <w:tc>
                <w:tcPr>
                  <w:tcW w:w="626" w:type="pct"/>
                  <w:tcBorders>
                    <w:tl2br w:val="nil"/>
                    <w:tr2bl w:val="nil"/>
                  </w:tcBorders>
                  <w:noWrap w:val="0"/>
                  <w:vAlign w:val="center"/>
                </w:tcPr>
                <w:p w14:paraId="4EF31F23">
                  <w:pPr>
                    <w:adjustRightInd w:val="0"/>
                    <w:jc w:val="center"/>
                    <w:rPr>
                      <w:rFonts w:hint="default" w:ascii="Times New Roman" w:hAnsi="Times New Roman" w:eastAsia="宋体" w:cs="Times New Roman"/>
                      <w:color w:val="auto"/>
                      <w:kern w:val="2"/>
                      <w:szCs w:val="21"/>
                      <w:lang w:val="en-US" w:eastAsia="zh-CN"/>
                    </w:rPr>
                  </w:pPr>
                  <w:r>
                    <w:rPr>
                      <w:rFonts w:hint="default" w:ascii="Times New Roman" w:hAnsi="Times New Roman" w:eastAsia="宋体" w:cs="Times New Roman"/>
                      <w:color w:val="auto"/>
                      <w:kern w:val="2"/>
                      <w:szCs w:val="21"/>
                      <w:lang w:val="en-US" w:eastAsia="zh-CN"/>
                    </w:rPr>
                    <w:t>1.5</w:t>
                  </w:r>
                </w:p>
              </w:tc>
              <w:tc>
                <w:tcPr>
                  <w:tcW w:w="427" w:type="pct"/>
                  <w:tcBorders>
                    <w:tl2br w:val="nil"/>
                    <w:tr2bl w:val="nil"/>
                  </w:tcBorders>
                  <w:noWrap w:val="0"/>
                  <w:vAlign w:val="center"/>
                </w:tcPr>
                <w:p w14:paraId="4C2143ED">
                  <w:pPr>
                    <w:adjustRightInd w:val="0"/>
                    <w:jc w:val="center"/>
                    <w:rPr>
                      <w:rFonts w:hint="default" w:ascii="Times New Roman" w:hAnsi="Times New Roman" w:eastAsia="宋体" w:cs="Times New Roman"/>
                      <w:color w:val="auto"/>
                      <w:kern w:val="2"/>
                      <w:szCs w:val="21"/>
                      <w:lang w:val="en-US" w:eastAsia="zh-CN"/>
                    </w:rPr>
                  </w:pPr>
                  <w:r>
                    <w:rPr>
                      <w:rFonts w:hint="default" w:ascii="Times New Roman" w:hAnsi="Times New Roman" w:eastAsia="宋体" w:cs="Times New Roman"/>
                      <w:color w:val="auto"/>
                      <w:kern w:val="2"/>
                      <w:szCs w:val="21"/>
                      <w:lang w:val="en-US" w:eastAsia="zh-CN"/>
                    </w:rPr>
                    <w:t>/</w:t>
                  </w:r>
                </w:p>
              </w:tc>
            </w:tr>
            <w:tr w14:paraId="720D2A1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72" w:hRule="atLeast"/>
                <w:jc w:val="center"/>
              </w:trPr>
              <w:tc>
                <w:tcPr>
                  <w:tcW w:w="282" w:type="pct"/>
                  <w:vMerge w:val="continue"/>
                  <w:tcBorders>
                    <w:tl2br w:val="nil"/>
                    <w:tr2bl w:val="nil"/>
                  </w:tcBorders>
                  <w:noWrap w:val="0"/>
                  <w:vAlign w:val="center"/>
                </w:tcPr>
                <w:p w14:paraId="0C4CA89C">
                  <w:pPr>
                    <w:adjustRightInd w:val="0"/>
                    <w:jc w:val="center"/>
                    <w:rPr>
                      <w:rFonts w:hint="default" w:ascii="Times New Roman" w:hAnsi="Times New Roman" w:eastAsia="宋体" w:cs="Times New Roman"/>
                      <w:color w:val="auto"/>
                      <w:kern w:val="2"/>
                      <w:szCs w:val="21"/>
                    </w:rPr>
                  </w:pPr>
                </w:p>
              </w:tc>
              <w:tc>
                <w:tcPr>
                  <w:tcW w:w="370" w:type="pct"/>
                  <w:vMerge w:val="restart"/>
                  <w:tcBorders>
                    <w:tl2br w:val="nil"/>
                    <w:tr2bl w:val="nil"/>
                  </w:tcBorders>
                  <w:noWrap w:val="0"/>
                  <w:vAlign w:val="center"/>
                </w:tcPr>
                <w:p w14:paraId="6A33EDE7">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生态环境保护</w:t>
                  </w:r>
                </w:p>
              </w:tc>
              <w:tc>
                <w:tcPr>
                  <w:tcW w:w="752" w:type="pct"/>
                  <w:tcBorders>
                    <w:tl2br w:val="nil"/>
                    <w:tr2bl w:val="nil"/>
                  </w:tcBorders>
                  <w:noWrap w:val="0"/>
                  <w:vAlign w:val="center"/>
                </w:tcPr>
                <w:p w14:paraId="053F24F2">
                  <w:pPr>
                    <w:adjustRightInd w:val="0"/>
                    <w:jc w:val="center"/>
                    <w:rPr>
                      <w:rFonts w:hint="default" w:ascii="Times New Roman" w:hAnsi="Times New Roman" w:eastAsia="宋体" w:cs="Times New Roman"/>
                      <w:color w:val="FF0000"/>
                      <w:kern w:val="2"/>
                      <w:szCs w:val="21"/>
                    </w:rPr>
                  </w:pPr>
                  <w:r>
                    <w:rPr>
                      <w:rFonts w:hint="default" w:ascii="Times New Roman" w:hAnsi="Times New Roman" w:eastAsia="宋体" w:cs="Times New Roman"/>
                      <w:color w:val="FF0000"/>
                      <w:kern w:val="2"/>
                      <w:szCs w:val="21"/>
                    </w:rPr>
                    <w:t>工程占地、临时表土堆场等水保措施</w:t>
                  </w:r>
                </w:p>
              </w:tc>
              <w:tc>
                <w:tcPr>
                  <w:tcW w:w="2541" w:type="pct"/>
                  <w:gridSpan w:val="2"/>
                  <w:tcBorders>
                    <w:tl2br w:val="nil"/>
                    <w:tr2bl w:val="nil"/>
                  </w:tcBorders>
                  <w:noWrap w:val="0"/>
                  <w:vAlign w:val="center"/>
                </w:tcPr>
                <w:p w14:paraId="6AC8880A">
                  <w:pPr>
                    <w:adjustRightInd w:val="0"/>
                    <w:jc w:val="center"/>
                    <w:rPr>
                      <w:rFonts w:hint="default" w:ascii="Times New Roman" w:hAnsi="Times New Roman" w:eastAsia="宋体" w:cs="Times New Roman"/>
                      <w:color w:val="FF0000"/>
                      <w:kern w:val="2"/>
                      <w:szCs w:val="21"/>
                    </w:rPr>
                  </w:pPr>
                  <w:r>
                    <w:rPr>
                      <w:rFonts w:hint="default" w:ascii="Times New Roman" w:hAnsi="Times New Roman" w:eastAsia="宋体" w:cs="Times New Roman"/>
                      <w:color w:val="FF0000"/>
                      <w:kern w:val="2"/>
                      <w:szCs w:val="21"/>
                    </w:rPr>
                    <w:t>表土剥离、回覆，设置临时排水沟、</w:t>
                  </w:r>
                  <w:r>
                    <w:rPr>
                      <w:rFonts w:hint="eastAsia" w:ascii="Times New Roman" w:hAnsi="Times New Roman" w:eastAsia="宋体" w:cs="Times New Roman"/>
                      <w:color w:val="FF0000"/>
                      <w:kern w:val="2"/>
                      <w:szCs w:val="21"/>
                      <w:lang w:val="en-US" w:eastAsia="zh-CN"/>
                    </w:rPr>
                    <w:t>沉淀池</w:t>
                  </w:r>
                  <w:r>
                    <w:rPr>
                      <w:rFonts w:hint="default" w:ascii="Times New Roman" w:hAnsi="Times New Roman" w:eastAsia="宋体" w:cs="Times New Roman"/>
                      <w:color w:val="FF0000"/>
                      <w:kern w:val="2"/>
                      <w:szCs w:val="21"/>
                    </w:rPr>
                    <w:t>、生态护坡和防雨布遮盖以及施工结束迹地恢复。</w:t>
                  </w:r>
                </w:p>
              </w:tc>
              <w:tc>
                <w:tcPr>
                  <w:tcW w:w="626" w:type="pct"/>
                  <w:tcBorders>
                    <w:tl2br w:val="nil"/>
                    <w:tr2bl w:val="nil"/>
                  </w:tcBorders>
                  <w:noWrap w:val="0"/>
                  <w:vAlign w:val="center"/>
                </w:tcPr>
                <w:p w14:paraId="3576991E">
                  <w:pPr>
                    <w:adjustRightInd w:val="0"/>
                    <w:jc w:val="center"/>
                    <w:rPr>
                      <w:rFonts w:hint="eastAsia" w:ascii="Times New Roman" w:hAnsi="Times New Roman" w:eastAsia="宋体" w:cs="Times New Roman"/>
                      <w:color w:val="FF0000"/>
                      <w:kern w:val="2"/>
                      <w:szCs w:val="21"/>
                      <w:lang w:val="en-US" w:eastAsia="zh-CN"/>
                    </w:rPr>
                  </w:pPr>
                  <w:r>
                    <w:rPr>
                      <w:rFonts w:hint="eastAsia" w:ascii="Times New Roman" w:hAnsi="Times New Roman" w:eastAsia="宋体" w:cs="Times New Roman"/>
                      <w:color w:val="FF0000"/>
                      <w:kern w:val="2"/>
                      <w:szCs w:val="21"/>
                      <w:lang w:val="en-US" w:eastAsia="zh-CN"/>
                    </w:rPr>
                    <w:t>6</w:t>
                  </w:r>
                </w:p>
              </w:tc>
              <w:tc>
                <w:tcPr>
                  <w:tcW w:w="427" w:type="pct"/>
                  <w:tcBorders>
                    <w:tl2br w:val="nil"/>
                    <w:tr2bl w:val="nil"/>
                  </w:tcBorders>
                  <w:noWrap w:val="0"/>
                  <w:vAlign w:val="center"/>
                </w:tcPr>
                <w:p w14:paraId="02B63391">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2904EAD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jc w:val="center"/>
              </w:trPr>
              <w:tc>
                <w:tcPr>
                  <w:tcW w:w="282" w:type="pct"/>
                  <w:vMerge w:val="continue"/>
                  <w:tcBorders>
                    <w:tl2br w:val="nil"/>
                    <w:tr2bl w:val="nil"/>
                  </w:tcBorders>
                  <w:noWrap w:val="0"/>
                  <w:vAlign w:val="center"/>
                </w:tcPr>
                <w:p w14:paraId="608C61FC">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6DBC56E7">
                  <w:pPr>
                    <w:adjustRightInd w:val="0"/>
                    <w:jc w:val="center"/>
                    <w:rPr>
                      <w:rFonts w:hint="default" w:ascii="Times New Roman" w:hAnsi="Times New Roman" w:eastAsia="宋体" w:cs="Times New Roman"/>
                      <w:color w:val="auto"/>
                      <w:kern w:val="2"/>
                      <w:szCs w:val="21"/>
                    </w:rPr>
                  </w:pPr>
                </w:p>
              </w:tc>
              <w:tc>
                <w:tcPr>
                  <w:tcW w:w="752" w:type="pct"/>
                  <w:tcBorders>
                    <w:tl2br w:val="nil"/>
                    <w:tr2bl w:val="nil"/>
                  </w:tcBorders>
                  <w:noWrap w:val="0"/>
                  <w:vAlign w:val="center"/>
                </w:tcPr>
                <w:p w14:paraId="3207BBC9">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施工围堰保护</w:t>
                  </w:r>
                </w:p>
              </w:tc>
              <w:tc>
                <w:tcPr>
                  <w:tcW w:w="2541" w:type="pct"/>
                  <w:gridSpan w:val="2"/>
                  <w:tcBorders>
                    <w:tl2br w:val="nil"/>
                    <w:tr2bl w:val="nil"/>
                  </w:tcBorders>
                  <w:noWrap w:val="0"/>
                  <w:vAlign w:val="center"/>
                </w:tcPr>
                <w:p w14:paraId="0FED5E63">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严格按照围堰设计要求，落实围堰填筑，做好防渗措施；做好围堰排水工作，禁止直接排入河道，影响水质和水生生态环境；围堰拆除产生的土石方尽快回填，禁止堆放至河边影响河道水质。</w:t>
                  </w:r>
                </w:p>
              </w:tc>
              <w:tc>
                <w:tcPr>
                  <w:tcW w:w="626" w:type="pct"/>
                  <w:tcBorders>
                    <w:tl2br w:val="nil"/>
                    <w:tr2bl w:val="nil"/>
                  </w:tcBorders>
                  <w:noWrap w:val="0"/>
                  <w:vAlign w:val="center"/>
                </w:tcPr>
                <w:p w14:paraId="7ABA948B">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2</w:t>
                  </w:r>
                </w:p>
              </w:tc>
              <w:tc>
                <w:tcPr>
                  <w:tcW w:w="427" w:type="pct"/>
                  <w:tcBorders>
                    <w:tl2br w:val="nil"/>
                    <w:tr2bl w:val="nil"/>
                  </w:tcBorders>
                  <w:noWrap w:val="0"/>
                  <w:vAlign w:val="center"/>
                </w:tcPr>
                <w:p w14:paraId="1C846E2B">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06B923E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50" w:hRule="atLeast"/>
                <w:jc w:val="center"/>
              </w:trPr>
              <w:tc>
                <w:tcPr>
                  <w:tcW w:w="282" w:type="pct"/>
                  <w:vMerge w:val="continue"/>
                  <w:tcBorders>
                    <w:tl2br w:val="nil"/>
                    <w:tr2bl w:val="nil"/>
                  </w:tcBorders>
                  <w:noWrap w:val="0"/>
                  <w:vAlign w:val="center"/>
                </w:tcPr>
                <w:p w14:paraId="62211D0D">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56151BD5">
                  <w:pPr>
                    <w:adjustRightInd w:val="0"/>
                    <w:jc w:val="center"/>
                    <w:rPr>
                      <w:rFonts w:hint="default" w:ascii="Times New Roman" w:hAnsi="Times New Roman" w:eastAsia="宋体" w:cs="Times New Roman"/>
                      <w:color w:val="auto"/>
                      <w:kern w:val="2"/>
                      <w:szCs w:val="21"/>
                    </w:rPr>
                  </w:pPr>
                </w:p>
              </w:tc>
              <w:tc>
                <w:tcPr>
                  <w:tcW w:w="752" w:type="pct"/>
                  <w:tcBorders>
                    <w:tl2br w:val="nil"/>
                    <w:tr2bl w:val="nil"/>
                  </w:tcBorders>
                  <w:noWrap w:val="0"/>
                  <w:vAlign w:val="center"/>
                </w:tcPr>
                <w:p w14:paraId="4AD9F83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施工迹地恢复</w:t>
                  </w:r>
                </w:p>
              </w:tc>
              <w:tc>
                <w:tcPr>
                  <w:tcW w:w="2541" w:type="pct"/>
                  <w:gridSpan w:val="2"/>
                  <w:tcBorders>
                    <w:tl2br w:val="nil"/>
                    <w:tr2bl w:val="nil"/>
                  </w:tcBorders>
                  <w:noWrap w:val="0"/>
                  <w:vAlign w:val="center"/>
                </w:tcPr>
                <w:p w14:paraId="725D5EE3">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剥离的表土堆放于不影响施工活动的区域内，并做好临时覆盖工作；施工结束后，将表土作为施工迹地恢复回填使用，回填结束后，采用撒播</w:t>
                  </w:r>
                  <w:r>
                    <w:rPr>
                      <w:rFonts w:hint="eastAsia" w:ascii="Times New Roman" w:hAnsi="Times New Roman" w:eastAsia="宋体" w:cs="Times New Roman"/>
                      <w:color w:val="auto"/>
                      <w:kern w:val="2"/>
                      <w:szCs w:val="21"/>
                      <w:lang w:val="en-US" w:eastAsia="zh-CN"/>
                    </w:rPr>
                    <w:t>草籽</w:t>
                  </w:r>
                  <w:r>
                    <w:rPr>
                      <w:rFonts w:hint="default" w:ascii="Times New Roman" w:hAnsi="Times New Roman" w:eastAsia="宋体" w:cs="Times New Roman"/>
                      <w:color w:val="auto"/>
                      <w:kern w:val="2"/>
                      <w:szCs w:val="21"/>
                    </w:rPr>
                    <w:t>进行绿化恢复</w:t>
                  </w:r>
                  <w:r>
                    <w:rPr>
                      <w:rFonts w:hint="eastAsia" w:ascii="Times New Roman" w:hAnsi="Times New Roman" w:eastAsia="宋体" w:cs="Times New Roman"/>
                      <w:color w:val="auto"/>
                      <w:kern w:val="2"/>
                      <w:szCs w:val="21"/>
                      <w:lang w:eastAsia="zh-CN"/>
                    </w:rPr>
                    <w:t>，</w:t>
                  </w:r>
                  <w:r>
                    <w:rPr>
                      <w:rFonts w:hint="eastAsia" w:ascii="Times New Roman" w:hAnsi="Times New Roman" w:eastAsia="宋体" w:cs="Times New Roman"/>
                      <w:color w:val="auto"/>
                      <w:kern w:val="2"/>
                      <w:szCs w:val="21"/>
                      <w:lang w:val="en-US" w:eastAsia="zh-CN"/>
                    </w:rPr>
                    <w:t>对耕地进行覆土复垦</w:t>
                  </w:r>
                  <w:r>
                    <w:rPr>
                      <w:rFonts w:hint="default" w:ascii="Times New Roman" w:hAnsi="Times New Roman" w:eastAsia="宋体" w:cs="Times New Roman"/>
                      <w:color w:val="auto"/>
                      <w:kern w:val="2"/>
                      <w:szCs w:val="21"/>
                    </w:rPr>
                    <w:t>。</w:t>
                  </w:r>
                </w:p>
              </w:tc>
              <w:tc>
                <w:tcPr>
                  <w:tcW w:w="626" w:type="pct"/>
                  <w:tcBorders>
                    <w:tl2br w:val="nil"/>
                    <w:tr2bl w:val="nil"/>
                  </w:tcBorders>
                  <w:noWrap w:val="0"/>
                  <w:vAlign w:val="center"/>
                </w:tcPr>
                <w:p w14:paraId="38CFA615">
                  <w:pPr>
                    <w:adjustRightInd w:val="0"/>
                    <w:jc w:val="center"/>
                    <w:rPr>
                      <w:rFonts w:hint="eastAsia" w:ascii="Times New Roman" w:hAnsi="Times New Roman" w:eastAsia="宋体" w:cs="Times New Roman"/>
                      <w:color w:val="auto"/>
                      <w:kern w:val="2"/>
                      <w:szCs w:val="21"/>
                      <w:lang w:val="en-US" w:eastAsia="zh-CN"/>
                    </w:rPr>
                  </w:pPr>
                  <w:r>
                    <w:rPr>
                      <w:rFonts w:hint="eastAsia" w:ascii="Times New Roman" w:hAnsi="Times New Roman" w:eastAsia="宋体" w:cs="Times New Roman"/>
                      <w:color w:val="auto"/>
                      <w:kern w:val="2"/>
                      <w:szCs w:val="21"/>
                      <w:lang w:val="en-US" w:eastAsia="zh-CN"/>
                    </w:rPr>
                    <w:t>6</w:t>
                  </w:r>
                </w:p>
              </w:tc>
              <w:tc>
                <w:tcPr>
                  <w:tcW w:w="427" w:type="pct"/>
                  <w:tcBorders>
                    <w:tl2br w:val="nil"/>
                    <w:tr2bl w:val="nil"/>
                  </w:tcBorders>
                  <w:noWrap w:val="0"/>
                  <w:vAlign w:val="center"/>
                </w:tcPr>
                <w:p w14:paraId="65610E36">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1C9AA34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41" w:hRule="atLeast"/>
                <w:jc w:val="center"/>
              </w:trPr>
              <w:tc>
                <w:tcPr>
                  <w:tcW w:w="282" w:type="pct"/>
                  <w:vMerge w:val="continue"/>
                  <w:tcBorders>
                    <w:tl2br w:val="nil"/>
                    <w:tr2bl w:val="nil"/>
                  </w:tcBorders>
                  <w:noWrap w:val="0"/>
                  <w:vAlign w:val="center"/>
                </w:tcPr>
                <w:p w14:paraId="0FF16775">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51FA6B0A">
                  <w:pPr>
                    <w:adjustRightInd w:val="0"/>
                    <w:jc w:val="center"/>
                    <w:rPr>
                      <w:rFonts w:hint="default" w:ascii="Times New Roman" w:hAnsi="Times New Roman" w:eastAsia="宋体" w:cs="Times New Roman"/>
                      <w:color w:val="auto"/>
                      <w:kern w:val="2"/>
                      <w:szCs w:val="21"/>
                    </w:rPr>
                  </w:pPr>
                </w:p>
              </w:tc>
              <w:tc>
                <w:tcPr>
                  <w:tcW w:w="752" w:type="pct"/>
                  <w:vMerge w:val="restart"/>
                  <w:tcBorders>
                    <w:tl2br w:val="nil"/>
                    <w:tr2bl w:val="nil"/>
                  </w:tcBorders>
                  <w:noWrap w:val="0"/>
                  <w:vAlign w:val="center"/>
                </w:tcPr>
                <w:p w14:paraId="1A7D1D6B">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生态</w:t>
                  </w:r>
                </w:p>
              </w:tc>
              <w:tc>
                <w:tcPr>
                  <w:tcW w:w="2541" w:type="pct"/>
                  <w:gridSpan w:val="2"/>
                  <w:tcBorders>
                    <w:tl2br w:val="nil"/>
                    <w:tr2bl w:val="nil"/>
                  </w:tcBorders>
                  <w:noWrap w:val="0"/>
                  <w:vAlign w:val="center"/>
                </w:tcPr>
                <w:p w14:paraId="23597B00">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施工迹地的绿化恢复：尽量采用当地树种、草种。</w:t>
                  </w:r>
                </w:p>
              </w:tc>
              <w:tc>
                <w:tcPr>
                  <w:tcW w:w="626" w:type="pct"/>
                  <w:vMerge w:val="restart"/>
                  <w:tcBorders>
                    <w:tl2br w:val="nil"/>
                    <w:tr2bl w:val="nil"/>
                  </w:tcBorders>
                  <w:noWrap w:val="0"/>
                  <w:vAlign w:val="center"/>
                </w:tcPr>
                <w:p w14:paraId="6E44F246">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3</w:t>
                  </w:r>
                </w:p>
              </w:tc>
              <w:tc>
                <w:tcPr>
                  <w:tcW w:w="427" w:type="pct"/>
                  <w:vMerge w:val="restart"/>
                  <w:tcBorders>
                    <w:tl2br w:val="nil"/>
                    <w:tr2bl w:val="nil"/>
                  </w:tcBorders>
                  <w:noWrap w:val="0"/>
                  <w:vAlign w:val="center"/>
                </w:tcPr>
                <w:p w14:paraId="4DA76092">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7FDBACA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282" w:type="pct"/>
                  <w:vMerge w:val="continue"/>
                  <w:tcBorders>
                    <w:tl2br w:val="nil"/>
                    <w:tr2bl w:val="nil"/>
                  </w:tcBorders>
                  <w:noWrap w:val="0"/>
                  <w:vAlign w:val="center"/>
                </w:tcPr>
                <w:p w14:paraId="57759E4D">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2CB1C7EB">
                  <w:pPr>
                    <w:adjustRightInd w:val="0"/>
                    <w:jc w:val="center"/>
                    <w:rPr>
                      <w:rFonts w:hint="default" w:ascii="Times New Roman" w:hAnsi="Times New Roman" w:eastAsia="宋体" w:cs="Times New Roman"/>
                      <w:color w:val="auto"/>
                      <w:kern w:val="2"/>
                      <w:szCs w:val="21"/>
                    </w:rPr>
                  </w:pPr>
                </w:p>
              </w:tc>
              <w:tc>
                <w:tcPr>
                  <w:tcW w:w="752" w:type="pct"/>
                  <w:vMerge w:val="continue"/>
                  <w:tcBorders>
                    <w:tl2br w:val="nil"/>
                    <w:tr2bl w:val="nil"/>
                  </w:tcBorders>
                  <w:noWrap w:val="0"/>
                  <w:vAlign w:val="center"/>
                </w:tcPr>
                <w:p w14:paraId="7682FF54">
                  <w:pPr>
                    <w:adjustRightInd w:val="0"/>
                    <w:jc w:val="center"/>
                    <w:rPr>
                      <w:rFonts w:hint="default" w:ascii="Times New Roman" w:hAnsi="Times New Roman" w:eastAsia="宋体" w:cs="Times New Roman"/>
                      <w:color w:val="auto"/>
                      <w:kern w:val="2"/>
                      <w:szCs w:val="21"/>
                    </w:rPr>
                  </w:pPr>
                </w:p>
              </w:tc>
              <w:tc>
                <w:tcPr>
                  <w:tcW w:w="2541" w:type="pct"/>
                  <w:gridSpan w:val="2"/>
                  <w:tcBorders>
                    <w:tl2br w:val="nil"/>
                    <w:tr2bl w:val="nil"/>
                  </w:tcBorders>
                  <w:noWrap w:val="0"/>
                  <w:vAlign w:val="center"/>
                </w:tcPr>
                <w:p w14:paraId="4E528F10">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临时占地迹地恢复：施工结束后与工程建设无关的临时设施和道路将全面拆除和封闭，应根据各处原有植被状况和植物立地条件等具体情况予以及时恢复。</w:t>
                  </w:r>
                </w:p>
              </w:tc>
              <w:tc>
                <w:tcPr>
                  <w:tcW w:w="626" w:type="pct"/>
                  <w:vMerge w:val="continue"/>
                  <w:tcBorders>
                    <w:tl2br w:val="nil"/>
                    <w:tr2bl w:val="nil"/>
                  </w:tcBorders>
                  <w:noWrap w:val="0"/>
                  <w:vAlign w:val="center"/>
                </w:tcPr>
                <w:p w14:paraId="6D7D3F19">
                  <w:pPr>
                    <w:adjustRightInd w:val="0"/>
                    <w:jc w:val="center"/>
                    <w:rPr>
                      <w:rFonts w:hint="default" w:ascii="Times New Roman" w:hAnsi="Times New Roman" w:eastAsia="宋体" w:cs="Times New Roman"/>
                      <w:color w:val="auto"/>
                      <w:kern w:val="2"/>
                      <w:szCs w:val="21"/>
                    </w:rPr>
                  </w:pPr>
                </w:p>
              </w:tc>
              <w:tc>
                <w:tcPr>
                  <w:tcW w:w="427" w:type="pct"/>
                  <w:vMerge w:val="continue"/>
                  <w:tcBorders>
                    <w:tl2br w:val="nil"/>
                    <w:tr2bl w:val="nil"/>
                  </w:tcBorders>
                  <w:noWrap w:val="0"/>
                  <w:vAlign w:val="center"/>
                </w:tcPr>
                <w:p w14:paraId="751A6AB3">
                  <w:pPr>
                    <w:adjustRightInd w:val="0"/>
                    <w:jc w:val="center"/>
                    <w:rPr>
                      <w:rFonts w:hint="default" w:ascii="Times New Roman" w:hAnsi="Times New Roman" w:eastAsia="宋体" w:cs="Times New Roman"/>
                      <w:color w:val="auto"/>
                      <w:kern w:val="2"/>
                      <w:szCs w:val="21"/>
                    </w:rPr>
                  </w:pPr>
                </w:p>
              </w:tc>
            </w:tr>
            <w:tr w14:paraId="2323D94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282" w:type="pct"/>
                  <w:vMerge w:val="continue"/>
                  <w:tcBorders>
                    <w:tl2br w:val="nil"/>
                    <w:tr2bl w:val="nil"/>
                  </w:tcBorders>
                  <w:noWrap w:val="0"/>
                  <w:vAlign w:val="center"/>
                </w:tcPr>
                <w:p w14:paraId="60D0B5CA">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04443078">
                  <w:pPr>
                    <w:adjustRightInd w:val="0"/>
                    <w:jc w:val="center"/>
                    <w:rPr>
                      <w:rFonts w:hint="default" w:ascii="Times New Roman" w:hAnsi="Times New Roman" w:eastAsia="宋体" w:cs="Times New Roman"/>
                      <w:color w:val="auto"/>
                      <w:kern w:val="2"/>
                      <w:szCs w:val="21"/>
                    </w:rPr>
                  </w:pPr>
                </w:p>
              </w:tc>
              <w:tc>
                <w:tcPr>
                  <w:tcW w:w="752" w:type="pct"/>
                  <w:vMerge w:val="continue"/>
                  <w:tcBorders>
                    <w:tl2br w:val="nil"/>
                    <w:tr2bl w:val="nil"/>
                  </w:tcBorders>
                  <w:noWrap w:val="0"/>
                  <w:vAlign w:val="center"/>
                </w:tcPr>
                <w:p w14:paraId="6FF445C1">
                  <w:pPr>
                    <w:adjustRightInd w:val="0"/>
                    <w:jc w:val="center"/>
                    <w:rPr>
                      <w:rFonts w:hint="default" w:ascii="Times New Roman" w:hAnsi="Times New Roman" w:eastAsia="宋体" w:cs="Times New Roman"/>
                      <w:color w:val="auto"/>
                      <w:kern w:val="2"/>
                      <w:szCs w:val="21"/>
                      <w:lang w:val="en-US" w:eastAsia="zh-CN"/>
                    </w:rPr>
                  </w:pPr>
                </w:p>
              </w:tc>
              <w:tc>
                <w:tcPr>
                  <w:tcW w:w="527" w:type="pct"/>
                  <w:tcBorders>
                    <w:tl2br w:val="nil"/>
                    <w:tr2bl w:val="nil"/>
                  </w:tcBorders>
                  <w:noWrap w:val="0"/>
                  <w:vAlign w:val="center"/>
                </w:tcPr>
                <w:p w14:paraId="309BB951">
                  <w:pPr>
                    <w:adjustRightInd w:val="0"/>
                    <w:jc w:val="center"/>
                    <w:rPr>
                      <w:rFonts w:hint="default" w:ascii="Times New Roman" w:hAnsi="Times New Roman" w:eastAsia="宋体" w:cs="Times New Roman"/>
                      <w:color w:val="FF0000"/>
                      <w:kern w:val="2"/>
                      <w:szCs w:val="21"/>
                    </w:rPr>
                  </w:pPr>
                  <w:r>
                    <w:rPr>
                      <w:rFonts w:hint="eastAsia" w:ascii="Times New Roman" w:hAnsi="Times New Roman" w:eastAsia="宋体" w:cs="Times New Roman"/>
                      <w:color w:val="FF0000"/>
                      <w:kern w:val="2"/>
                      <w:szCs w:val="21"/>
                      <w:lang w:val="en-US" w:eastAsia="zh-CN"/>
                    </w:rPr>
                    <w:t>增殖放流</w:t>
                  </w:r>
                </w:p>
              </w:tc>
              <w:tc>
                <w:tcPr>
                  <w:tcW w:w="2013" w:type="pct"/>
                  <w:tcBorders>
                    <w:tl2br w:val="nil"/>
                    <w:tr2bl w:val="nil"/>
                  </w:tcBorders>
                  <w:noWrap w:val="0"/>
                  <w:vAlign w:val="center"/>
                </w:tcPr>
                <w:p w14:paraId="12AFD98B">
                  <w:pPr>
                    <w:adjustRightInd w:val="0"/>
                    <w:jc w:val="center"/>
                    <w:rPr>
                      <w:rFonts w:hint="default" w:ascii="Times New Roman" w:hAnsi="Times New Roman" w:eastAsia="宋体" w:cs="Times New Roman"/>
                      <w:color w:val="FF0000"/>
                      <w:kern w:val="2"/>
                      <w:szCs w:val="21"/>
                    </w:rPr>
                  </w:pPr>
                  <w:r>
                    <w:rPr>
                      <w:rFonts w:hint="default" w:ascii="Times New Roman" w:hAnsi="Times New Roman" w:eastAsia="宋体" w:cs="Times New Roman"/>
                      <w:color w:val="FF0000"/>
                      <w:kern w:val="2"/>
                      <w:szCs w:val="21"/>
                    </w:rPr>
                    <w:t>本项目在项目完工后的第二年放流1次。</w:t>
                  </w:r>
                </w:p>
              </w:tc>
              <w:tc>
                <w:tcPr>
                  <w:tcW w:w="626" w:type="pct"/>
                  <w:tcBorders>
                    <w:tl2br w:val="nil"/>
                    <w:tr2bl w:val="nil"/>
                  </w:tcBorders>
                  <w:noWrap w:val="0"/>
                  <w:vAlign w:val="center"/>
                </w:tcPr>
                <w:p w14:paraId="59246101">
                  <w:pPr>
                    <w:adjustRightInd w:val="0"/>
                    <w:jc w:val="center"/>
                    <w:rPr>
                      <w:rFonts w:hint="eastAsia" w:ascii="Times New Roman" w:hAnsi="Times New Roman" w:eastAsia="宋体" w:cs="Times New Roman"/>
                      <w:color w:val="FF0000"/>
                      <w:kern w:val="2"/>
                      <w:szCs w:val="21"/>
                      <w:lang w:val="en-US" w:eastAsia="zh-CN"/>
                    </w:rPr>
                  </w:pPr>
                  <w:r>
                    <w:rPr>
                      <w:rFonts w:hint="eastAsia" w:ascii="Times New Roman" w:hAnsi="Times New Roman" w:eastAsia="宋体" w:cs="Times New Roman"/>
                      <w:color w:val="FF0000"/>
                      <w:kern w:val="2"/>
                      <w:szCs w:val="21"/>
                      <w:lang w:val="en-US" w:eastAsia="zh-CN"/>
                    </w:rPr>
                    <w:t>7</w:t>
                  </w:r>
                </w:p>
              </w:tc>
              <w:tc>
                <w:tcPr>
                  <w:tcW w:w="427" w:type="pct"/>
                  <w:tcBorders>
                    <w:tl2br w:val="nil"/>
                    <w:tr2bl w:val="nil"/>
                  </w:tcBorders>
                  <w:noWrap w:val="0"/>
                  <w:vAlign w:val="center"/>
                </w:tcPr>
                <w:p w14:paraId="73977499">
                  <w:pPr>
                    <w:adjustRightInd w:val="0"/>
                    <w:jc w:val="center"/>
                    <w:rPr>
                      <w:rFonts w:hint="default" w:ascii="Times New Roman" w:hAnsi="Times New Roman" w:eastAsia="宋体" w:cs="Times New Roman"/>
                      <w:color w:val="FF0000"/>
                      <w:kern w:val="2"/>
                      <w:szCs w:val="21"/>
                    </w:rPr>
                  </w:pPr>
                </w:p>
              </w:tc>
            </w:tr>
            <w:tr w14:paraId="557AF76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282" w:type="pct"/>
                  <w:vMerge w:val="continue"/>
                  <w:tcBorders>
                    <w:tl2br w:val="nil"/>
                    <w:tr2bl w:val="nil"/>
                  </w:tcBorders>
                  <w:noWrap w:val="0"/>
                  <w:vAlign w:val="center"/>
                </w:tcPr>
                <w:p w14:paraId="744B7E95">
                  <w:pPr>
                    <w:adjustRightInd w:val="0"/>
                    <w:jc w:val="center"/>
                    <w:rPr>
                      <w:rFonts w:hint="default" w:ascii="Times New Roman" w:hAnsi="Times New Roman" w:eastAsia="宋体" w:cs="Times New Roman"/>
                      <w:color w:val="auto"/>
                      <w:kern w:val="2"/>
                      <w:szCs w:val="21"/>
                    </w:rPr>
                  </w:pPr>
                </w:p>
              </w:tc>
              <w:tc>
                <w:tcPr>
                  <w:tcW w:w="370" w:type="pct"/>
                  <w:vMerge w:val="continue"/>
                  <w:tcBorders>
                    <w:tl2br w:val="nil"/>
                    <w:tr2bl w:val="nil"/>
                  </w:tcBorders>
                  <w:noWrap w:val="0"/>
                  <w:vAlign w:val="center"/>
                </w:tcPr>
                <w:p w14:paraId="5B0E173D">
                  <w:pPr>
                    <w:adjustRightInd w:val="0"/>
                    <w:jc w:val="center"/>
                    <w:rPr>
                      <w:rFonts w:hint="default" w:ascii="Times New Roman" w:hAnsi="Times New Roman" w:eastAsia="宋体" w:cs="Times New Roman"/>
                      <w:color w:val="auto"/>
                      <w:kern w:val="2"/>
                      <w:szCs w:val="21"/>
                    </w:rPr>
                  </w:pPr>
                </w:p>
              </w:tc>
              <w:tc>
                <w:tcPr>
                  <w:tcW w:w="752" w:type="pct"/>
                  <w:vMerge w:val="continue"/>
                  <w:tcBorders>
                    <w:tl2br w:val="nil"/>
                    <w:tr2bl w:val="nil"/>
                  </w:tcBorders>
                  <w:noWrap w:val="0"/>
                  <w:vAlign w:val="center"/>
                </w:tcPr>
                <w:p w14:paraId="74CEFC2B">
                  <w:pPr>
                    <w:adjustRightInd w:val="0"/>
                    <w:jc w:val="center"/>
                    <w:rPr>
                      <w:rFonts w:hint="default" w:ascii="Times New Roman" w:hAnsi="Times New Roman" w:eastAsia="宋体" w:cs="Times New Roman"/>
                      <w:color w:val="auto"/>
                      <w:kern w:val="2"/>
                      <w:szCs w:val="21"/>
                      <w:lang w:val="en-US" w:eastAsia="zh-CN"/>
                    </w:rPr>
                  </w:pPr>
                </w:p>
              </w:tc>
              <w:tc>
                <w:tcPr>
                  <w:tcW w:w="527" w:type="pct"/>
                  <w:tcBorders>
                    <w:tl2br w:val="nil"/>
                    <w:tr2bl w:val="nil"/>
                  </w:tcBorders>
                  <w:noWrap w:val="0"/>
                  <w:vAlign w:val="center"/>
                </w:tcPr>
                <w:p w14:paraId="2DD3DADE">
                  <w:pPr>
                    <w:adjustRightInd w:val="0"/>
                    <w:jc w:val="center"/>
                    <w:rPr>
                      <w:rFonts w:hint="default" w:ascii="Times New Roman" w:hAnsi="Times New Roman" w:eastAsia="宋体" w:cs="Times New Roman"/>
                      <w:color w:val="FF0000"/>
                      <w:kern w:val="2"/>
                      <w:szCs w:val="21"/>
                    </w:rPr>
                  </w:pPr>
                  <w:r>
                    <w:rPr>
                      <w:rFonts w:hint="eastAsia" w:ascii="Times New Roman" w:hAnsi="Times New Roman" w:eastAsia="宋体" w:cs="Times New Roman"/>
                      <w:color w:val="FF0000"/>
                      <w:kern w:val="2"/>
                      <w:szCs w:val="21"/>
                      <w:lang w:val="en-US" w:eastAsia="zh-CN"/>
                    </w:rPr>
                    <w:t>水生监测</w:t>
                  </w:r>
                </w:p>
              </w:tc>
              <w:tc>
                <w:tcPr>
                  <w:tcW w:w="2013" w:type="pct"/>
                  <w:tcBorders>
                    <w:tl2br w:val="nil"/>
                    <w:tr2bl w:val="nil"/>
                  </w:tcBorders>
                  <w:noWrap w:val="0"/>
                  <w:vAlign w:val="center"/>
                </w:tcPr>
                <w:p w14:paraId="0512979C">
                  <w:pPr>
                    <w:adjustRightInd w:val="0"/>
                    <w:jc w:val="center"/>
                    <w:rPr>
                      <w:rFonts w:hint="eastAsia" w:ascii="Times New Roman" w:hAnsi="Times New Roman" w:eastAsia="宋体" w:cs="Times New Roman"/>
                      <w:color w:val="FF0000"/>
                      <w:kern w:val="2"/>
                      <w:szCs w:val="21"/>
                      <w:lang w:val="en-US" w:eastAsia="zh-CN"/>
                    </w:rPr>
                  </w:pPr>
                  <w:r>
                    <w:rPr>
                      <w:rFonts w:hint="default" w:ascii="Times New Roman" w:hAnsi="Times New Roman" w:eastAsia="宋体" w:cs="Times New Roman"/>
                      <w:color w:val="FF0000"/>
                      <w:kern w:val="2"/>
                      <w:szCs w:val="21"/>
                    </w:rPr>
                    <w:t>本工程影响河段水生生物监测需在施工期监测1次，工程完工后自然恢复期监测1次，共监测2次</w:t>
                  </w:r>
                  <w:r>
                    <w:rPr>
                      <w:rFonts w:hint="eastAsia" w:ascii="Times New Roman" w:hAnsi="Times New Roman" w:eastAsia="宋体" w:cs="Times New Roman"/>
                      <w:color w:val="FF0000"/>
                      <w:kern w:val="2"/>
                      <w:szCs w:val="21"/>
                      <w:lang w:val="en-US" w:eastAsia="zh-CN"/>
                    </w:rPr>
                    <w:t>.</w:t>
                  </w:r>
                </w:p>
              </w:tc>
              <w:tc>
                <w:tcPr>
                  <w:tcW w:w="626" w:type="pct"/>
                  <w:tcBorders>
                    <w:tl2br w:val="nil"/>
                    <w:tr2bl w:val="nil"/>
                  </w:tcBorders>
                  <w:noWrap w:val="0"/>
                  <w:vAlign w:val="center"/>
                </w:tcPr>
                <w:p w14:paraId="08F1E873">
                  <w:pPr>
                    <w:adjustRightInd w:val="0"/>
                    <w:jc w:val="center"/>
                    <w:rPr>
                      <w:rFonts w:hint="default" w:ascii="Times New Roman" w:hAnsi="Times New Roman" w:eastAsia="宋体" w:cs="Times New Roman"/>
                      <w:color w:val="FF0000"/>
                      <w:kern w:val="2"/>
                      <w:szCs w:val="21"/>
                      <w:lang w:val="en-US" w:eastAsia="zh-CN"/>
                    </w:rPr>
                  </w:pPr>
                  <w:r>
                    <w:rPr>
                      <w:rFonts w:hint="eastAsia" w:ascii="Times New Roman" w:hAnsi="Times New Roman" w:eastAsia="宋体" w:cs="Times New Roman"/>
                      <w:color w:val="FF0000"/>
                      <w:kern w:val="2"/>
                      <w:szCs w:val="21"/>
                      <w:lang w:val="en-US" w:eastAsia="zh-CN"/>
                    </w:rPr>
                    <w:t>16</w:t>
                  </w:r>
                </w:p>
              </w:tc>
              <w:tc>
                <w:tcPr>
                  <w:tcW w:w="427" w:type="pct"/>
                  <w:tcBorders>
                    <w:tl2br w:val="nil"/>
                    <w:tr2bl w:val="nil"/>
                  </w:tcBorders>
                  <w:noWrap w:val="0"/>
                  <w:vAlign w:val="center"/>
                </w:tcPr>
                <w:p w14:paraId="1AD84F85">
                  <w:pPr>
                    <w:adjustRightInd w:val="0"/>
                    <w:jc w:val="center"/>
                    <w:rPr>
                      <w:rFonts w:hint="default" w:ascii="Times New Roman" w:hAnsi="Times New Roman" w:eastAsia="宋体" w:cs="Times New Roman"/>
                      <w:color w:val="FF0000"/>
                      <w:kern w:val="2"/>
                      <w:szCs w:val="21"/>
                    </w:rPr>
                  </w:pPr>
                </w:p>
              </w:tc>
            </w:tr>
            <w:tr w14:paraId="1221982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37" w:hRule="atLeast"/>
                <w:jc w:val="center"/>
              </w:trPr>
              <w:tc>
                <w:tcPr>
                  <w:tcW w:w="282" w:type="pct"/>
                  <w:vMerge w:val="continue"/>
                  <w:tcBorders>
                    <w:tl2br w:val="nil"/>
                    <w:tr2bl w:val="nil"/>
                  </w:tcBorders>
                  <w:noWrap w:val="0"/>
                  <w:vAlign w:val="center"/>
                </w:tcPr>
                <w:p w14:paraId="341EC455">
                  <w:pPr>
                    <w:adjustRightInd w:val="0"/>
                    <w:jc w:val="center"/>
                    <w:rPr>
                      <w:rFonts w:hint="default" w:ascii="Times New Roman" w:hAnsi="Times New Roman" w:eastAsia="宋体" w:cs="Times New Roman"/>
                      <w:color w:val="auto"/>
                      <w:kern w:val="2"/>
                      <w:szCs w:val="21"/>
                    </w:rPr>
                  </w:pPr>
                </w:p>
              </w:tc>
              <w:tc>
                <w:tcPr>
                  <w:tcW w:w="1122" w:type="pct"/>
                  <w:gridSpan w:val="2"/>
                  <w:tcBorders>
                    <w:tl2br w:val="nil"/>
                    <w:tr2bl w:val="nil"/>
                  </w:tcBorders>
                  <w:noWrap w:val="0"/>
                  <w:vAlign w:val="center"/>
                </w:tcPr>
                <w:p w14:paraId="4C1B394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环境风险</w:t>
                  </w:r>
                </w:p>
              </w:tc>
              <w:tc>
                <w:tcPr>
                  <w:tcW w:w="2541" w:type="pct"/>
                  <w:gridSpan w:val="2"/>
                  <w:tcBorders>
                    <w:tl2br w:val="nil"/>
                    <w:tr2bl w:val="nil"/>
                  </w:tcBorders>
                  <w:noWrap w:val="0"/>
                  <w:vAlign w:val="center"/>
                </w:tcPr>
                <w:p w14:paraId="76A6B24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设置标识标牌，加强施工人员教育</w:t>
                  </w:r>
                  <w:r>
                    <w:rPr>
                      <w:rFonts w:hint="default" w:ascii="Times New Roman" w:hAnsi="Times New Roman" w:eastAsia="宋体" w:cs="Times New Roman"/>
                      <w:color w:val="auto"/>
                      <w:kern w:val="2"/>
                      <w:szCs w:val="21"/>
                      <w:lang w:eastAsia="zh-CN"/>
                    </w:rPr>
                    <w:t>，</w:t>
                  </w:r>
                  <w:r>
                    <w:rPr>
                      <w:rFonts w:hint="default" w:ascii="Times New Roman" w:hAnsi="Times New Roman" w:eastAsia="宋体" w:cs="Times New Roman"/>
                      <w:color w:val="auto"/>
                      <w:kern w:val="2"/>
                      <w:szCs w:val="21"/>
                      <w:lang w:val="en-US" w:eastAsia="zh-CN"/>
                    </w:rPr>
                    <w:t>建立应急预案方案</w:t>
                  </w:r>
                  <w:r>
                    <w:rPr>
                      <w:rFonts w:hint="default" w:ascii="Times New Roman" w:hAnsi="Times New Roman" w:eastAsia="宋体" w:cs="Times New Roman"/>
                      <w:color w:val="auto"/>
                      <w:kern w:val="2"/>
                      <w:szCs w:val="21"/>
                    </w:rPr>
                    <w:t>等</w:t>
                  </w:r>
                </w:p>
              </w:tc>
              <w:tc>
                <w:tcPr>
                  <w:tcW w:w="626" w:type="pct"/>
                  <w:tcBorders>
                    <w:tl2br w:val="nil"/>
                    <w:tr2bl w:val="nil"/>
                  </w:tcBorders>
                  <w:noWrap w:val="0"/>
                  <w:vAlign w:val="center"/>
                </w:tcPr>
                <w:p w14:paraId="47FBC691">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1.6</w:t>
                  </w:r>
                </w:p>
              </w:tc>
              <w:tc>
                <w:tcPr>
                  <w:tcW w:w="427" w:type="pct"/>
                  <w:tcBorders>
                    <w:tl2br w:val="nil"/>
                    <w:tr2bl w:val="nil"/>
                  </w:tcBorders>
                  <w:noWrap w:val="0"/>
                  <w:vAlign w:val="center"/>
                </w:tcPr>
                <w:p w14:paraId="08AAF24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4769665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17" w:hRule="atLeast"/>
                <w:jc w:val="center"/>
              </w:trPr>
              <w:tc>
                <w:tcPr>
                  <w:tcW w:w="282" w:type="pct"/>
                  <w:vMerge w:val="continue"/>
                  <w:tcBorders>
                    <w:tl2br w:val="nil"/>
                    <w:tr2bl w:val="nil"/>
                  </w:tcBorders>
                  <w:noWrap w:val="0"/>
                  <w:vAlign w:val="center"/>
                </w:tcPr>
                <w:p w14:paraId="4AF82E23">
                  <w:pPr>
                    <w:adjustRightInd w:val="0"/>
                    <w:jc w:val="center"/>
                    <w:rPr>
                      <w:rFonts w:hint="default" w:ascii="Times New Roman" w:hAnsi="Times New Roman" w:eastAsia="宋体" w:cs="Times New Roman"/>
                      <w:color w:val="auto"/>
                      <w:kern w:val="2"/>
                      <w:szCs w:val="21"/>
                    </w:rPr>
                  </w:pPr>
                </w:p>
              </w:tc>
              <w:tc>
                <w:tcPr>
                  <w:tcW w:w="1122" w:type="pct"/>
                  <w:gridSpan w:val="2"/>
                  <w:tcBorders>
                    <w:tl2br w:val="nil"/>
                    <w:tr2bl w:val="nil"/>
                  </w:tcBorders>
                  <w:noWrap w:val="0"/>
                  <w:vAlign w:val="center"/>
                </w:tcPr>
                <w:p w14:paraId="1CC571DC">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环境管理</w:t>
                  </w:r>
                </w:p>
              </w:tc>
              <w:tc>
                <w:tcPr>
                  <w:tcW w:w="2541" w:type="pct"/>
                  <w:gridSpan w:val="2"/>
                  <w:tcBorders>
                    <w:tl2br w:val="nil"/>
                    <w:tr2bl w:val="nil"/>
                  </w:tcBorders>
                  <w:noWrap w:val="0"/>
                  <w:vAlign w:val="center"/>
                </w:tcPr>
                <w:p w14:paraId="09ECC3C7">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安排专职（或兼职）负责施工期环境保护和环境管理监理记录，定期检查施工现场废水、废气、噪声等环保措施运行情况。</w:t>
                  </w:r>
                </w:p>
              </w:tc>
              <w:tc>
                <w:tcPr>
                  <w:tcW w:w="626" w:type="pct"/>
                  <w:tcBorders>
                    <w:tl2br w:val="nil"/>
                    <w:tr2bl w:val="nil"/>
                  </w:tcBorders>
                  <w:noWrap w:val="0"/>
                  <w:vAlign w:val="center"/>
                </w:tcPr>
                <w:p w14:paraId="1BC48B6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2</w:t>
                  </w:r>
                </w:p>
              </w:tc>
              <w:tc>
                <w:tcPr>
                  <w:tcW w:w="427" w:type="pct"/>
                  <w:tcBorders>
                    <w:tl2br w:val="nil"/>
                    <w:tr2bl w:val="nil"/>
                  </w:tcBorders>
                  <w:noWrap w:val="0"/>
                  <w:vAlign w:val="center"/>
                </w:tcPr>
                <w:p w14:paraId="34163778">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18AB156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67" w:hRule="atLeast"/>
                <w:jc w:val="center"/>
              </w:trPr>
              <w:tc>
                <w:tcPr>
                  <w:tcW w:w="282" w:type="pct"/>
                  <w:vMerge w:val="continue"/>
                  <w:tcBorders>
                    <w:tl2br w:val="nil"/>
                    <w:tr2bl w:val="nil"/>
                  </w:tcBorders>
                  <w:noWrap w:val="0"/>
                  <w:vAlign w:val="center"/>
                </w:tcPr>
                <w:p w14:paraId="4BB2BA0C">
                  <w:pPr>
                    <w:adjustRightInd w:val="0"/>
                    <w:jc w:val="center"/>
                    <w:rPr>
                      <w:rFonts w:hint="default" w:ascii="Times New Roman" w:hAnsi="Times New Roman" w:eastAsia="宋体" w:cs="Times New Roman"/>
                      <w:color w:val="auto"/>
                      <w:kern w:val="2"/>
                      <w:szCs w:val="21"/>
                    </w:rPr>
                  </w:pPr>
                </w:p>
              </w:tc>
              <w:tc>
                <w:tcPr>
                  <w:tcW w:w="1122" w:type="pct"/>
                  <w:gridSpan w:val="2"/>
                  <w:tcBorders>
                    <w:tl2br w:val="nil"/>
                    <w:tr2bl w:val="nil"/>
                  </w:tcBorders>
                  <w:noWrap w:val="0"/>
                  <w:vAlign w:val="center"/>
                </w:tcPr>
                <w:p w14:paraId="1682EA4F">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竣工环境保护验收</w:t>
                  </w:r>
                </w:p>
              </w:tc>
              <w:tc>
                <w:tcPr>
                  <w:tcW w:w="2541" w:type="pct"/>
                  <w:gridSpan w:val="2"/>
                  <w:tcBorders>
                    <w:tl2br w:val="nil"/>
                    <w:tr2bl w:val="nil"/>
                  </w:tcBorders>
                  <w:noWrap w:val="0"/>
                  <w:vAlign w:val="center"/>
                </w:tcPr>
                <w:p w14:paraId="2BCA629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c>
                <w:tcPr>
                  <w:tcW w:w="626" w:type="pct"/>
                  <w:tcBorders>
                    <w:tl2br w:val="nil"/>
                    <w:tr2bl w:val="nil"/>
                  </w:tcBorders>
                  <w:noWrap w:val="0"/>
                  <w:vAlign w:val="center"/>
                </w:tcPr>
                <w:p w14:paraId="3C88D93D">
                  <w:pPr>
                    <w:adjustRightInd w:val="0"/>
                    <w:jc w:val="center"/>
                    <w:rPr>
                      <w:rFonts w:hint="default" w:ascii="Times New Roman" w:hAnsi="Times New Roman" w:eastAsia="宋体" w:cs="Times New Roman"/>
                      <w:color w:val="auto"/>
                      <w:kern w:val="2"/>
                      <w:szCs w:val="21"/>
                      <w:lang w:val="en-US" w:eastAsia="zh-CN"/>
                    </w:rPr>
                  </w:pPr>
                  <w:r>
                    <w:rPr>
                      <w:rFonts w:hint="eastAsia" w:ascii="Times New Roman" w:hAnsi="Times New Roman" w:eastAsia="宋体" w:cs="Times New Roman"/>
                      <w:color w:val="auto"/>
                      <w:kern w:val="2"/>
                      <w:szCs w:val="21"/>
                      <w:lang w:val="en-US" w:eastAsia="zh-CN"/>
                    </w:rPr>
                    <w:t>10</w:t>
                  </w:r>
                </w:p>
              </w:tc>
              <w:tc>
                <w:tcPr>
                  <w:tcW w:w="427" w:type="pct"/>
                  <w:tcBorders>
                    <w:tl2br w:val="nil"/>
                    <w:tr2bl w:val="nil"/>
                  </w:tcBorders>
                  <w:noWrap w:val="0"/>
                  <w:vAlign w:val="center"/>
                </w:tcPr>
                <w:p w14:paraId="346BA795">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r w14:paraId="3CF60C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02" w:hRule="atLeast"/>
                <w:jc w:val="center"/>
              </w:trPr>
              <w:tc>
                <w:tcPr>
                  <w:tcW w:w="3946" w:type="pct"/>
                  <w:gridSpan w:val="5"/>
                  <w:tcBorders>
                    <w:tl2br w:val="nil"/>
                    <w:tr2bl w:val="nil"/>
                  </w:tcBorders>
                  <w:noWrap w:val="0"/>
                  <w:vAlign w:val="center"/>
                </w:tcPr>
                <w:p w14:paraId="15A677AA">
                  <w:pPr>
                    <w:adjustRightInd w:val="0"/>
                    <w:jc w:val="center"/>
                    <w:rPr>
                      <w:rFonts w:hint="default" w:ascii="Times New Roman" w:hAnsi="Times New Roman" w:eastAsia="宋体" w:cs="Times New Roman"/>
                      <w:color w:val="FF0000"/>
                      <w:kern w:val="2"/>
                      <w:szCs w:val="21"/>
                    </w:rPr>
                  </w:pPr>
                  <w:r>
                    <w:rPr>
                      <w:rFonts w:hint="default" w:ascii="Times New Roman" w:hAnsi="Times New Roman" w:eastAsia="宋体" w:cs="Times New Roman"/>
                      <w:color w:val="FF0000"/>
                      <w:kern w:val="2"/>
                      <w:szCs w:val="21"/>
                    </w:rPr>
                    <w:t>合计</w:t>
                  </w:r>
                </w:p>
              </w:tc>
              <w:tc>
                <w:tcPr>
                  <w:tcW w:w="626" w:type="pct"/>
                  <w:tcBorders>
                    <w:tl2br w:val="nil"/>
                    <w:tr2bl w:val="nil"/>
                  </w:tcBorders>
                  <w:noWrap w:val="0"/>
                  <w:vAlign w:val="center"/>
                </w:tcPr>
                <w:p w14:paraId="1C5B6751">
                  <w:pPr>
                    <w:adjustRightInd w:val="0"/>
                    <w:jc w:val="center"/>
                    <w:rPr>
                      <w:rFonts w:hint="default" w:ascii="Times New Roman" w:hAnsi="Times New Roman" w:eastAsia="宋体" w:cs="Times New Roman"/>
                      <w:color w:val="FF0000"/>
                      <w:kern w:val="2"/>
                      <w:szCs w:val="21"/>
                      <w:lang w:val="en-US" w:eastAsia="zh-CN"/>
                    </w:rPr>
                  </w:pPr>
                  <w:r>
                    <w:rPr>
                      <w:rFonts w:hint="eastAsia" w:ascii="Times New Roman" w:hAnsi="Times New Roman" w:eastAsia="宋体" w:cs="Times New Roman"/>
                      <w:color w:val="FF0000"/>
                      <w:kern w:val="2"/>
                      <w:szCs w:val="21"/>
                      <w:lang w:val="en-US" w:eastAsia="zh-CN"/>
                    </w:rPr>
                    <w:t>83</w:t>
                  </w:r>
                  <w:r>
                    <w:rPr>
                      <w:rFonts w:hint="default" w:ascii="Times New Roman" w:hAnsi="Times New Roman" w:eastAsia="宋体" w:cs="Times New Roman"/>
                      <w:color w:val="FF0000"/>
                      <w:kern w:val="2"/>
                      <w:szCs w:val="21"/>
                      <w:lang w:val="en-US" w:eastAsia="zh-CN"/>
                    </w:rPr>
                    <w:t>.1</w:t>
                  </w:r>
                </w:p>
              </w:tc>
              <w:tc>
                <w:tcPr>
                  <w:tcW w:w="427" w:type="pct"/>
                  <w:tcBorders>
                    <w:tl2br w:val="nil"/>
                    <w:tr2bl w:val="nil"/>
                  </w:tcBorders>
                  <w:noWrap w:val="0"/>
                  <w:vAlign w:val="center"/>
                </w:tcPr>
                <w:p w14:paraId="54C22FDE">
                  <w:pPr>
                    <w:adjustRightInd w:val="0"/>
                    <w:jc w:val="center"/>
                    <w:rPr>
                      <w:rFonts w:hint="default" w:ascii="Times New Roman" w:hAnsi="Times New Roman" w:eastAsia="宋体" w:cs="Times New Roman"/>
                      <w:color w:val="auto"/>
                      <w:kern w:val="2"/>
                      <w:szCs w:val="21"/>
                    </w:rPr>
                  </w:pPr>
                  <w:r>
                    <w:rPr>
                      <w:rFonts w:hint="default" w:ascii="Times New Roman" w:hAnsi="Times New Roman" w:eastAsia="宋体" w:cs="Times New Roman"/>
                      <w:color w:val="auto"/>
                      <w:kern w:val="2"/>
                      <w:szCs w:val="21"/>
                    </w:rPr>
                    <w:t>/</w:t>
                  </w:r>
                </w:p>
              </w:tc>
            </w:tr>
          </w:tbl>
          <w:p w14:paraId="7C58D424">
            <w:pPr>
              <w:adjustRightInd w:val="0"/>
              <w:snapToGrid w:val="0"/>
              <w:rPr>
                <w:rFonts w:hint="default" w:ascii="Times New Roman" w:hAnsi="Times New Roman" w:cs="Times New Roman"/>
                <w:bCs/>
                <w:color w:val="auto"/>
                <w:spacing w:val="10"/>
                <w:sz w:val="24"/>
              </w:rPr>
            </w:pPr>
          </w:p>
        </w:tc>
      </w:tr>
    </w:tbl>
    <w:p w14:paraId="137F2E9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33FA9"/>
    <w:multiLevelType w:val="multilevel"/>
    <w:tmpl w:val="97533FA9"/>
    <w:lvl w:ilvl="0" w:tentative="0">
      <w:start w:val="1"/>
      <w:numFmt w:val="decimal"/>
      <w:pStyle w:val="12"/>
      <w:lvlText w:val="表5-%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rPr>
        <w:rFonts w:hint="default"/>
      </w:rPr>
    </w:lvl>
    <w:lvl w:ilvl="2" w:tentative="0">
      <w:start w:val="1"/>
      <w:numFmt w:val="lowerRoman"/>
      <w:lvlText w:val="%3."/>
      <w:lvlJc w:val="left"/>
      <w:pPr>
        <w:tabs>
          <w:tab w:val="left" w:pos="1260"/>
        </w:tabs>
        <w:ind w:left="1260" w:hanging="420"/>
      </w:pPr>
      <w:rPr>
        <w:rFonts w:hint="default"/>
      </w:rPr>
    </w:lvl>
    <w:lvl w:ilvl="3" w:tentative="0">
      <w:start w:val="1"/>
      <w:numFmt w:val="decimal"/>
      <w:lvlText w:val="%4."/>
      <w:lvlJc w:val="left"/>
      <w:pPr>
        <w:tabs>
          <w:tab w:val="left" w:pos="1680"/>
        </w:tabs>
        <w:ind w:left="1680" w:hanging="420"/>
      </w:pPr>
      <w:rPr>
        <w:rFonts w:hint="default"/>
      </w:rPr>
    </w:lvl>
    <w:lvl w:ilvl="4" w:tentative="0">
      <w:start w:val="1"/>
      <w:numFmt w:val="lowerLetter"/>
      <w:lvlText w:val="%5)"/>
      <w:lvlJc w:val="left"/>
      <w:pPr>
        <w:tabs>
          <w:tab w:val="left" w:pos="2100"/>
        </w:tabs>
        <w:ind w:left="2100" w:hanging="420"/>
      </w:pPr>
      <w:rPr>
        <w:rFonts w:hint="default"/>
      </w:rPr>
    </w:lvl>
    <w:lvl w:ilvl="5" w:tentative="0">
      <w:start w:val="1"/>
      <w:numFmt w:val="lowerRoman"/>
      <w:lvlText w:val="%6."/>
      <w:lvlJc w:val="left"/>
      <w:pPr>
        <w:tabs>
          <w:tab w:val="left" w:pos="2520"/>
        </w:tabs>
        <w:ind w:left="2520" w:hanging="420"/>
      </w:pPr>
      <w:rPr>
        <w:rFonts w:hint="default"/>
      </w:rPr>
    </w:lvl>
    <w:lvl w:ilvl="6" w:tentative="0">
      <w:start w:val="1"/>
      <w:numFmt w:val="decimal"/>
      <w:lvlText w:val="%7."/>
      <w:lvlJc w:val="left"/>
      <w:pPr>
        <w:tabs>
          <w:tab w:val="left" w:pos="2940"/>
        </w:tabs>
        <w:ind w:left="2940" w:hanging="420"/>
      </w:pPr>
      <w:rPr>
        <w:rFonts w:hint="default"/>
      </w:rPr>
    </w:lvl>
    <w:lvl w:ilvl="7" w:tentative="0">
      <w:start w:val="1"/>
      <w:numFmt w:val="lowerLetter"/>
      <w:lvlText w:val="%8)"/>
      <w:lvlJc w:val="left"/>
      <w:pPr>
        <w:tabs>
          <w:tab w:val="left" w:pos="3360"/>
        </w:tabs>
        <w:ind w:left="3360" w:hanging="420"/>
      </w:pPr>
      <w:rPr>
        <w:rFonts w:hint="default"/>
      </w:rPr>
    </w:lvl>
    <w:lvl w:ilvl="8" w:tentative="0">
      <w:start w:val="1"/>
      <w:numFmt w:val="lowerRoman"/>
      <w:lvlText w:val="%9."/>
      <w:lvlJc w:val="left"/>
      <w:pPr>
        <w:tabs>
          <w:tab w:val="left" w:pos="3780"/>
        </w:tabs>
        <w:ind w:left="3780" w:hanging="420"/>
      </w:pPr>
      <w:rPr>
        <w:rFonts w:hint="default"/>
      </w:rPr>
    </w:lvl>
  </w:abstractNum>
  <w:abstractNum w:abstractNumId="1">
    <w:nsid w:val="4BE12EEB"/>
    <w:multiLevelType w:val="multilevel"/>
    <w:tmpl w:val="4BE12EEB"/>
    <w:lvl w:ilvl="0" w:tentative="0">
      <w:start w:val="1"/>
      <w:numFmt w:val="decimal"/>
      <w:suff w:val="nothing"/>
      <w:lvlText w:val="%1"/>
      <w:lvlJc w:val="left"/>
      <w:pPr>
        <w:ind w:left="0" w:firstLine="0"/>
      </w:pPr>
      <w:rPr>
        <w:rFonts w:hint="eastAsia"/>
        <w:color w:val="FFFFFF"/>
        <w:sz w:val="2"/>
      </w:rPr>
    </w:lvl>
    <w:lvl w:ilvl="1" w:tentative="0">
      <w:start w:val="1"/>
      <w:numFmt w:val="decimal"/>
      <w:pStyle w:val="3"/>
      <w:suff w:val="nothing"/>
      <w:lvlText w:val="表%1-%2  "/>
      <w:lvlJc w:val="center"/>
      <w:pPr>
        <w:ind w:left="3360" w:firstLine="0"/>
      </w:pPr>
      <w:rPr>
        <w:rFonts w:hint="default" w:ascii="Times New Roman" w:hAnsi="Times New Roman" w:eastAsia="宋体"/>
        <w:b/>
        <w:i w:val="0"/>
        <w:color w:val="000000"/>
        <w:sz w:val="21"/>
        <w:lang w:val="en-US"/>
      </w:rPr>
    </w:lvl>
    <w:lvl w:ilvl="2" w:tentative="0">
      <w:start w:val="1"/>
      <w:numFmt w:val="decimal"/>
      <w:lvlRestart w:val="1"/>
      <w:suff w:val="nothing"/>
      <w:lvlText w:val="图%1-%3  "/>
      <w:lvlJc w:val="center"/>
      <w:pPr>
        <w:ind w:left="0" w:firstLine="0"/>
      </w:pPr>
      <w:rPr>
        <w:rFonts w:hint="default" w:ascii="Times New Roman" w:hAnsi="Times New Roman" w:eastAsia="宋体" w:cs="Times New Roman"/>
        <w:b/>
        <w:i w:val="0"/>
        <w:iCs w:val="0"/>
        <w:caps w:val="0"/>
        <w:smallCaps w:val="0"/>
        <w:strike w:val="0"/>
        <w:dstrike w:val="0"/>
        <w:vanish w:val="0"/>
        <w:color w:val="000000"/>
        <w:spacing w:val="0"/>
        <w:position w:val="0"/>
        <w:sz w:val="21"/>
        <w:u w:val="none"/>
        <w:vertAlign w:val="baseline"/>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711F9F"/>
    <w:rsid w:val="59711F9F"/>
    <w:rsid w:val="6B372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numPr>
        <w:ilvl w:val="1"/>
        <w:numId w:val="1"/>
      </w:numPr>
      <w:adjustRightInd w:val="0"/>
      <w:snapToGrid w:val="0"/>
      <w:spacing w:line="400" w:lineRule="exact"/>
      <w:jc w:val="center"/>
      <w:outlineLvl w:val="1"/>
    </w:pPr>
    <w:rPr>
      <w:b/>
      <w:bCs/>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Indent 2"/>
    <w:basedOn w:val="1"/>
    <w:qFormat/>
    <w:uiPriority w:val="0"/>
    <w:pPr>
      <w:spacing w:line="600" w:lineRule="exact"/>
      <w:ind w:firstLine="600"/>
    </w:pPr>
    <w:rPr>
      <w:rFonts w:eastAsia="仿宋"/>
      <w:color w:val="000000"/>
      <w:kern w:val="1"/>
      <w:sz w:val="30"/>
    </w:rPr>
  </w:style>
  <w:style w:type="paragraph" w:styleId="5">
    <w:name w:val="header"/>
    <w:basedOn w:val="1"/>
    <w:next w:val="6"/>
    <w:qFormat/>
    <w:uiPriority w:val="0"/>
    <w:pPr>
      <w:pBdr>
        <w:bottom w:val="single" w:color="auto" w:sz="6" w:space="1"/>
      </w:pBdr>
      <w:tabs>
        <w:tab w:val="center" w:pos="4153"/>
        <w:tab w:val="right" w:pos="8306"/>
      </w:tabs>
      <w:snapToGrid w:val="0"/>
      <w:jc w:val="center"/>
    </w:pPr>
    <w:rPr>
      <w:sz w:val="18"/>
      <w:szCs w:val="18"/>
    </w:rPr>
  </w:style>
  <w:style w:type="paragraph" w:customStyle="1" w:styleId="6">
    <w:name w:val="样式5"/>
    <w:basedOn w:val="7"/>
    <w:qFormat/>
    <w:uiPriority w:val="0"/>
    <w:pPr>
      <w:snapToGrid w:val="0"/>
      <w:spacing w:line="360" w:lineRule="auto"/>
      <w:ind w:firstLine="480" w:firstLineChars="200"/>
    </w:pPr>
    <w:rPr>
      <w:rFonts w:ascii="宋体" w:hAnsi="宋体"/>
      <w:sz w:val="24"/>
    </w:rPr>
  </w:style>
  <w:style w:type="paragraph" w:customStyle="1" w:styleId="7">
    <w:name w:val="样式3"/>
    <w:basedOn w:val="8"/>
    <w:next w:val="9"/>
    <w:qFormat/>
    <w:uiPriority w:val="0"/>
    <w:pPr>
      <w:autoSpaceDE w:val="0"/>
      <w:autoSpaceDN w:val="0"/>
      <w:adjustRightInd w:val="0"/>
      <w:spacing w:before="120" w:after="120"/>
      <w:ind w:firstLine="539"/>
      <w:jc w:val="left"/>
      <w:textAlignment w:val="baseline"/>
    </w:pPr>
    <w:rPr>
      <w:rFonts w:ascii="宋体"/>
      <w:b/>
      <w:kern w:val="0"/>
      <w:sz w:val="28"/>
      <w:szCs w:val="20"/>
    </w:rPr>
  </w:style>
  <w:style w:type="paragraph" w:customStyle="1" w:styleId="8">
    <w:name w:val="正文缩进1"/>
    <w:basedOn w:val="1"/>
    <w:qFormat/>
    <w:uiPriority w:val="0"/>
    <w:pPr>
      <w:spacing w:beforeLines="50"/>
    </w:pPr>
    <w:rPr>
      <w:rFonts w:ascii="宋体" w:hAnsi="宋体" w:cs="宋体"/>
      <w:color w:val="000000"/>
      <w:sz w:val="24"/>
    </w:rPr>
  </w:style>
  <w:style w:type="paragraph" w:styleId="9">
    <w:name w:val="Title"/>
    <w:basedOn w:val="1"/>
    <w:next w:val="1"/>
    <w:qFormat/>
    <w:uiPriority w:val="0"/>
    <w:pPr>
      <w:spacing w:before="240" w:after="60"/>
      <w:jc w:val="center"/>
      <w:outlineLvl w:val="0"/>
    </w:pPr>
    <w:rPr>
      <w:rFonts w:ascii="Arial" w:hAnsi="Arial" w:cs="Arial"/>
      <w:b/>
      <w:bCs/>
      <w:sz w:val="32"/>
      <w:szCs w:val="32"/>
    </w:rPr>
  </w:style>
  <w:style w:type="paragraph" w:customStyle="1" w:styleId="12">
    <w:name w:val="表5"/>
    <w:basedOn w:val="1"/>
    <w:next w:val="1"/>
    <w:qFormat/>
    <w:uiPriority w:val="0"/>
    <w:pPr>
      <w:keepNext/>
      <w:keepLines/>
      <w:numPr>
        <w:ilvl w:val="0"/>
        <w:numId w:val="2"/>
      </w:numPr>
      <w:jc w:val="center"/>
      <w:outlineLvl w:val="2"/>
    </w:pPr>
    <w:rPr>
      <w:rFonts w:ascii="Times New Roman" w:hAnsi="Times New Roman" w:eastAsia="宋体"/>
      <w:b/>
    </w:rPr>
  </w:style>
  <w:style w:type="paragraph" w:customStyle="1" w:styleId="13">
    <w:name w:val="表内格式"/>
    <w:next w:val="1"/>
    <w:qFormat/>
    <w:uiPriority w:val="0"/>
    <w:pPr>
      <w:widowControl w:val="0"/>
      <w:spacing w:line="240" w:lineRule="atLeast"/>
      <w:jc w:val="center"/>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10235</Words>
  <Characters>10735</Characters>
  <Lines>0</Lines>
  <Paragraphs>0</Paragraphs>
  <TotalTime>0</TotalTime>
  <ScaleCrop>false</ScaleCrop>
  <LinksUpToDate>false</LinksUpToDate>
  <CharactersWithSpaces>10743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2026-09-24T07:49:00Z</dcterms:created>
  <dc:creator>懿</dc:creator>
  <cp:lastModifiedBy>མཁའ་འགྲོ</cp:lastModifiedBy>
  <dcterms:modified xsi:type="dcterms:W3CDTF">2026-09-24T15:19:23Z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45EDED02DB9543E985F2ACB7AF527257_13</vt:lpwstr>
  </property>
  <property fmtid="{D5CDD505-2E9C-101B-9397-08002B2CF9AE}" pid="4" name="KSOTemplateDocerSaveRecord">
    <vt:lpwstr>eyJoZGlkIjoiZWNlNmU1YTQ0ZTEwZWY3N2FjYjlmODBkYmJmYTM0YTkiLCJ1c2VySWQiOiIxMTM4NjA1ODYxIn0=</vt:lpwstr>
  </property>
</Properties>
</file>